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22.08.2026  |  2 Studien  |  klima.m-vf.de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Hitze und Schwangerschaftsergebnisse: systematische Übersicht und Meta-Analyse zu Temperaturschwellen</w:t>
      </w:r>
    </w:p>
    <w:p>
      <w:r>
        <w:rPr>
          <w:i/>
          <w:color w:val="666666"/>
          <w:sz w:val="18"/>
        </w:rPr>
        <w:t>Heil CS et al.  ·  Nat Commun  ·  21.08.2026  ·  PMID 42624863</w:t>
      </w:r>
    </w:p>
    <w:p>
      <w:r>
        <w:t>Eine systematische Übersicht und Meta-Analyse (103 Studien, n=41,9 Millionen) identifizierte Temperaturschwellen für Hitzeeffekte auf Schwangerschafts- und Geburtsoutcomes.</w:t>
      </w:r>
    </w:p>
    <w:p>
      <w:r>
        <w:rPr>
          <w:b/>
        </w:rPr>
        <w:t xml:space="preserve">Ergebnis: </w:t>
      </w:r>
      <w:r>
        <w:t>Meta-Regressionsanalysen bestimmten maximale Temperaturschwellen von 30,55 °C (für 5 % Risikosteigerung), 34,11 °C (10 %) und 39,07 °C (20 % Risikosteigerung, 21 Studien, n=5.589.862). Die Ergebnisse zeigen heterogene Indikatoren und mangelnde standardisierte Heat-Stress-Indizes.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aber Schwellenwerte klim aabhängig – für Süddeutschland relevanter als Norden</w:t>
      </w:r>
    </w:p>
    <w:p>
      <w:r>
        <w:rPr>
          <w:color w:val="5A7D3A"/>
          <w:sz w:val="18"/>
        </w:rPr>
        <w:t>https://pubmed.ncbi.nlm.nih.gov/42624863/</w:t>
      </w:r>
    </w:p>
    <w:p>
      <w:pPr>
        <w:pStyle w:val="Heading2"/>
      </w:pPr>
      <w:r>
        <w:t>Kurzzeitexposition gegenüber Luftverschmutzung und COVID-19 in schwedischen Städten: Fall-Crossover-Analyse</w:t>
      </w:r>
    </w:p>
    <w:p>
      <w:r>
        <w:rPr>
          <w:i/>
          <w:color w:val="666666"/>
          <w:sz w:val="18"/>
        </w:rPr>
        <w:t>Tornevi A et al.  ·  BMJ Open Respir Res  ·  17.08.2026  ·  PMID 42608143</w:t>
      </w:r>
    </w:p>
    <w:p>
      <w:r>
        <w:t>Eine Fall-Crossover-Studie mit 3.999 COVID-19-Fällen aus drei schwedischen Städten (2020–2022) untersuchte Assoziationen zwischen täglichen PM2,5-, PM10- und NO2-Werten und positiven PCR-Tests.</w:t>
      </w:r>
    </w:p>
    <w:p>
      <w:r>
        <w:rPr>
          <w:b/>
        </w:rPr>
        <w:t xml:space="preserve">Ergebnis: </w:t>
      </w:r>
      <w:r>
        <w:t>Erhöhte PM2,5-Werte waren signifikant mit COVID-19-Positivtests am selben Tag assoziiert (OR: 1,084; 95%-KI: 1,011–1,162 pro IQR 3,3 µg/m³). PM10 zeigte Effekte bei Lag 3, NO2-Effekte waren weniger konsistent. Subgruppenanalysen zeigten ähnliche Muster bei Personen mit Atemwegserkrankungen in der Vorgeschichte.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– gemäßigte Klimazone, vergleichbare Luftqualitätsdaten und Infrastruktur</w:t>
      </w:r>
    </w:p>
    <w:p>
      <w:r>
        <w:rPr>
          <w:color w:val="5A7D3A"/>
          <w:sz w:val="18"/>
        </w:rPr>
        <w:t>https://pubmed.ncbi.nlm.nih.gov/42608143/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