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30.10.2026  |  6 Studien  |  klima.m-vf.de</w:t>
      </w:r>
    </w:p>
    <w:p>
      <w:pPr>
        <w:pStyle w:val="Heading1"/>
      </w:pPr>
      <w:r>
        <w:t>Aufgenommen am 30.10.2026</w:t>
      </w:r>
    </w:p>
    <w:p>
      <w:pPr>
        <w:pStyle w:val="Heading2"/>
      </w:pPr>
      <w:r>
        <w:t>Thermische Stressbelastung in Indien: räumlich-zeitliche Trends 1975–2024</w:t>
      </w:r>
    </w:p>
    <w:p>
      <w:r>
        <w:rPr>
          <w:i/>
          <w:color w:val="666666"/>
          <w:sz w:val="18"/>
        </w:rPr>
        <w:t>Rana MJ et al.  ·  Int J Biometeorol  ·  28.10.2026  ·  PMID 42955412</w:t>
      </w:r>
    </w:p>
    <w:p>
      <w:r>
        <w:t>50-jährige Analyse thermischer Belastung (WBGT, UTCI) in Distrikten von Uttar Pradesh mit Fokus auf Trends, räumliche Heterogenität und Verschiebung in Stressintensität.</w:t>
      </w:r>
    </w:p>
    <w:p>
      <w:r>
        <w:rPr>
          <w:b/>
        </w:rPr>
        <w:t xml:space="preserve">Ergebnis: </w:t>
      </w:r>
      <w:r>
        <w:t>Östliche Distrikte zeigten konsistent höhere thermische Belastung. Mehrere Distrikte mit Anstieg &gt;0,5 °C in WBGT/UTCI 2000–2024. Markante Verschiebung von niedriger/moderater zu starker/sehr starker Belastung; statistisch signifikante Trends in den meisten Distrikten.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tropisch; nur Methodik (biometereorologische Indizes) übertragbar, nicht Schwellenwerte</w:t>
      </w:r>
    </w:p>
    <w:p>
      <w:r>
        <w:rPr>
          <w:color w:val="5A7D3A"/>
          <w:sz w:val="18"/>
        </w:rPr>
        <w:t>https://pubmed.ncbi.nlm.nih.gov/42955412/</w:t>
      </w:r>
    </w:p>
    <w:p>
      <w:pPr>
        <w:pStyle w:val="Heading2"/>
      </w:pPr>
      <w:r>
        <w:t>Luftverschmutzung und psychische Gesundheit von Jugendlichen</w:t>
      </w:r>
    </w:p>
    <w:p>
      <w:r>
        <w:rPr>
          <w:i/>
          <w:color w:val="666666"/>
          <w:sz w:val="18"/>
        </w:rPr>
        <w:t>Wang C et al.  ·  BMC Public Health  ·  31.07.2026  ·  PMID 42947087</w:t>
      </w:r>
    </w:p>
    <w:p>
      <w:r>
        <w:t>Querschnittstudie an 71.364 Schulkindern (10–19 Jahre) in Sichuan, China zur Assoziation von Luftschadstoff-Exposition (PM₁₀, PM₂,₅, O₃, CO, SO₂, NO₂) mit Angst- und Depressionssymptomen.</w:t>
      </w:r>
    </w:p>
    <w:p>
      <w:r>
        <w:rPr>
          <w:b/>
        </w:rPr>
        <w:t xml:space="preserve">Ergebnis: </w:t>
      </w:r>
      <w:r>
        <w:t>Jeder IQR-Anstieg PM₁₀ und O₃ assoziiert mit erhöhtem Angstrisiko (OR 1,29 [95% CI 1,22–1,36] für PM₁₀; OR 1,24 [1,19–1,29] für O₃) und Depression. O₃ erhöhte auch Symptomskalen signifikant; hohe Belastung zeigte dosisabhängige Risikoerhöhung.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subtropisch; Fragestellung klimazonenunabhängig, aber Schwellenwerte nicht auf Mitteleuropa übertragbar</w:t>
      </w:r>
    </w:p>
    <w:p>
      <w:r>
        <w:rPr>
          <w:color w:val="5A7D3A"/>
          <w:sz w:val="18"/>
        </w:rPr>
        <w:t>https://pubmed.ncbi.nlm.nih.gov/42947087/</w:t>
      </w:r>
    </w:p>
    <w:p>
      <w:pPr>
        <w:pStyle w:val="Heading2"/>
      </w:pPr>
      <w:r>
        <w:t>Kunst als Hebel für Klimakommunikation, Anpassung und Emissionsreduktion</w:t>
      </w:r>
    </w:p>
    <w:p>
      <w:r>
        <w:rPr>
          <w:i/>
          <w:color w:val="666666"/>
          <w:sz w:val="18"/>
        </w:rPr>
        <w:t>Moula Z et al.  ·  Front Public Health  ·  07.10.2026  ·  PMID 42909252</w:t>
      </w:r>
    </w:p>
    <w:p>
      <w:r>
        <w:t>Rapid Scoping Review über 16 Studien zu kunstgestützten Interventionen für Klimakommunikation, Anpassung und Mitigation mit Fokus auf emotionale und kognitive Aktivierung.</w:t>
      </w:r>
    </w:p>
    <w:p>
      <w:r>
        <w:rPr>
          <w:b/>
        </w:rPr>
        <w:t xml:space="preserve">Ergebnis: </w:t>
      </w:r>
      <w:r>
        <w:t>Kunstbasierte Programme erreichten auch klimaunintersierte Zuschauer; nur 4 von 16 Studien adressierten Anpassung/Mitigation (vs. 12 zur Kommunikation). Kombinierte emotionale und kognitive Aktivierung war am wirksamsten für kollektives Umwelthandeln.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internationale Studien; Methodische Relevanz für Gesundheitskommunikation</w:t>
      </w:r>
    </w:p>
    <w:p>
      <w:r>
        <w:rPr>
          <w:color w:val="5A7D3A"/>
          <w:sz w:val="18"/>
        </w:rPr>
        <w:t>https://pubmed.ncbi.nlm.nih.gov/42909252/</w:t>
      </w:r>
    </w:p>
    <w:p>
      <w:pPr>
        <w:pStyle w:val="Heading2"/>
      </w:pPr>
      <w:r>
        <w:t>Luftverschmutzung in der Schwangerschaft und Plazentenfunktion</w:t>
      </w:r>
    </w:p>
    <w:p>
      <w:r>
        <w:rPr>
          <w:i/>
          <w:color w:val="666666"/>
          <w:sz w:val="18"/>
        </w:rPr>
        <w:t>Zanini MJ et al.  ·  Environ Pollut  ·  01.12.2026  ·  PMID 42686006</w:t>
      </w:r>
    </w:p>
    <w:p>
      <w:r>
        <w:t>Kohortenstudie in Barcelona (2018–2021) zur Assoziation mütterlicher Luftschadstoff-Exposition (NO₂, Rußpartikel, PM₂,₅) mit Doppler-Markern der Plazentenfunktion über alle Trimester.</w:t>
      </w:r>
    </w:p>
    <w:p>
      <w:r>
        <w:rPr>
          <w:b/>
        </w:rPr>
        <w:t xml:space="preserve">Ergebnis: </w:t>
      </w:r>
      <w:r>
        <w:t>Höhere NO₂- und Rußpartikel-Exposition assoziiert mit erhöhtem Uterusarterien-Pulsatilitätsindex, besonders für Homeexposition; NO₂ auch mit erniedrigtem zerebroplazentalem Verhältnis. Hinweis auf beeinträchtigte Plazentendurchblutung.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 (Barcelona); Klimazone und Versorgungsstruktur teils übertragbar</w:t>
      </w:r>
    </w:p>
    <w:p>
      <w:r>
        <w:rPr>
          <w:color w:val="5A7D3A"/>
          <w:sz w:val="18"/>
        </w:rPr>
        <w:t>https://pubmed.ncbi.nlm.nih.gov/42686006/</w:t>
      </w:r>
    </w:p>
    <w:p>
      <w:pPr>
        <w:pStyle w:val="Heading2"/>
      </w:pPr>
      <w:r>
        <w:t>Kohlenstoff-Emissionen der Anästhesie bei Kaiserschnitt</w:t>
      </w:r>
    </w:p>
    <w:p>
      <w:r>
        <w:rPr>
          <w:i/>
          <w:color w:val="666666"/>
          <w:sz w:val="18"/>
        </w:rPr>
        <w:t>Kouwenberg LHJA et al.  ·  Br J Anaesth  ·  29.08.2026  ·  PMID 42665486</w:t>
      </w:r>
    </w:p>
    <w:p>
      <w:r>
        <w:t>Prospektive Beobachtungsstudie an 50 Kaiserschnitten in niederländischem Universitätsklinikum zur Quantifizierung des Kohlenstoff-Fußabdrucks von Anästhesie-Pharmaka und Einmalartikeln.</w:t>
      </w:r>
    </w:p>
    <w:p>
      <w:r>
        <w:rPr>
          <w:b/>
        </w:rPr>
        <w:t xml:space="preserve">Ergebnis: </w:t>
      </w:r>
      <w:r>
        <w:t>Mittlerer CO₂-Fußabdruck 5,6 kg CO₂-Äq pro Eingriff: Einmalartikel 80 % (4,5 kg), davon Neuralkanaltablett, Spritzen, Wärmeblanket die größten Treiber; ~4 % durch ungenutzte Materialien; Pharmaka 1,1 kg CO₂-Äq.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 Klinikstruktur; direkt auf deutsche Operationssäle übertragbar</w:t>
      </w:r>
    </w:p>
    <w:p>
      <w:r>
        <w:rPr>
          <w:color w:val="5A7D3A"/>
          <w:sz w:val="18"/>
        </w:rPr>
        <w:t>https://pubmed.ncbi.nlm.nih.gov/42665486/</w:t>
      </w:r>
    </w:p>
    <w:p>
      <w:pPr>
        <w:pStyle w:val="Heading2"/>
      </w:pPr>
      <w:r>
        <w:t>Kohlenstoff-Fußabdruck der Hämodialyse: europäische Lebenszyklusanalyse</w:t>
      </w:r>
    </w:p>
    <w:p>
      <w:r>
        <w:rPr>
          <w:i/>
          <w:color w:val="666666"/>
          <w:sz w:val="18"/>
        </w:rPr>
        <w:t>Fehintola A et al.  ·  J Nephrol  ·  30.10.2026  ·  PMID 42610222</w:t>
      </w:r>
    </w:p>
    <w:p>
      <w:r>
        <w:t>Multizentrische Lebenszyklusanalyse des Kohlenstoff-Fußabdrucks ambulanter Hämodialyse an vier europäischen Zentren (Spanien, Niederlande, Italien, Polen).</w:t>
      </w:r>
    </w:p>
    <w:p>
      <w:r>
        <w:rPr>
          <w:b/>
        </w:rPr>
        <w:t xml:space="preserve">Ergebnis: </w:t>
      </w:r>
      <w:r>
        <w:t>Jährliche Emissionen variierten 2,7-fach: 1829–4894 kg CO₂-Äq pro Patient/Jahr. Verbrauchsmaterialien 953–1975 kg, Strom 149–659 kg, Patientenmobilität 265–2548 kg CO₂-Äq. Öffentliche Verkehrsmittel reduzierten Fahrtemissionen um 57,9–64,7%; Elektrifizierung nur 3,9–30,6%.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Mitteleuropa; direkt übertragbar auf deutsche Dialysezentren</w:t>
      </w:r>
    </w:p>
    <w:p>
      <w:r>
        <w:rPr>
          <w:color w:val="5A7D3A"/>
          <w:sz w:val="18"/>
        </w:rPr>
        <w:t>https://pubmed.ncbi.nlm.nih.gov/42610222/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2026-10-30T06:00:00Z</dcterms:created>
  <dcterms:modified xsi:type="dcterms:W3CDTF">2026-10-30T06:00:00Z</dcterms:modified>
  <cp:category/>
</cp:coreProperties>
</file>