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19.08.2026  |  2 Studien  |  klima.m-vf.de</w:t>
      </w:r>
    </w:p>
    <w:p>
      <w:pPr>
        <w:pStyle w:val="Heading1"/>
      </w:pPr>
      <w:r>
        <w:t>Aufgenommen am 19.08.2026</w:t>
      </w:r>
    </w:p>
    <w:p>
      <w:pPr>
        <w:pStyle w:val="Heading2"/>
      </w:pPr>
      <w:r>
        <w:t>Altersspezifische Anfälligkeit von Nierenkrankheiten gegenüber Temperatur: nationale Fall-Kontroll-Studie Südkorea</w:t>
      </w:r>
    </w:p>
    <w:p>
      <w:r>
        <w:rPr>
          <w:i/>
          <w:color w:val="666666"/>
          <w:sz w:val="18"/>
        </w:rPr>
        <w:t>Park J et al.  ·  Int J Epidemiol  ·  18.08.2026  ·  PMID 42613027</w:t>
      </w:r>
    </w:p>
    <w:p>
      <w:r>
        <w:t>Die Studie untersucht Assoziationen zwischen extremen Temperaturen und Notaufnahmebesuchen für Nierenkrankheiten differenziert nach Alter und Krankheitstyp in Südkorea 2011-2019.</w:t>
      </w:r>
    </w:p>
    <w:p>
      <w:r>
        <w:rPr>
          <w:b/>
        </w:rPr>
        <w:t xml:space="preserve">Ergebnis: </w:t>
      </w:r>
      <w:r>
        <w:t>Hitzerisiken für Notaufnahmen wegen Nierenkrankheiten waren höchst bei 50-59-Jährigen (OR: 1,28; 95%-KI: 1,22-1,34); Kälterisiken bei 30-39-Jährigen (OR: 1,13; 95%-KI: 1,05-1,20). Hitzeassoziiert war Harnwegsinfekt bei 30-Jährigen (OR: 1,37; 95%-KI: 1,09-1,72) und akutes Nierenversagen bei 40-Jährigen (OR: 2,29; 95%-KI: 1,52-3,44). Ältere (≥70 Jahre) trugen größte Kostenbelastung.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Südkorea, 1,9 Millionen Notaufnahmebesuche, nationale Versicherungsdaten; temperierter Bereich, aber andere Anpassung; prinzipielle Methodik übertragbar</w:t>
      </w:r>
    </w:p>
    <w:p>
      <w:r>
        <w:rPr>
          <w:color w:val="5A7D3A"/>
          <w:sz w:val="18"/>
        </w:rPr>
        <w:t>https://pubmed.ncbi.nlm.nih.gov/42613027/</w:t>
      </w:r>
    </w:p>
    <w:p>
      <w:pPr>
        <w:pStyle w:val="Heading2"/>
      </w:pPr>
      <w:r>
        <w:t>Langzeitumweltexposition und Typ-2-Diabetes-Inzidenz bei über 240.000 niederländischen Erwachsenen</w:t>
      </w:r>
    </w:p>
    <w:p>
      <w:r>
        <w:rPr>
          <w:i/>
          <w:color w:val="666666"/>
          <w:sz w:val="18"/>
        </w:rPr>
        <w:t>Smit AP et al.  ·  Environ Res  ·  15.09.2026  ·  PMID 42492750</w:t>
      </w:r>
    </w:p>
    <w:p>
      <w:r>
        <w:t>Die Studie untersucht Zusammenhänge zwischen Langzeitexposition gegenüber Luftverschmutzung, Grünflächen und Verkehrslärm und der Inzidenz von Typ-2-Diabetes.</w:t>
      </w:r>
    </w:p>
    <w:p>
      <w:r>
        <w:rPr>
          <w:b/>
        </w:rPr>
        <w:t xml:space="preserve">Ergebnis: </w:t>
      </w:r>
      <w:r>
        <w:t>Im Gesamtkollektiv zeigte sich kein signifikanter Zusammenhang zwischen den untersuchten Umweltexpositionsvariablen (Luftverschmutzung, Grünflächen, Verkehrslärm) und Diabetes-Inzidenz. Lediglich in der Gruppe der 40-64-Jährigen war höhere Grünflächenexposition mit leicht verminderter Diabetes-Inzidenz assoziiert (HR: 0,96 pro Interquartilsbereich; 95%-KI [0,92;1,00]).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249.495 Personen, Versicherungsdaten 2013-2022; gemäßigte Klimazone, vergleichbares Gesundheitssystem</w:t>
      </w:r>
    </w:p>
    <w:p>
      <w:r>
        <w:rPr>
          <w:color w:val="5A7D3A"/>
          <w:sz w:val="18"/>
        </w:rPr>
        <w:t>https://pubmed.ncbi.nlm.nih.gov/42492750/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2026-08-19T06:00:00Z</dcterms:created>
  <dcterms:modified xsi:type="dcterms:W3CDTF">2026-08-19T06:00:00Z</dcterms:modified>
  <cp:category/>
</cp:coreProperties>
</file>