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11.10.2026  |  6 Studien  |  klima.m-vf.de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Flaschenfütterung und Schnuller erhöhen Atemwegsinfekt-Risiko bei Säuglingen</w:t>
      </w:r>
    </w:p>
    <w:p>
      <w:r>
        <w:rPr>
          <w:i/>
          <w:color w:val="666666"/>
          <w:sz w:val="18"/>
        </w:rPr>
        <w:t>Veerajitt P et al.  ·  J Trop Pediatr  ·  09.10.2026  ·  PMID 42854097</w:t>
      </w:r>
    </w:p>
    <w:p>
      <w:r>
        <w:t>Prospektive Kohortenstudie in Südthailand zu modifizierbaren Verhaltensfaktoren für akute Atemwegsinfekte bei Säuglingen in den ersten 12 Lebensmonaten.</w:t>
      </w:r>
    </w:p>
    <w:p>
      <w:r>
        <w:rPr>
          <w:b/>
        </w:rPr>
        <w:t xml:space="preserve">Ergebnis: </w:t>
      </w:r>
      <w:r>
        <w:t>Von 671 Säuglingen erlebten 40,3% (271) mindestens einen Atemwegsinfekt zwischen 6–12 Monaten, 69,7% nur einen. Flaschenfütterung in den ersten 6 Monaten assoziiert mit erhöhtem Risiko (IRR = 1,37; 95%-KI: 1,05–1,82; p = 0,025); Risiko stieg mit Dauer der Flaschenfütterung. Ähnlicher Trend mit Schnullergebrauch (IRR = 1,33; 95%-KI: 1,02–1,71; p = 0,031) – 37% bzw. 33% Risikoerhöhung. Stillen und Passivrauchexposition zeigten keine signifikanten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Tropisches Klima; Prävention modifizierbarer Verhaltensfaktoren nicht klimazonen-abhängig.</w:t>
      </w:r>
    </w:p>
    <w:p>
      <w:r>
        <w:rPr>
          <w:color w:val="5A7D3A"/>
          <w:sz w:val="18"/>
        </w:rPr>
        <w:t>https://pubmed.ncbi.nlm.nih.gov/42854097/</w:t>
      </w:r>
    </w:p>
    <w:p>
      <w:pPr>
        <w:pStyle w:val="Heading2"/>
      </w:pPr>
      <w:r>
        <w:t>Aedes albopictus: Klimawandel erhöht Ausbruchsrisiko in gemäßigten Zonen</w:t>
      </w:r>
    </w:p>
    <w:p>
      <w:r>
        <w:rPr>
          <w:i/>
          <w:color w:val="666666"/>
          <w:sz w:val="18"/>
        </w:rPr>
        <w:t>Kumar S et al.  ·  Indian J Med Res  ·  Aug. 2026  ·  PMID 42851228</w:t>
      </w:r>
    </w:p>
    <w:p>
      <w:r>
        <w:t>Systematische Übersichtsarbeit zu Invasionsbiologie, Vektorkompetenz und Ausbreitungsdynamik der Asiatischen Tigermücke und ihrer Rolle bei Arbovirus-Übertragung unter Klimawandel.</w:t>
      </w:r>
    </w:p>
    <w:p>
      <w:r>
        <w:rPr>
          <w:b/>
        </w:rPr>
        <w:t xml:space="preserve">Ergebnis: </w:t>
      </w:r>
      <w:r>
        <w:t>Aedes albopictus ist weniger kompetent als Ae. aegypti für Arbovirus-Transmission; Temperatur bestimmt maßgeblich Larvenentwicklung, Überlebensfähigkeit, Stechfrequenz und externe Inkubationszeit. Klimawandel wird geografische Reichweite in gemäßigte Regionen ausweiten und Transmissionspotenzial verstärken – nicht nur geografische Ausbreitung. Vertikaltransmission erhält Persistenz zwischen Epidemien.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Gemäßigte Breiten (Deutschland): Klimawandel wird Mückenareal ausdehnen.</w:t>
      </w:r>
    </w:p>
    <w:p>
      <w:r>
        <w:rPr>
          <w:color w:val="5A7D3A"/>
          <w:sz w:val="18"/>
        </w:rPr>
        <w:t>https://pubmed.ncbi.nlm.nih.gov/42851228/</w:t>
      </w:r>
    </w:p>
    <w:p>
      <w:pPr>
        <w:pStyle w:val="Heading2"/>
      </w:pPr>
      <w:r>
        <w:t>Ruß-Sterblichkeit in China: Unterschätzung um das Doppelte</w:t>
      </w:r>
    </w:p>
    <w:p>
      <w:r>
        <w:rPr>
          <w:i/>
          <w:color w:val="666666"/>
          <w:sz w:val="18"/>
        </w:rPr>
        <w:t>Xu H et al.  ·  Nat Commun  ·  07.09.2026  ·  PMID 42844301</w:t>
      </w:r>
    </w:p>
    <w:p>
      <w:r>
        <w:t>Studie zur Hitzesterblichkeit durch Black Carbon (Rußpartikel) unter Chinas Dekarbonisierungsstrategie mit Neubewertung der Gesundheitsauswirkungen.</w:t>
      </w:r>
    </w:p>
    <w:p>
      <w:r>
        <w:rPr>
          <w:b/>
        </w:rPr>
        <w:t xml:space="preserve">Ergebnis: </w:t>
      </w:r>
      <w:r>
        <w:t>In China wurden 2015 über 540.000 vorzeitige Todesfälle durch Black-Carbon-Exposition zugeordnet – mehr als doppelt so hoch wie bisherige Angaben. Die CMIP6-Inventare unterschätzen die Gesundheitslast systematisch, während sie das Klimamilderungspotenzial um 45% überschätzen. Demografische Alterung könnte künftig Gesundheitsgewinne durch Emissionsreduktionen ausgleichen.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Tropen, andere Luftqualitätsbedingungen; nur Methodik der Neubewertung relevant.</w:t>
      </w:r>
    </w:p>
    <w:p>
      <w:r>
        <w:rPr>
          <w:color w:val="5A7D3A"/>
          <w:sz w:val="18"/>
        </w:rPr>
        <w:t>https://pubmed.ncbi.nlm.nih.gov/42844301/</w:t>
      </w:r>
    </w:p>
    <w:p>
      <w:pPr>
        <w:pStyle w:val="Heading2"/>
      </w:pPr>
      <w:r>
        <w:t>Luftverschmutzungs-Atlanten: Vergleich verfügbarer Online-Plattformen</w:t>
      </w:r>
    </w:p>
    <w:p>
      <w:r>
        <w:rPr>
          <w:i/>
          <w:color w:val="666666"/>
          <w:sz w:val="18"/>
        </w:rPr>
        <w:t>Davoli E et al.  ·  Epidemiol Prev  ·  Juli 2026  ·  PMID 42836288</w:t>
      </w:r>
    </w:p>
    <w:p>
      <w:r>
        <w:t>Explorative Web-Review zur Identifikation und Bewertung öffentlich verfügbarer Online-Atlanten und interaktiver Karten zu Luftverschmutzung und Gesundheitsfolgen in Europa.</w:t>
      </w:r>
    </w:p>
    <w:p>
      <w:r>
        <w:rPr>
          <w:b/>
        </w:rPr>
        <w:t xml:space="preserve">Ergebnis: </w:t>
      </w:r>
      <w:r>
        <w:t>Von 1.000 gescreenten Websites erfüllten 8 die Einschlusskriterien; alle zeigten Feinstaubbelastung (PM2.5/PM10), Stickstoffdioxid und Ozon waren seltener verfügbar. Sechs Websites enthielten Dosis-Wirkungs-Schätzungen für Outcomes (meist Allsterblichkeit); nur zwei berichteten spezifische Mortalität (respiratorisch, kardiovaskulär, Krebs), keine zeigten Hospitalisierungen. Große Variabilität in Interaktivität, Lesbarkeit und Transparenz. Schlussfolgerung: Bestehende Plattformen zeigen Heterogenität – klare, transparente visuelle Kommunikation könnte Nutzbarkeit für Entscheidungsträger und Fachleute erhöhen.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Europa; deutsche Atlanten-Standards anwendbar.</w:t>
      </w:r>
    </w:p>
    <w:p>
      <w:r>
        <w:rPr>
          <w:color w:val="5A7D3A"/>
          <w:sz w:val="18"/>
        </w:rPr>
        <w:t>https://pubmed.ncbi.nlm.nih.gov/42836288/</w:t>
      </w:r>
    </w:p>
    <w:p>
      <w:pPr>
        <w:pStyle w:val="Heading2"/>
      </w:pPr>
      <w:r>
        <w:t>Dengue-Früwarnsysteme: Barrieren für proaktive Bekämpfung in Vietnam</w:t>
      </w:r>
    </w:p>
    <w:p>
      <w:r>
        <w:rPr>
          <w:i/>
          <w:color w:val="666666"/>
          <w:sz w:val="18"/>
        </w:rPr>
        <w:t>Do KQ et al.  ·  PLoS Negl Trop Dis  ·  25.09.2026  ·  PMID 42789674</w:t>
      </w:r>
    </w:p>
    <w:p>
      <w:r>
        <w:t>Qualitative Studie mit Interviews zu Umsetzungshindernissen von Früwarnsystemen für die vektorgesteuerte Dengue-Prävention aus Sicht lokaler Akteure in Vietnam.</w:t>
      </w:r>
    </w:p>
    <w:p>
      <w:r>
        <w:rPr>
          <w:b/>
        </w:rPr>
        <w:t xml:space="preserve">Ergebnis: </w:t>
      </w:r>
      <w:r>
        <w:t>Hauptbarrieren: fehlende unterstützende Richtlinien, begrenzte Stakeholder-Beteiligung durch niedriges Verständnis von Früwarnsystemkonzepten, operative Herausforderungen, Wahrnehmung dass Dengue-Risiken nur während der Regenzeit existieren, sozioökonomische Engpässe und extreme Wetterereignisse. Die Erkenntnisse zeigen, dass Früwarnmeldungen allein nicht ausreichen, um proaktive Vektorkontrolle zu bewirken.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Klimawandel verschärft Dengue in Tropen; Methodik der Implementierungsforschung auf Deutschland übertragbar.</w:t>
      </w:r>
    </w:p>
    <w:p>
      <w:r>
        <w:rPr>
          <w:color w:val="5A7D3A"/>
          <w:sz w:val="18"/>
        </w:rPr>
        <w:t>https://pubmed.ncbi.nlm.nih.gov/42789674/</w:t>
      </w:r>
    </w:p>
    <w:p>
      <w:pPr>
        <w:pStyle w:val="Heading2"/>
      </w:pPr>
      <w:r>
        <w:t>Klimaresiliente Krankenhäuser im Libanon: nationale Standards entwickelt</w:t>
      </w:r>
    </w:p>
    <w:p>
      <w:r>
        <w:rPr>
          <w:i/>
          <w:color w:val="666666"/>
          <w:sz w:val="18"/>
        </w:rPr>
        <w:t>Matta E et al.  ·  Int J Qual Health Care  ·  05.10.2026  ·  PMID 42788343</w:t>
      </w:r>
    </w:p>
    <w:p>
      <w:r>
        <w:t>Multiphase-Studie zur Entwicklung national angepasster Standards für klimaresiliente Krankenhäuser im Libanon durch Stakeholder-Konsultationen und Abgleich mit internationaler Guidance.</w:t>
      </w:r>
    </w:p>
    <w:p>
      <w:r>
        <w:rPr>
          <w:b/>
        </w:rPr>
        <w:t xml:space="preserve">Ergebnis: </w:t>
      </w:r>
      <w:r>
        <w:t>Es wurden 10 thematische Bereiche mit Standards definiert: Governance, Umweltmanagement, Notfallvorbereitung, Community Engagement, nachhaltige Beschaffung, Monitoring. Rechtliche Überprüfung ermöglichte Phaseneinteilung in Compliance-erforderliche Sofortmaßnahmen versus längerfristige strategische Verbesserungen. Implementierungsbewertung zeigte, dass Standards Lücken-Analyse, Kostenabschätzung und Priorisierung von Klimaresilience-Investitionen auf Einrichtungsebene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Mittlerer Osten; Methodik für Gesundheitssystem-Anpassung relevant, nicht absolute Maßstäbe.</w:t>
      </w:r>
    </w:p>
    <w:p>
      <w:r>
        <w:rPr>
          <w:color w:val="5A7D3A"/>
          <w:sz w:val="18"/>
        </w:rPr>
        <w:t>https://pubmed.ncbi.nlm.nih.gov/42788343/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