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18.09.2026  |  6 Studien  |  klima.m-vf.de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Hitze und Stillabbruch: Nationale Kohortenstudie Brasilien</w:t>
      </w:r>
    </w:p>
    <w:p>
      <w:r>
        <w:rPr>
          <w:i/>
          <w:color w:val="666666"/>
          <w:sz w:val="18"/>
        </w:rPr>
        <w:t>Ribeiro-Silva RC et al.  ·  Int J Epidemiol  ·  18.08.2026  ·  PMID 42753718</w:t>
      </w:r>
    </w:p>
    <w:p>
      <w:r>
        <w:t>Longitudinale bevölkerungsbasierte Kohortenstudie (397.239 Kinder 0–6 Monate, 2015–2019) zur Assoziation zwischen Umgebungstemperatur und Stillabbruch mittels Cox-Modellen und DLNM.</w:t>
      </w:r>
    </w:p>
    <w:p>
      <w:r>
        <w:rPr>
          <w:b/>
        </w:rPr>
        <w:t xml:space="preserve">Ergebnis: </w:t>
      </w:r>
      <w:r>
        <w:t>Hitzeexposition (hohe vs. Referenz): HR 1,10 (95%-KI: 1,08–1,14) für erhöhtes Risiko des Stillabbruchs. Kalte Temperaturen nicht signifikant assoziiert (HR 1,01, 95%-KI: 0,98–1,05). Erhöhtes Risiko über alle Altersgruppen und Deprivationsniveaus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Tropisches Klima – Hitzeeffekte universal, Anpassungsstrategien global anwendbar</w:t>
      </w:r>
    </w:p>
    <w:p>
      <w:r>
        <w:rPr>
          <w:color w:val="5A7D3A"/>
          <w:sz w:val="18"/>
        </w:rPr>
        <w:t>https://pubmed.ncbi.nlm.nih.gov/42753718/</w:t>
      </w:r>
    </w:p>
    <w:p>
      <w:pPr>
        <w:pStyle w:val="Heading2"/>
      </w:pPr>
      <w:r>
        <w:t>Gesundheitsgewinne durch nachhaltige Ernährungsumstellung mit weniger Fleisch</w:t>
      </w:r>
    </w:p>
    <w:p>
      <w:r>
        <w:rPr>
          <w:i/>
          <w:color w:val="666666"/>
          <w:sz w:val="18"/>
        </w:rPr>
        <w:t>Eustachio Colombo P et al.  ·  Eur J Nutr  ·  17.09.2026  ·  PMID 42752699</w:t>
      </w:r>
    </w:p>
    <w:p>
      <w:r>
        <w:t>Modellierungsstudie zu den gesundheitlichen Auswirkungen von reduzierten Rot- und Fleischprodukt-Konsum nach britischem Klimazielplan über 30 Jahre.</w:t>
      </w:r>
    </w:p>
    <w:p>
      <w:r>
        <w:rPr>
          <w:b/>
        </w:rPr>
        <w:t xml:space="preserve">Ergebnis: </w:t>
      </w:r>
      <w:r>
        <w:t>Bei 35%-iger Fleischreduktion: 7,2 Monate Lebenserwartungsgewinn (KI: 1,1–12,9) und 8,4 Millionen vermiedene chronische Erkrankungen (KI: 1,3–14,9). Bei 50%-iger Reduktion: 9,4 Monate (KI: 1,3–15,4) und 10,9 Millionen Fälle vermieden (KI: 1,5–17,9). Etwa 95 % der Gewinne durch kardiovaskuläre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und gemäßigte Klimazone, strukturell übertragbar auf Deutschland</w:t>
      </w:r>
    </w:p>
    <w:p>
      <w:r>
        <w:rPr>
          <w:color w:val="5A7D3A"/>
          <w:sz w:val="18"/>
        </w:rPr>
        <w:t>https://pubmed.ncbi.nlm.nih.gov/42752699/</w:t>
      </w:r>
    </w:p>
    <w:p>
      <w:pPr>
        <w:pStyle w:val="Heading2"/>
      </w:pPr>
      <w:r>
        <w:t>Pilzpathogene im One-Health-Ansatz: Mensch, Tier, Pflanze</w:t>
      </w:r>
    </w:p>
    <w:p>
      <w:r>
        <w:rPr>
          <w:i/>
          <w:color w:val="666666"/>
          <w:sz w:val="18"/>
        </w:rPr>
        <w:t>Ali M et al.  ·  Arch Microbiol  ·  17.09.2026  ·  PMID 42752633</w:t>
      </w:r>
    </w:p>
    <w:p>
      <w:r>
        <w:t>Narratives Review zu Pilzkrankheiten in menschlicher, tierischer und pflanzlicher Gesundheit, mit Fokus auf Azol-Resistenzentwicklung durch Fungizideinsatz in der Landwirtschaft und klimawandelbedingte Verbreitungsdynamiken.</w:t>
      </w:r>
    </w:p>
    <w:p>
      <w:r>
        <w:rPr>
          <w:b/>
        </w:rPr>
        <w:t xml:space="preserve">Ergebnis: </w:t>
      </w:r>
      <w:r>
        <w:t>Kernfeststellung: Azol-Fungizide in Pflanzen führen zu Resistenzentwicklung bei umweltassoziierten Pilzen (z. B. Aspergillus flavus, Fusarium spp.) mit direkter Übertragung auf klinische Resistenz. Antimykotische Behandlung schlägt fehl. Pilzlast steigende Prävalenz; Schnittstelle Umweltveränderung–Mensch-Tier.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Globales One-Health-Prinzip, Methodologie überall anwendbar</w:t>
      </w:r>
    </w:p>
    <w:p>
      <w:r>
        <w:rPr>
          <w:color w:val="5A7D3A"/>
          <w:sz w:val="18"/>
        </w:rPr>
        <w:t>https://pubmed.ncbi.nlm.nih.gov/42752633/</w:t>
      </w:r>
    </w:p>
    <w:p>
      <w:pPr>
        <w:pStyle w:val="Heading2"/>
      </w:pPr>
      <w:r>
        <w:t>Umwelt prägt allergische Sensibilisierungsmuster bei Kindern in Spanien</w:t>
      </w:r>
    </w:p>
    <w:p>
      <w:r>
        <w:rPr>
          <w:i/>
          <w:color w:val="666666"/>
          <w:sz w:val="18"/>
        </w:rPr>
        <w:t>Álvaro-Lozano M et al.  ·  Pediatr Allergy Immunol  ·  Sept. 2026  ·  PMID 42748005</w:t>
      </w:r>
    </w:p>
    <w:p>
      <w:r>
        <w:t>Querschnittsstudie zur geografischen Variation von IgE-Sensibilisierungsprofilen bei 354 Kindern (0–15 Jahre) mit allergischer Rhinitis und/oder Asthma aus acht spanischen Städten mit unterschiedlichen Klimaverhältnissen.</w:t>
      </w:r>
    </w:p>
    <w:p>
      <w:r>
        <w:rPr>
          <w:b/>
        </w:rPr>
        <w:t xml:space="preserve">Ergebnis: </w:t>
      </w:r>
      <w:r>
        <w:t>97,5 % der Kinder zeigten Reaktivität auf mindestens ein Allergen. Nicht-lineare Alterstrajektor mit früher Sensibilisierung in Hochexpositionsumgebungen, markante Expansion während Schulalter. Schweregrad der Rhinitis mit dichteren Milben-Sensibilisierungsnetzwerken assoziiert; Asthmaschweregrad durch komplexe Pollenpolysensibilisierung bestimmt.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Südeuropa/Mittelmeerraum, methodisch auf Deutschland anwendbar</w:t>
      </w:r>
    </w:p>
    <w:p>
      <w:r>
        <w:rPr>
          <w:color w:val="5A7D3A"/>
          <w:sz w:val="18"/>
        </w:rPr>
        <w:t>https://pubmed.ncbi.nlm.nih.gov/42748005/</w:t>
      </w:r>
    </w:p>
    <w:p>
      <w:pPr>
        <w:pStyle w:val="Heading2"/>
      </w:pPr>
      <w:r>
        <w:t>Fester Hausbrennstoffe, Lüftung und Depression bei älteren Erwachsenen in China</w:t>
      </w:r>
    </w:p>
    <w:p>
      <w:r>
        <w:rPr>
          <w:i/>
          <w:color w:val="666666"/>
          <w:sz w:val="18"/>
        </w:rPr>
        <w:t>Zhang T et al.  ·  Front Public Health  ·  01.09.2026  ·  PMID 42745904</w:t>
      </w:r>
    </w:p>
    <w:p>
      <w:r>
        <w:t>Querschnittsstudie an 11.697 älteren Erwachsenen (≥65 Jahre) zur Assoziation zwischen Hausbrennstoffen, Küchenlüftung und depressiven Symptomen (CES-D-10).</w:t>
      </w:r>
    </w:p>
    <w:p>
      <w:r>
        <w:rPr>
          <w:b/>
        </w:rPr>
        <w:t xml:space="preserve">Ergebnis: </w:t>
      </w:r>
      <w:r>
        <w:t>Festbrennstoffe vs. saubere Brennstoffe: OR 1,25 (95%-KI: 1,09–1,44) für depressive Symptome. Kombinierte Exposition (Festbrennstoffe ohne mechanische Lüftung): OR 2,16 (95%-KI: 1,63–2,86) vs. saubere Brennstoffe mit Lüftung. Depressive Score-Differenz (B = 0,57, 95%-KI: 0,33–0,82).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übertragbar für Länder mit Biomasse-Feuerung, methodisches Design global anwendbar</w:t>
      </w:r>
    </w:p>
    <w:p>
      <w:r>
        <w:rPr>
          <w:color w:val="5A7D3A"/>
          <w:sz w:val="18"/>
        </w:rPr>
        <w:t>https://pubmed.ncbi.nlm.nih.gov/42745904/</w:t>
      </w:r>
    </w:p>
    <w:p>
      <w:pPr>
        <w:pStyle w:val="Heading2"/>
      </w:pPr>
      <w:r>
        <w:t>Hitzerisko-Kommunikation zwischen Regierung und Öffentlichkeit in China</w:t>
      </w:r>
    </w:p>
    <w:p>
      <w:r>
        <w:rPr>
          <w:i/>
          <w:color w:val="666666"/>
          <w:sz w:val="18"/>
        </w:rPr>
        <w:t>Lu L et al.  ·  Risk Anal  ·  Okt. 2026  ·  PMID 42745338</w:t>
      </w:r>
    </w:p>
    <w:p>
      <w:r>
        <w:t>Qualitative Inhaltsanalyse von 49.633 öffentlichen und 3.475 behördlichen Botschaften zu Hitzewellen in chinesischen Städten mittels Topic Modeling und Textanalyse.</w:t>
      </w:r>
    </w:p>
    <w:p>
      <w:r>
        <w:rPr>
          <w:b/>
        </w:rPr>
        <w:t xml:space="preserve">Ergebnis: </w:t>
      </w:r>
      <w:r>
        <w:t>Kernfunde: Öffentliche Nachrichten problem- und nachfrageorientiert; behördliche Posts präventions- und anleitungsorientiert. Asymmetrische Textmerkmalsmuster und unterschiedliche Assoziationen mit Responsivität und Engagement. Stadt-Jahre-Ebene zeigt kurz-langfristiges Anpassungsgleichgewicht in Risikokommunikation.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Methodik der Risikokommunikationsanalyse überall anwendbar</w:t>
      </w:r>
    </w:p>
    <w:p>
      <w:r>
        <w:rPr>
          <w:color w:val="5A7D3A"/>
          <w:sz w:val="18"/>
        </w:rPr>
        <w:t>https://pubmed.ncbi.nlm.nih.gov/42745338/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