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12.09.2026  |  6 Studien  |  klima.m-vf.de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Klimawandel und kardiovaskuläre Diabeteskomplikationen</w:t>
      </w:r>
    </w:p>
    <w:p>
      <w:r>
        <w:rPr>
          <w:i/>
          <w:color w:val="666666"/>
          <w:sz w:val="18"/>
        </w:rPr>
        <w:t>Nava Suarez C et al.  ·  Curr Diab Rep  ·  11.09.2026  ·  PMID 42722936</w:t>
      </w:r>
    </w:p>
    <w:p>
      <w:r>
        <w:t>Eine Reviewarbeit analysiert den Klimawandel als Treiber kardiovaskulärer Risiken bei Personen mit Diabetes mit Fokus auf Temperaturextreme und Luftverschmutzung.</w:t>
      </w:r>
    </w:p>
    <w:p>
      <w:r>
        <w:rPr>
          <w:b/>
        </w:rPr>
        <w:t xml:space="preserve">Ergebnis: </w:t>
      </w:r>
      <w:r>
        <w:t>Hitze fördert Dehydration, Hämokonzentration und erhöhte Herzbelastung; Kältexposition erhöht Gefäßwiderstand und Blutdruck. Luftverschmutzung und Waldbrandrauch verstärken systemische Inflammation und Endothelstörung. Personen mit Diabetes haben erhöhtes thermoregulatorisches Risiko durch gestörte Temperaturanpassung und höhere Prävalenz kardiorenaler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gemäßigte bis subtropische Klimazonen, aber Risikoprinzipien für Diabetiker in Deutschland übertragbar</w:t>
      </w:r>
    </w:p>
    <w:p>
      <w:r>
        <w:rPr>
          <w:color w:val="5A7D3A"/>
          <w:sz w:val="18"/>
        </w:rPr>
        <w:t>https://pubmed.ncbi.nlm.nih.gov/42722936/</w:t>
      </w:r>
    </w:p>
    <w:p>
      <w:pPr>
        <w:pStyle w:val="Heading2"/>
      </w:pPr>
      <w:r>
        <w:t>Hitzewellen und blutdrucksenkende Medikamente: Klinische Implikationen</w:t>
      </w:r>
    </w:p>
    <w:p>
      <w:r>
        <w:rPr>
          <w:i/>
          <w:color w:val="666666"/>
          <w:sz w:val="18"/>
        </w:rPr>
        <w:t>Rigon PA et al.  ·  Rev Med Suisse  ·  09.09.2026  ·  PMID 42717607</w:t>
      </w:r>
    </w:p>
    <w:p>
      <w:r>
        <w:t>Eine Übersichtsarbeit befasst sich mit Konsequenzen von Hitzewellen auf Hypertonie-Management und medikamentöse Behandlung in der Schweiz.</w:t>
      </w:r>
    </w:p>
    <w:p>
      <w:r>
        <w:rPr>
          <w:b/>
        </w:rPr>
        <w:t xml:space="preserve">Ergebnis: </w:t>
      </w:r>
      <w:r>
        <w:t>Übersterblichkeit während Hitzewellen ist signifikant und betrifft vor allem ältere Menschen und solche mit kardiovaskulären Begleiterkrankungen wie Hypertonie. Systematische Reduktion antihypertensiver Therapie bei Hitze kann schwere Konsequenzen haben; ein multidisziplinäres Approach mit patienteneducation und regelmäßiger Überwachung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deutschsprachiger Raum, gemäßigte Klimazone, vergleichbare Bevölkerung und Gesundheitssystem</w:t>
      </w:r>
    </w:p>
    <w:p>
      <w:r>
        <w:rPr>
          <w:color w:val="5A7D3A"/>
          <w:sz w:val="18"/>
        </w:rPr>
        <w:t>https://pubmed.ncbi.nlm.nih.gov/42717607/</w:t>
      </w:r>
    </w:p>
    <w:p>
      <w:pPr>
        <w:pStyle w:val="Heading2"/>
      </w:pPr>
      <w:r>
        <w:t>Effektivität von Luftreinigern in Schulklassen: Niederländische Clusterstudie</w:t>
      </w:r>
    </w:p>
    <w:p>
      <w:r>
        <w:rPr>
          <w:i/>
          <w:color w:val="666666"/>
          <w:sz w:val="18"/>
        </w:rPr>
        <w:t>Janssen ER et al.  ·  Front Public Health  ·  25.08.2026  ·  PMID 42712555</w:t>
      </w:r>
    </w:p>
    <w:p>
      <w:r>
        <w:t>Eine randomisierte, kontrollierte Clusterstudie in 180 niederländischen Schulklassen evaluiert die Effektivität tragbarer Luftreiniger zur Reduktion von Aerosolen und Mikroben.</w:t>
      </w:r>
    </w:p>
    <w:p>
      <w:r>
        <w:rPr>
          <w:b/>
        </w:rPr>
        <w:t xml:space="preserve">Ergebnis: </w:t>
      </w:r>
      <w:r>
        <w:t>Studiendesign mit 29 Schulen, 3-wöchiger Baseline-, Kontroll- und Interventionsphasen, bis 14 Wochen pro Schule. Kontinuierliche Überwachung von Partikeln (PM₁₀, PM₄, PM₂,₅, PM₁), CO₂, Temperatur, Luftfeuchte, flüchtigen organischen Verbindungen (VOCs). Hierarchische Modelle zur Analyse mikrobieller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gemäßigte Klimazone, direkt vergleichbares Schulsystem und Klima mit Deutschland</w:t>
      </w:r>
    </w:p>
    <w:p>
      <w:r>
        <w:rPr>
          <w:color w:val="5A7D3A"/>
          <w:sz w:val="18"/>
        </w:rPr>
        <w:t>https://pubmed.ncbi.nlm.nih.gov/42712555/</w:t>
      </w:r>
    </w:p>
    <w:p>
      <w:pPr>
        <w:pStyle w:val="Heading2"/>
      </w:pPr>
      <w:r>
        <w:t>Öffentliche Wahrnehmung von Luftqualität in bevölkerungsreichsten Ländern</w:t>
      </w:r>
    </w:p>
    <w:p>
      <w:r>
        <w:rPr>
          <w:i/>
          <w:color w:val="666666"/>
          <w:sz w:val="18"/>
        </w:rPr>
        <w:t>Lim N et al.  ·  Nat Commun  ·  30.07.2026  ·  PMID 42669693</w:t>
      </w:r>
    </w:p>
    <w:p>
      <w:r>
        <w:t>Eine Quotenstudie in zehn bevölkerungsreichsten Ländern untersuchte Assoziationen zwischen PM2,5-Exposition und Wissen, Einstellungen, Praktiken und Besorgnis der Öffentlichkeit zur Luftqualität.</w:t>
      </w:r>
    </w:p>
    <w:p>
      <w:r>
        <w:rPr>
          <w:b/>
        </w:rPr>
        <w:t xml:space="preserve">Ergebnis: </w:t>
      </w:r>
      <w:r>
        <w:t>Inverse Assoziation zwischen Luftverschmutzungsexposition und Wissen über Luftqualität, positive Assoziation zwischen PM2,5-Exposition und Praktiken, Einstellungen sowie Besorgnis. Signifikante Interaktionen mit Alter, Geschlecht, Bildung, Wohnort, politischer Ideologie und Familienstand zeigten vulnerable Populationen.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Zehn Länder, davon USA und Russland, aber auch China, Indien – globale Perspektive ohne direkte Übertragbarkeit auf Deutschland</w:t>
      </w:r>
    </w:p>
    <w:p>
      <w:r>
        <w:rPr>
          <w:color w:val="5A7D3A"/>
          <w:sz w:val="18"/>
        </w:rPr>
        <w:t>https://pubmed.ncbi.nlm.nih.gov/42669693/</w:t>
      </w:r>
    </w:p>
    <w:p>
      <w:pPr>
        <w:pStyle w:val="Heading2"/>
      </w:pPr>
      <w:r>
        <w:t>Fiskalpolitik für Gesundheit und Klima: Handelseffekte in Großbritannien</w:t>
      </w:r>
    </w:p>
    <w:p>
      <w:r>
        <w:rPr>
          <w:i/>
          <w:color w:val="666666"/>
          <w:sz w:val="18"/>
        </w:rPr>
        <w:t>Cornelsen L et al.  ·  Soc Sci Med  ·  10.08.2026  ·  PMID 42594596</w:t>
      </w:r>
    </w:p>
    <w:p>
      <w:r>
        <w:t>Eine Modellierungsstudie untersuchte Nachfragereaktionen auf Lebensmittelsteuern und Subventionen in Großbritannien bezüglich Ernährungs- und Umweltauswirkungen.</w:t>
      </w:r>
    </w:p>
    <w:p>
      <w:r>
        <w:rPr>
          <w:b/>
        </w:rPr>
        <w:t xml:space="preserve">Ergebnis: </w:t>
      </w:r>
      <w:r>
        <w:t>Höhere-Kohlenhydrat-Steuer war umweltschonendster: −8,4 bis −14,6% Reduktion in Umweltindikatoren (THG, Landnutzung, Eutrophierung, Wasserstress) bei gleichzeitig reduzierten Zucker- (−5,8%), Natrium- (−5,4%) und gesättigten Fetteinnahmen (−10,4%). Kombinierte Steuer-Subventions-Szenarien hatten moderatere Wohlfahrtsverluste.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gemäßigte Klimazone, vergleichbare Versorgungsstruktur</w:t>
      </w:r>
    </w:p>
    <w:p>
      <w:r>
        <w:rPr>
          <w:color w:val="5A7D3A"/>
          <w:sz w:val="18"/>
        </w:rPr>
        <w:t>https://pubmed.ncbi.nlm.nih.gov/42594596/</w:t>
      </w:r>
    </w:p>
    <w:p>
      <w:pPr>
        <w:pStyle w:val="Heading2"/>
      </w:pPr>
      <w:r>
        <w:t>Extremtemperaturen und Herzstillstand: Fallkontrollstudie aus Schweden</w:t>
      </w:r>
    </w:p>
    <w:p>
      <w:r>
        <w:rPr>
          <w:i/>
          <w:color w:val="666666"/>
          <w:sz w:val="18"/>
        </w:rPr>
        <w:t>Yamron E et al.  ·  J Intern Med  ·  03.08.2026  ·  PMID 42547926</w:t>
      </w:r>
    </w:p>
    <w:p>
      <w:r>
        <w:t>Eine schwedische Studie untersuchte die Assoziation zwischen lokalen Temperaturextremen und dem Risiko für außerklinische Herzstillstände (OHCA) zwischen 2010 und 2019.</w:t>
      </w:r>
    </w:p>
    <w:p>
      <w:r>
        <w:rPr>
          <w:b/>
        </w:rPr>
        <w:t xml:space="preserve">Ergebnis: </w:t>
      </w:r>
      <w:r>
        <w:t>Beide Temperaturextreme waren mit erhöhtem OHCA-Risiko assoziiert: Odds Ratio (OR) von 1,197 (95%-KI: 1,066–1,344) für die 1. Perzentile versus 1,156 (95%-KI: 1,058–1,263) für die 99. Perzentile gegenüber der 86. Perzentile als Referenzpunkt.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gemäßigte Klimazone, vergleichbare Versorgungsstruktur mit Deutschland</w:t>
      </w:r>
    </w:p>
    <w:p>
      <w:r>
        <w:rPr>
          <w:color w:val="5A7D3A"/>
          <w:sz w:val="18"/>
        </w:rPr>
        <w:t>https://pubmed.ncbi.nlm.nih.gov/42547926/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