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06.10.2026  |  6 Studien  |  klima.m-vf.de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Luftverschmutzung, genetisches Risiko und chronische Krankheiten</w:t>
      </w:r>
    </w:p>
    <w:p>
      <w:r>
        <w:rPr>
          <w:i/>
          <w:color w:val="666666"/>
          <w:sz w:val="18"/>
        </w:rPr>
        <w:t>Tian J et al.  ·  Hum Genet  ·  05.10.2026  ·  PMID 42831997</w:t>
      </w:r>
    </w:p>
    <w:p>
      <w:r>
        <w:t>Studie mit 313.534 Teilnehmern der UK Biobank untersuchte, wie Exposition gegenüber PM2.5, PM10, NO2 und NOx mit chronischen Erkrankungen assoziiert ist und wie genetische Anfälligkeit diese Beziehung beeinflusst.</w:t>
      </w:r>
    </w:p>
    <w:p>
      <w:r>
        <w:rPr>
          <w:b/>
        </w:rPr>
        <w:t xml:space="preserve">Ergebnis: </w:t>
      </w:r>
      <w:r>
        <w:t>PM2.5-Exposition zeigte stärkste Assoziation mit chronischen Erkrankungen (Hazard Ratio 1,22 pro 5 µg/m³, 95%-KI 1,19–1,26). Signifikante additive Interaktionen zwischen hohem genetischem Risiko und hoher PM2.5-Exposition für neurodegenerative Erkrankungen (RERI 0,14) und Diabetes (RERI 0,21).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gemäßigte Klimazone, vergleichbar mit Mitteleuropa</w:t>
      </w:r>
    </w:p>
    <w:p>
      <w:r>
        <w:rPr>
          <w:color w:val="5A7D3A"/>
          <w:sz w:val="18"/>
        </w:rPr>
        <w:t>https://pubmed.ncbi.nlm.nih.gov/42831997/</w:t>
      </w:r>
    </w:p>
    <w:p>
      <w:pPr>
        <w:pStyle w:val="Heading2"/>
      </w:pPr>
      <w:r>
        <w:t>KI-Modelle für Dengue-Prognose in Ho-Chi-Minh-Stadt unter Klimawandel</w:t>
      </w:r>
    </w:p>
    <w:p>
      <w:r>
        <w:rPr>
          <w:i/>
          <w:color w:val="666666"/>
          <w:sz w:val="18"/>
        </w:rPr>
        <w:t>Trang LT et al.  ·  Int J Biometeorol  ·  05.10.2026  ·  PMID 42831950</w:t>
      </w:r>
    </w:p>
    <w:p>
      <w:r>
        <w:t>Studie verglich Machine-Learning- und Deep-Learning-Modelle zur Vorhersage wöchentlicher Dengue-Fälle auf Distriktebene (24 Distrikte, 2015–2022) mit meteorologischen Daten unter Berücksichtigung von Klimavariabilität.</w:t>
      </w:r>
    </w:p>
    <w:p>
      <w:r>
        <w:rPr>
          <w:b/>
        </w:rPr>
        <w:t xml:space="preserve">Ergebnis: </w:t>
      </w:r>
      <w:r>
        <w:t>LSTM-Modell zeigte beste Vorhersagegenauigkeit. Lag-Effekte: Niederschlag (8 Wochen), maximale Luftfeuchte (8 Wochen), Mindesttemperatur (17 Wochen) mit Korrelationen |r| 0,18–0,37. Meteorologische Features verbesserten Modellgenauigkeit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Tropische Region – Methodik der Früherkennung übertragbar, nicht absolute Temperaturschwellen</w:t>
      </w:r>
    </w:p>
    <w:p>
      <w:r>
        <w:rPr>
          <w:color w:val="5A7D3A"/>
          <w:sz w:val="18"/>
        </w:rPr>
        <w:t>https://pubmed.ncbi.nlm.nih.gov/42831950/</w:t>
      </w:r>
    </w:p>
    <w:p>
      <w:pPr>
        <w:pStyle w:val="Heading2"/>
      </w:pPr>
      <w:r>
        <w:t>Flüssigkeitsbilanz bei heißer und feuchter Wärmebeanspruchung unter Arbeitsempfehlungen</w:t>
      </w:r>
    </w:p>
    <w:p>
      <w:r>
        <w:rPr>
          <w:i/>
          <w:color w:val="666666"/>
          <w:sz w:val="18"/>
        </w:rPr>
        <w:t>Zhao X et al.  ·  Ann Work Expo Health  ·  05.10.2026  ·  PMID 42831410</w:t>
      </w:r>
    </w:p>
    <w:p>
      <w:r>
        <w:t>20 Erwachsene absolvierten Belastungstests unter heißtrockenem (40,6 °C, 20% rel. Feuchte) und warmfeuchtem (30 °C, 80% rel. Feuchte) Klima bei Einhaltung der NIOSH-Hydrationsstrategie (237 mL Wasser alle 20 Min).</w:t>
      </w:r>
    </w:p>
    <w:p>
      <w:r>
        <w:rPr>
          <w:b/>
        </w:rPr>
        <w:t xml:space="preserve">Ergebnis: </w:t>
      </w:r>
      <w:r>
        <w:t>Ganzkörper-Schweißrate höher bei heißtrockenem Klima (0,53 ± 0,13 vs. 0,35 ± 0,10 L/h, p &lt; 0,001). Keiner überschritt 2% Körpermasseverlust. Bei feuchtem Klima Überhydratation mit Körpermassezunahme (1,1 ± 0,5%), bei trockenem Klima optimal (0,6 ± 0,4%).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Arbeitsmedizin, gemäßigte und heiße Klimazonen, Hitzeakklimatisierungsstrategien</w:t>
      </w:r>
    </w:p>
    <w:p>
      <w:r>
        <w:rPr>
          <w:color w:val="5A7D3A"/>
          <w:sz w:val="18"/>
        </w:rPr>
        <w:t>https://pubmed.ncbi.nlm.nih.gov/42831410/</w:t>
      </w:r>
    </w:p>
    <w:p>
      <w:pPr>
        <w:pStyle w:val="Heading2"/>
      </w:pPr>
      <w:r>
        <w:t>Kohlenmonoxid-Exposition und klinische Schwangerschaftsergebnisse nach IUI</w:t>
      </w:r>
    </w:p>
    <w:p>
      <w:r>
        <w:rPr>
          <w:i/>
          <w:color w:val="666666"/>
          <w:sz w:val="18"/>
        </w:rPr>
        <w:t>Guan Y et al.  ·  Front Public Health  ·  18.09.2026  ·  PMID 42827497</w:t>
      </w:r>
    </w:p>
    <w:p>
      <w:r>
        <w:t>Retrospektive Analyse von 2.328 IUI-Zyklen (2014–2025) mit Luftverschmutzungsdaten; Machine-Learning-Analyse der Assoziation zwischen Schadstoffexposition und Schwangerschaftserfolg.</w:t>
      </w:r>
    </w:p>
    <w:p>
      <w:r>
        <w:rPr>
          <w:b/>
        </w:rPr>
        <w:t xml:space="preserve">Ergebnis: </w:t>
      </w:r>
      <w:r>
        <w:t>Kohlenmonoxid (CO)-Exposition während Follikeltransition signifikant und invers mit klinischer Schwangerschaft assoziiert. Schwangerschaftsrate sank von 16,09% auf 8,50% bei steigenden CO-Konzentrationen. CO war einer der zwei wichtigsten Prädiktoren der Schwangerschaft im Random-Forest-Modell.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tropisch – CO-Effekt auf Reproduktion methodisch relevant, Temperaturgrenzen nicht übertragbar</w:t>
      </w:r>
    </w:p>
    <w:p>
      <w:r>
        <w:rPr>
          <w:color w:val="5A7D3A"/>
          <w:sz w:val="18"/>
        </w:rPr>
        <w:t>https://pubmed.ncbi.nlm.nih.gov/42827497/</w:t>
      </w:r>
    </w:p>
    <w:p>
      <w:pPr>
        <w:pStyle w:val="Heading2"/>
      </w:pPr>
      <w:r>
        <w:t>Kohlenstoff-Fußabdruck von Hebammen-Gruppenpraxen vs. Standardgeburtshilfe</w:t>
      </w:r>
    </w:p>
    <w:p>
      <w:r>
        <w:rPr>
          <w:i/>
          <w:color w:val="666666"/>
          <w:sz w:val="18"/>
        </w:rPr>
        <w:t>Prussing E et al.  ·  Women Birth  ·  22.09.2026  ·  PMID 42772085</w:t>
      </w:r>
    </w:p>
    <w:p>
      <w:r>
        <w:t>Retrospektive Analyse (2024–2025) von 210 Fällen Midwifery Group Practice (MGP) vs. 129 Standard-Geburtshilfe in australischer Regionaleinrichtung mit Berechnung der CO₂e-Emissionen pro Versorgungsepisode.</w:t>
      </w:r>
    </w:p>
    <w:p>
      <w:r>
        <w:rPr>
          <w:b/>
        </w:rPr>
        <w:t xml:space="preserve">Ergebnis: </w:t>
      </w:r>
      <w:r>
        <w:t>MGP-Kohorten zeigten durchschnittlich niedrigere Emissionen (52,87 kgCO₂e vs. 99,51 kgCO₂e), etwa die Hälfte des Kohlenstoff-Fußabdrucks der Standard-Geburtshilfe. Effekt konsistent über alle klinischen Parameter (Geburtsmode, Analgesie, Nahtmaterial, Verweildauer).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regional – Prinzip der Gesundheitssystemnachwirkung auf Klima übertragbar auf Deutschland</w:t>
      </w:r>
    </w:p>
    <w:p>
      <w:r>
        <w:rPr>
          <w:color w:val="5A7D3A"/>
          <w:sz w:val="18"/>
        </w:rPr>
        <w:t>https://pubmed.ncbi.nlm.nih.gov/42772085/</w:t>
      </w:r>
    </w:p>
    <w:p>
      <w:pPr>
        <w:pStyle w:val="Heading2"/>
      </w:pPr>
      <w:r>
        <w:t>Ältere Erwachsene und Verantwortung für Klimaschutz im Alter</w:t>
      </w:r>
    </w:p>
    <w:p>
      <w:r>
        <w:rPr>
          <w:i/>
          <w:color w:val="666666"/>
          <w:sz w:val="18"/>
        </w:rPr>
        <w:t>Grand J  ·  J Aging Stud  ·  29.06.2026  ·  PMID 42705825</w:t>
      </w:r>
    </w:p>
    <w:p>
      <w:r>
        <w:t>Qualitative Studie mit halbstrukturierten Interviews und Fokusgruppen bei 65–83-Jährigen in der Schweiz (französischsprachig) zur Wahrnehmung und Gestaltung von Klimaverantwortung im höheren Alter.</w:t>
      </w:r>
    </w:p>
    <w:p>
      <w:r>
        <w:rPr>
          <w:b/>
        </w:rPr>
        <w:t xml:space="preserve">Ergebnis: </w:t>
      </w:r>
      <w:r>
        <w:t>Kernerkenntnisse: Klimaverantwortung wird durch Möglichkeiten und Grenzen des Alters geprägt; direkte Pflichten (Emissionsreduktion) und indirekte Pflichten (institutioneller Wandel) werden im Kontext körperlicher und sozialer Limitationen ausgehandelt. Älterwerden reframt Klimaverpflichtungen kontextabhängig.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Deutsprachige Schweiz, Mitteleuropa, Planetary-Health-Perspektive auf Altern</w:t>
      </w:r>
    </w:p>
    <w:p>
      <w:r>
        <w:rPr>
          <w:color w:val="5A7D3A"/>
          <w:sz w:val="18"/>
        </w:rPr>
        <w:t>https://pubmed.ncbi.nlm.nih.gov/42705825/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