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06.10.2026  |  274 Studien  |  klima.m-vf.de</w:t>
      </w:r>
    </w:p>
    <w:p>
      <w:pPr>
        <w:pStyle w:val="Heading1"/>
      </w:pPr>
      <w:r>
        <w:t>Aufgenommen am 06.10.2026</w:t>
      </w:r>
    </w:p>
    <w:p>
      <w:pPr>
        <w:pStyle w:val="Heading2"/>
      </w:pPr>
      <w:r>
        <w:t>Luftverschmutzung, genetisches Risiko und chronische Krankheiten</w:t>
      </w:r>
    </w:p>
    <w:p>
      <w:r>
        <w:rPr>
          <w:i/>
          <w:color w:val="666666"/>
          <w:sz w:val="18"/>
        </w:rPr>
        <w:t>Tian J et al.  ·  Hum Genet  ·  05.10.2026  ·  PMID 42831997</w:t>
      </w:r>
    </w:p>
    <w:p>
      <w:r>
        <w:t>Studie mit 313.534 Teilnehmern der UK Biobank untersuchte, wie Exposition gegenüber PM2.5, PM10, NO2 und NOx mit chronischen Erkrankungen assoziiert ist und wie genetische Anfälligkeit diese Beziehung beeinflusst.</w:t>
      </w:r>
    </w:p>
    <w:p>
      <w:r>
        <w:rPr>
          <w:b/>
        </w:rPr>
        <w:t xml:space="preserve">Ergebnis: </w:t>
      </w:r>
      <w:r>
        <w:t>PM2.5-Exposition zeigte stärkste Assoziation mit chronischen Erkrankungen (Hazard Ratio 1,22 pro 5 µg/m³, 95%-KI 1,19–1,26). Signifikante additive Interaktionen zwischen hohem genetischem Risiko und hoher PM2.5-Exposition für neurodegenerative Erkrankungen (RERI 0,14) und Diabetes (RERI 0,21).</w:t>
      </w:r>
    </w:p>
    <w:p>
      <w:r>
        <w:rPr>
          <w:b/>
          <w:sz w:val="19"/>
        </w:rPr>
        <w:t xml:space="preserve">Übertragbarkeit: </w:t>
      </w:r>
      <w:r>
        <w:rPr>
          <w:sz w:val="19"/>
        </w:rPr>
        <w:t>UK Biobank, gemäßigte Klimazone, vergleichbar mit Mitteleuropa</w:t>
      </w:r>
    </w:p>
    <w:p>
      <w:r>
        <w:rPr>
          <w:color w:val="5A7D3A"/>
          <w:sz w:val="18"/>
        </w:rPr>
        <w:t>https://pubmed.ncbi.nlm.nih.gov/42831997/</w:t>
      </w:r>
    </w:p>
    <w:p>
      <w:pPr>
        <w:pStyle w:val="Heading2"/>
      </w:pPr>
      <w:r>
        <w:t>KI-Modelle für Dengue-Prognose in Ho-Chi-Minh-Stadt unter Klimawandel</w:t>
      </w:r>
    </w:p>
    <w:p>
      <w:r>
        <w:rPr>
          <w:i/>
          <w:color w:val="666666"/>
          <w:sz w:val="18"/>
        </w:rPr>
        <w:t>Trang LT et al.  ·  Int J Biometeorol  ·  05.10.2026  ·  PMID 42831950</w:t>
      </w:r>
    </w:p>
    <w:p>
      <w:r>
        <w:t>Studie verglich Machine-Learning- und Deep-Learning-Modelle zur Vorhersage wöchentlicher Dengue-Fälle auf Distriktebene (24 Distrikte, 2015–2022) mit meteorologischen Daten unter Berücksichtigung von Klimavariabilität.</w:t>
      </w:r>
    </w:p>
    <w:p>
      <w:r>
        <w:rPr>
          <w:b/>
        </w:rPr>
        <w:t xml:space="preserve">Ergebnis: </w:t>
      </w:r>
      <w:r>
        <w:t>LSTM-Modell zeigte beste Vorhersagegenauigkeit. Lag-Effekte: Niederschlag (8 Wochen), maximale Luftfeuchte (8 Wochen), Mindesttemperatur (17 Wochen) mit Korrelationen |r| 0,18–0,37. Meteorologische Features verbesserten Modellgenauigkeit deutlich.</w:t>
      </w:r>
    </w:p>
    <w:p>
      <w:r>
        <w:rPr>
          <w:b/>
          <w:sz w:val="19"/>
        </w:rPr>
        <w:t xml:space="preserve">Übertragbarkeit: </w:t>
      </w:r>
      <w:r>
        <w:rPr>
          <w:sz w:val="19"/>
        </w:rPr>
        <w:t>Tropische Region – Methodik der Früherkennung übertragbar, nicht absolute Temperaturschwellen</w:t>
      </w:r>
    </w:p>
    <w:p>
      <w:r>
        <w:rPr>
          <w:color w:val="5A7D3A"/>
          <w:sz w:val="18"/>
        </w:rPr>
        <w:t>https://pubmed.ncbi.nlm.nih.gov/42831950/</w:t>
      </w:r>
    </w:p>
    <w:p>
      <w:pPr>
        <w:pStyle w:val="Heading2"/>
      </w:pPr>
      <w:r>
        <w:t>Flüssigkeitsbilanz bei heißer und feuchter Wärmebeanspruchung unter Arbeitsempfehlungen</w:t>
      </w:r>
    </w:p>
    <w:p>
      <w:r>
        <w:rPr>
          <w:i/>
          <w:color w:val="666666"/>
          <w:sz w:val="18"/>
        </w:rPr>
        <w:t>Zhao X et al.  ·  Ann Work Expo Health  ·  05.10.2026  ·  PMID 42831410</w:t>
      </w:r>
    </w:p>
    <w:p>
      <w:r>
        <w:t>20 Erwachsene absolvierten Belastungstests unter heißtrockenem (40,6 °C, 20% rel. Feuchte) und warmfeuchtem (30 °C, 80% rel. Feuchte) Klima bei Einhaltung der NIOSH-Hydrationsstrategie (237 mL Wasser alle 20 Min).</w:t>
      </w:r>
    </w:p>
    <w:p>
      <w:r>
        <w:rPr>
          <w:b/>
        </w:rPr>
        <w:t xml:space="preserve">Ergebnis: </w:t>
      </w:r>
      <w:r>
        <w:t>Ganzkörper-Schweißrate höher bei heißtrockenem Klima (0,53 ± 0,13 vs. 0,35 ± 0,10 L/h, p &lt; 0,001). Keiner überschritt 2% Körpermasseverlust. Bei feuchtem Klima Überhydratation mit Körpermassezunahme (1,1 ± 0,5%), bei trockenem Klima optimal (0,6 ± 0,4%).</w:t>
      </w:r>
    </w:p>
    <w:p>
      <w:r>
        <w:rPr>
          <w:b/>
          <w:sz w:val="19"/>
        </w:rPr>
        <w:t xml:space="preserve">Übertragbarkeit: </w:t>
      </w:r>
      <w:r>
        <w:rPr>
          <w:sz w:val="19"/>
        </w:rPr>
        <w:t>Arbeitsmedizin, gemäßigte und heiße Klimazonen, Hitzeakklimatisierungsstrategien</w:t>
      </w:r>
    </w:p>
    <w:p>
      <w:r>
        <w:rPr>
          <w:color w:val="5A7D3A"/>
          <w:sz w:val="18"/>
        </w:rPr>
        <w:t>https://pubmed.ncbi.nlm.nih.gov/42831410/</w:t>
      </w:r>
    </w:p>
    <w:p>
      <w:pPr>
        <w:pStyle w:val="Heading2"/>
      </w:pPr>
      <w:r>
        <w:t>Kohlenmonoxid-Exposition und klinische Schwangerschaftsergebnisse nach IUI</w:t>
      </w:r>
    </w:p>
    <w:p>
      <w:r>
        <w:rPr>
          <w:i/>
          <w:color w:val="666666"/>
          <w:sz w:val="18"/>
        </w:rPr>
        <w:t>Guan Y et al.  ·  Front Public Health  ·  18.09.2026  ·  PMID 42827497</w:t>
      </w:r>
    </w:p>
    <w:p>
      <w:r>
        <w:t>Retrospektive Analyse von 2.328 IUI-Zyklen (2014–2025) mit Luftverschmutzungsdaten; Machine-Learning-Analyse der Assoziation zwischen Schadstoffexposition und Schwangerschaftserfolg.</w:t>
      </w:r>
    </w:p>
    <w:p>
      <w:r>
        <w:rPr>
          <w:b/>
        </w:rPr>
        <w:t xml:space="preserve">Ergebnis: </w:t>
      </w:r>
      <w:r>
        <w:t>Kohlenmonoxid (CO)-Exposition während Follikeltransition signifikant und invers mit klinischer Schwangerschaft assoziiert. Schwangerschaftsrate sank von 16,09% auf 8,50% bei steigenden CO-Konzentrationen. CO war einer der zwei wichtigsten Prädiktoren der Schwangerschaft im Random-Forest-Modell.</w:t>
      </w:r>
    </w:p>
    <w:p>
      <w:r>
        <w:rPr>
          <w:b/>
          <w:sz w:val="19"/>
        </w:rPr>
        <w:t xml:space="preserve">Übertragbarkeit: </w:t>
      </w:r>
      <w:r>
        <w:rPr>
          <w:sz w:val="19"/>
        </w:rPr>
        <w:t>China, tropisch – CO-Effekt auf Reproduktion methodisch relevant, Temperaturgrenzen nicht übertragbar</w:t>
      </w:r>
    </w:p>
    <w:p>
      <w:r>
        <w:rPr>
          <w:color w:val="5A7D3A"/>
          <w:sz w:val="18"/>
        </w:rPr>
        <w:t>https://pubmed.ncbi.nlm.nih.gov/42827497/</w:t>
      </w:r>
    </w:p>
    <w:p>
      <w:pPr>
        <w:pStyle w:val="Heading2"/>
      </w:pPr>
      <w:r>
        <w:t>Kohlenstoff-Fußabdruck von Hebammen-Gruppenpraxen vs. Standardgeburtshilfe</w:t>
      </w:r>
    </w:p>
    <w:p>
      <w:r>
        <w:rPr>
          <w:i/>
          <w:color w:val="666666"/>
          <w:sz w:val="18"/>
        </w:rPr>
        <w:t>Prussing E et al.  ·  Women Birth  ·  22.09.2026  ·  PMID 42772085</w:t>
      </w:r>
    </w:p>
    <w:p>
      <w:r>
        <w:t>Retrospektive Analyse (2024–2025) von 210 Fällen Midwifery Group Practice (MGP) vs. 129 Standard-Geburtshilfe in australischer Regionaleinrichtung mit Berechnung der CO₂e-Emissionen pro Versorgungsepisode.</w:t>
      </w:r>
    </w:p>
    <w:p>
      <w:r>
        <w:rPr>
          <w:b/>
        </w:rPr>
        <w:t xml:space="preserve">Ergebnis: </w:t>
      </w:r>
      <w:r>
        <w:t>MGP-Kohorten zeigten durchschnittlich niedrigere Emissionen (52,87 kgCO₂e vs. 99,51 kgCO₂e), etwa die Hälfte des Kohlenstoff-Fußabdrucks der Standard-Geburtshilfe. Effekt konsistent über alle klinischen Parameter (Geburtsmode, Analgesie, Nahtmaterial, Verweildauer).</w:t>
      </w:r>
    </w:p>
    <w:p>
      <w:r>
        <w:rPr>
          <w:b/>
          <w:sz w:val="19"/>
        </w:rPr>
        <w:t xml:space="preserve">Übertragbarkeit: </w:t>
      </w:r>
      <w:r>
        <w:rPr>
          <w:sz w:val="19"/>
        </w:rPr>
        <w:t>Australien regional – Prinzip der Gesundheitssystemnachwirkung auf Klima übertragbar auf Deutschland</w:t>
      </w:r>
    </w:p>
    <w:p>
      <w:r>
        <w:rPr>
          <w:color w:val="5A7D3A"/>
          <w:sz w:val="18"/>
        </w:rPr>
        <w:t>https://pubmed.ncbi.nlm.nih.gov/42772085/</w:t>
      </w:r>
    </w:p>
    <w:p>
      <w:pPr>
        <w:pStyle w:val="Heading2"/>
      </w:pPr>
      <w:r>
        <w:t>Ältere Erwachsene und Verantwortung für Klimaschutz im Alter</w:t>
      </w:r>
    </w:p>
    <w:p>
      <w:r>
        <w:rPr>
          <w:i/>
          <w:color w:val="666666"/>
          <w:sz w:val="18"/>
        </w:rPr>
        <w:t>Grand J  ·  J Aging Stud  ·  29.06.2026  ·  PMID 42705825</w:t>
      </w:r>
    </w:p>
    <w:p>
      <w:r>
        <w:t>Qualitative Studie mit halbstrukturierten Interviews und Fokusgruppen bei 65–83-Jährigen in der Schweiz (französischsprachig) zur Wahrnehmung und Gestaltung von Klimaverantwortung im höheren Alter.</w:t>
      </w:r>
    </w:p>
    <w:p>
      <w:r>
        <w:rPr>
          <w:b/>
        </w:rPr>
        <w:t xml:space="preserve">Ergebnis: </w:t>
      </w:r>
      <w:r>
        <w:t>Kernerkenntnisse: Klimaverantwortung wird durch Möglichkeiten und Grenzen des Alters geprägt; direkte Pflichten (Emissionsreduktion) und indirekte Pflichten (institutioneller Wandel) werden im Kontext körperlicher und sozialer Limitationen ausgehandelt. Älterwerden reframt Klimaverpflichtungen kontextabhängig.</w:t>
      </w:r>
    </w:p>
    <w:p>
      <w:r>
        <w:rPr>
          <w:b/>
          <w:sz w:val="19"/>
        </w:rPr>
        <w:t xml:space="preserve">Übertragbarkeit: </w:t>
      </w:r>
      <w:r>
        <w:rPr>
          <w:sz w:val="19"/>
        </w:rPr>
        <w:t>Deutsprachige Schweiz, Mitteleuropa, Planetary-Health-Perspektive auf Altern</w:t>
      </w:r>
    </w:p>
    <w:p>
      <w:r>
        <w:rPr>
          <w:color w:val="5A7D3A"/>
          <w:sz w:val="18"/>
        </w:rPr>
        <w:t>https://pubmed.ncbi.nlm.nih.gov/42705825/</w:t>
      </w:r>
    </w:p>
    <w:p>
      <w:pPr>
        <w:pStyle w:val="Heading1"/>
      </w:pPr>
      <w:r>
        <w:t>Aufgenommen am 05.10.2026</w:t>
      </w:r>
    </w:p>
    <w:p>
      <w:pPr>
        <w:pStyle w:val="Heading2"/>
      </w:pPr>
      <w:r>
        <w:t>Luftverschmutzung und Mikrobiom: Ökologische Assoziationen mit Stoffwechselmarkern</w:t>
      </w:r>
    </w:p>
    <w:p>
      <w:r>
        <w:rPr>
          <w:i/>
          <w:color w:val="666666"/>
          <w:sz w:val="18"/>
        </w:rPr>
        <w:t>Kriti M et al.  ·  Front Public Health  ·  14.09.2026  ·  PMID 42807430</w:t>
      </w:r>
    </w:p>
    <w:p>
      <w:r>
        <w:t>Querschnittsstudie zu räumlichen Zusammenhängen zwischen Luftschadstoffen (NOx, PM2.5, PM10), Darm-Mikrobiom und Typ-2-Diabetes-Markern in drei urbanen Regionen Indiens.</w:t>
      </w:r>
    </w:p>
    <w:p>
      <w:r>
        <w:rPr>
          <w:b/>
        </w:rPr>
        <w:t xml:space="preserve">Ergebnis: </w:t>
      </w:r>
      <w:r>
        <w:t>NOx korrelierte positiv mit Glykämie-Indizes (r positiv). PM2.5 und PM10 zeigten inkonsistente Assoziationen mit Stoffwechselmarkern. Mikrobiom-Unterschiede zwischen Standorten waren meist nicht statistisch signifikant nach Korrektur für multiples Testen. Die Ergebnisse sind deskriptiv und hypothesengenerierend, nicht kausal.</w:t>
      </w:r>
    </w:p>
    <w:p>
      <w:r>
        <w:rPr>
          <w:b/>
          <w:sz w:val="19"/>
        </w:rPr>
        <w:t xml:space="preserve">Übertragbarkeit: </w:t>
      </w:r>
      <w:r>
        <w:rPr>
          <w:sz w:val="19"/>
        </w:rPr>
        <w:t>Nur bedingt übertragbar: Ecological Study mit Standort-Level statt Individual-Exposition; tropisches Klima.</w:t>
      </w:r>
    </w:p>
    <w:p>
      <w:r>
        <w:rPr>
          <w:color w:val="5A7D3A"/>
          <w:sz w:val="18"/>
        </w:rPr>
        <w:t>https://pubmed.ncbi.nlm.nih.gov/42807430/</w:t>
      </w:r>
    </w:p>
    <w:p>
      <w:pPr>
        <w:pStyle w:val="Heading2"/>
      </w:pPr>
      <w:r>
        <w:t>Wohnungslüftung und Luftreinigung für Asthmakontolle: AIRVAC-Studienprotokoll</w:t>
      </w:r>
    </w:p>
    <w:p>
      <w:r>
        <w:rPr>
          <w:i/>
          <w:color w:val="666666"/>
          <w:sz w:val="18"/>
        </w:rPr>
        <w:t>Kang I et al.  ·  PLoS One  ·  25.09.2026  ·  PMID 42789537</w:t>
      </w:r>
    </w:p>
    <w:p>
      <w:r>
        <w:t>Randomisierte kontrollierte Studie (RCT) mit vier Armen (Wärmerückgewinnungslüfter aktiv/sham, tragbare Luftreiniger aktiv/sham) zur Wirkung auf Innenraumluftqualität, Schimmelpilze und Asthmaergebnisse bei Kindern und Erwachsenen in der Region Dallas-Fort Worth.</w:t>
      </w:r>
    </w:p>
    <w:p>
      <w:r>
        <w:rPr>
          <w:b/>
        </w:rPr>
        <w:t xml:space="preserve">Ergebnis: </w:t>
      </w:r>
      <w:r>
        <w:t>Studienprotokoll (noch nicht abgeschlossen). Geplante Primäroutcomes: Asthmakontrolle; Sekundär: Lungenfunktion, Lebensqualität, Stress, Schlaf. Umwelterfassungen: PM, NO₂, CO, VOCs, Temperatur, Feuchte, Schimmelpilze mit Low-Cost- und Research-Grade-Sensoren in &gt;80 Haushalten, 1-jährige Vor- und 1-jährige Nachintervention.</w:t>
      </w:r>
    </w:p>
    <w:p>
      <w:r>
        <w:rPr>
          <w:b/>
          <w:sz w:val="19"/>
        </w:rPr>
        <w:t xml:space="preserve">Übertragbarkeit: </w:t>
      </w:r>
      <w:r>
        <w:rPr>
          <w:sz w:val="19"/>
        </w:rPr>
        <w:t>USA (Texas), aber Indoor-Luftqualität- und Asthma-Methodik übertragbar; Ergebnisse ausstehend.</w:t>
      </w:r>
    </w:p>
    <w:p>
      <w:r>
        <w:rPr>
          <w:color w:val="5A7D3A"/>
          <w:sz w:val="18"/>
        </w:rPr>
        <w:t>https://pubmed.ncbi.nlm.nih.gov/42789537/</w:t>
      </w:r>
    </w:p>
    <w:p>
      <w:pPr>
        <w:pStyle w:val="Heading2"/>
      </w:pPr>
      <w:r>
        <w:t>Klimawandel und Onkologie-Pflegeleistungen: Rolle der Nurse Navigator</w:t>
      </w:r>
    </w:p>
    <w:p>
      <w:r>
        <w:rPr>
          <w:i/>
          <w:color w:val="666666"/>
          <w:sz w:val="18"/>
        </w:rPr>
        <w:t>Lai WT et al.  ·  Hu Li Za Zhi  ·  Okt. 2026  ·  PMID 42772917</w:t>
      </w:r>
    </w:p>
    <w:p>
      <w:r>
        <w:t>Qualitative Analyse der Auswirkungen von Klimawandel auf Krebsrisiken und Kontinuität der Krebsbehandlung; Transformation der Rolle von Oncology Nurse Navigators für klimaadaptive Versorgung.</w:t>
      </w:r>
    </w:p>
    <w:p>
      <w:r>
        <w:rPr>
          <w:b/>
        </w:rPr>
        <w:t xml:space="preserve">Ergebnis: </w:t>
      </w:r>
      <w:r>
        <w:t>Kernaussagen: Klimawandel formt Verteilung von Krebsrisiken und erhöht Vulnerabilität von Behandlungssicherheit durch multiple Umweltpfade. Extreme Wetterereignisse verursachen akute Behandlungsunterbrechungen; chronische Instabilität führt zu Verzögerungen, interregionalen Überweisungen und psychischer Belastung. Nurse Navigators benötigen Vulnerabilitätsbewertung, klimasensible klinische Urteile, Telehealth-Kompetenz und Cross-Sector-Governance. Empfehlung: messbare Kompetenzmodule in Ausbildung integrieren.</w:t>
      </w:r>
    </w:p>
    <w:p>
      <w:r>
        <w:rPr>
          <w:b/>
          <w:sz w:val="19"/>
        </w:rPr>
        <w:t xml:space="preserve">Übertragbarkeit: </w:t>
      </w:r>
      <w:r>
        <w:rPr>
          <w:sz w:val="19"/>
        </w:rPr>
        <w:t>Taiwan, aber Struktur und Vulnerabilität-Assessment übertragbar auf deutsches Gesundheitswesen; Klimazonen-Unterschiede gering.</w:t>
      </w:r>
    </w:p>
    <w:p>
      <w:r>
        <w:rPr>
          <w:color w:val="5A7D3A"/>
          <w:sz w:val="18"/>
        </w:rPr>
        <w:t>https://pubmed.ncbi.nlm.nih.gov/42772917/</w:t>
      </w:r>
    </w:p>
    <w:p>
      <w:pPr>
        <w:pStyle w:val="Heading2"/>
      </w:pPr>
      <w:r>
        <w:t>Luftverschmutzung und chronische Atemwegserkrankungen: Epidemiologische Übersicht</w:t>
      </w:r>
    </w:p>
    <w:p>
      <w:r>
        <w:rPr>
          <w:i/>
          <w:color w:val="666666"/>
          <w:sz w:val="18"/>
        </w:rPr>
        <w:t>Jo YS et al.  ·  Korean J Intern Med  ·  01.09.2026  ·  PMID 42754519</w:t>
      </w:r>
    </w:p>
    <w:p>
      <w:r>
        <w:t>Narrative Übersichtsarbeit zu epidemiologischen Belegen für Assoziationen zwischen Outdoor- und Indoor-Luftschadstoffen und Inzidenz, Progression, Mortalität von Asthma, COPD, Lungenfibrose und Lungenkrebs.</w:t>
      </w:r>
    </w:p>
    <w:p>
      <w:r>
        <w:rPr>
          <w:b/>
        </w:rPr>
        <w:t xml:space="preserve">Ergebnis: </w:t>
      </w:r>
      <w:r>
        <w:t>Luftschadstoffe (Feinstaub, Ozon, NO₂, SO₂) sind etablierte Risikofaktoren für Entwicklung, Exazerbation und Mortalität chronischer Atemwegserkrankungen. Nicht-pharmakologische Interventionen zur Expositionsreduktion auf Individual- und gesellschaftlicher Ebene diskutiert. Konkrete Effektgrößen im Text nicht systematisch quantifiziert; Kernaussage: integrierte Anstrengungen zur Verbesserung der Luftqualität erforderlich.</w:t>
      </w:r>
    </w:p>
    <w:p>
      <w:r>
        <w:rPr>
          <w:b/>
          <w:sz w:val="19"/>
        </w:rPr>
        <w:t xml:space="preserve">Übertragbarkeit: </w:t>
      </w:r>
      <w:r>
        <w:rPr>
          <w:sz w:val="19"/>
        </w:rPr>
        <w:t>Südkorea, gemäßigte Klimazone; Mechanismen und Risikogruppen für Deutschland relevant; absolute Schwellenwerte nicht direkt übertragbar.</w:t>
      </w:r>
    </w:p>
    <w:p>
      <w:r>
        <w:rPr>
          <w:color w:val="5A7D3A"/>
          <w:sz w:val="18"/>
        </w:rPr>
        <w:t>https://pubmed.ncbi.nlm.nih.gov/42754519/</w:t>
      </w:r>
    </w:p>
    <w:p>
      <w:pPr>
        <w:pStyle w:val="Heading2"/>
      </w:pPr>
      <w:r>
        <w:t>Luftqualitätsgewinne und Sterblichkeit durch Clean-Heating in Nordchina</w:t>
      </w:r>
    </w:p>
    <w:p>
      <w:r>
        <w:rPr>
          <w:i/>
          <w:color w:val="666666"/>
          <w:sz w:val="18"/>
        </w:rPr>
        <w:t>Bao JL et al.  ·  J Environ Manage  ·  15.09.2026  ·  PMID 42748737</w:t>
      </w:r>
    </w:p>
    <w:p>
      <w:r>
        <w:t>Evaluation von 88 Clean-Heating-Pilotprogrammen in Nordchina (2013–2023) mit Synthetic-Control-Methode, Wetter-Normalisierung und attributablen Todesfällen.</w:t>
      </w:r>
    </w:p>
    <w:p>
      <w:r>
        <w:rPr>
          <w:b/>
        </w:rPr>
        <w:t xml:space="preserve">Ergebnis: </w:t>
      </w:r>
      <w:r>
        <w:t>PM2.5-Reduktion im Heizsaison-Mittel: -3,01 μg/m³; P95: -5,76 μg/m³; P99: -5,96 μg/m³; -7,92 Überschreitungstage pro Saison. Geschätzte Vermeidung von 12.454 PM2.5-attributierten Todesfällen (95%-KI 8.564–16.222) an Verbesserungstagen. 88,9 % der Gewinne in Kohorten 2017/2018; 56,2 % in den Top-10 der Städte konzentriert.</w:t>
      </w:r>
    </w:p>
    <w:p>
      <w:r>
        <w:rPr>
          <w:b/>
          <w:sz w:val="19"/>
        </w:rPr>
        <w:t xml:space="preserve">Übertragbarkeit: </w:t>
      </w:r>
      <w:r>
        <w:rPr>
          <w:sz w:val="19"/>
        </w:rPr>
        <w:t>Nur bedingt: China-spezifische Heizmethoden und Basislastniveaus; Methodik der Verteilungsanalyse für Deutschland nutzbar.</w:t>
      </w:r>
    </w:p>
    <w:p>
      <w:r>
        <w:rPr>
          <w:color w:val="5A7D3A"/>
          <w:sz w:val="18"/>
        </w:rPr>
        <w:t>https://pubmed.ncbi.nlm.nih.gov/42748737/</w:t>
      </w:r>
    </w:p>
    <w:p>
      <w:pPr>
        <w:pStyle w:val="Heading2"/>
      </w:pPr>
      <w:r>
        <w:t>Duftstoffe in Raumsprays: Konzentrationen, Mischungsmuster und Inhalationsrisiken</w:t>
      </w:r>
    </w:p>
    <w:p>
      <w:r>
        <w:rPr>
          <w:i/>
          <w:color w:val="666666"/>
          <w:sz w:val="18"/>
        </w:rPr>
        <w:t>Lee HS et al.  ·  Environ Int  ·  22.08.2026  ·  PMID 42641348</w:t>
      </w:r>
    </w:p>
    <w:p>
      <w:r>
        <w:t>Vergleichende Analyse von 58 Duftstoffen in 50 südkoreanischen und 41 europäischen Raumsprays mittels Gaschromatographie-Massenspektrometrie und Risikobewertung.</w:t>
      </w:r>
    </w:p>
    <w:p>
      <w:r>
        <w:rPr>
          <w:b/>
        </w:rPr>
        <w:t xml:space="preserve">Ergebnis: </w:t>
      </w:r>
      <w:r>
        <w:t>Linalool dominant (32 % Südkorea, 27 % Europa). Vier Stoffe (Campher, Linalylacetat, α-Hexylcinnamaldehyd, Lilial) überschritten Sicherheitsschwelle in Tier-1-Assessment (HQ &gt; 1), aber nicht in realistischen Tier-2-Szenarien (HQ &lt; 1). Regionale Unterschiede in Duftkombinationen (r Häufigkeiten = 0,87; Konzentrationen r = 0,59).</w:t>
      </w:r>
    </w:p>
    <w:p>
      <w:r>
        <w:rPr>
          <w:b/>
          <w:sz w:val="19"/>
        </w:rPr>
        <w:t xml:space="preserve">Übertragbarkeit: </w:t>
      </w:r>
      <w:r>
        <w:rPr>
          <w:sz w:val="19"/>
        </w:rPr>
        <w:t>Deutschland, Niederlande: europäische Formulierungen direkt übertragbar; Inhalationsexposition vergleichbar.</w:t>
      </w:r>
    </w:p>
    <w:p>
      <w:r>
        <w:rPr>
          <w:color w:val="5A7D3A"/>
          <w:sz w:val="18"/>
        </w:rPr>
        <w:t>https://pubmed.ncbi.nlm.nih.gov/42641348/</w:t>
      </w:r>
    </w:p>
    <w:p>
      <w:pPr>
        <w:pStyle w:val="Heading1"/>
      </w:pPr>
      <w:r>
        <w:t>Aufgenommen am 04.10.2026</w:t>
      </w:r>
    </w:p>
    <w:p>
      <w:pPr>
        <w:pStyle w:val="Heading2"/>
      </w:pPr>
      <w:r>
        <w:t>Verhaltensänderung und Systemwandel in Klimaschutzmaßnahmen</w:t>
      </w:r>
    </w:p>
    <w:p>
      <w:r>
        <w:rPr>
          <w:i/>
          <w:color w:val="666666"/>
          <w:sz w:val="18"/>
        </w:rPr>
        <w:t>Crielaard L et al.  ·  Int J Behav Nutr Phys Act  ·  02.10.2026  ·  PMID 42827262</w:t>
      </w:r>
    </w:p>
    <w:p>
      <w:r>
        <w:t>Qualitative Analyse, wie wissenschaftliche Gesellschaften Klimahandeln zwischen Individualverantwortung und strukturellem Wandel gestalten können.</w:t>
      </w:r>
    </w:p>
    <w:p>
      <w:r>
        <w:rPr>
          <w:b/>
        </w:rPr>
        <w:t xml:space="preserve">Ergebnis: </w:t>
      </w:r>
      <w:r>
        <w:t>Zentrale Kernaussage: Fokus auf individuelle Kohlenstoffbilanzierung ohne eingebettete institutionelle Veränderungen riskiert Überbetonung der Einzelverantwortung. Vier Systemwissenschafts-Lenses identifiziert (Lastverschiebung, fundamentaler Attributionsfehler, Bergaufstrecke, unbeabsichtigte Folgen) mit drei Handlungsansätzen für Verbände.</w:t>
      </w:r>
    </w:p>
    <w:p>
      <w:r>
        <w:rPr>
          <w:b/>
          <w:sz w:val="19"/>
        </w:rPr>
        <w:t xml:space="preserve">Übertragbarkeit: </w:t>
      </w:r>
      <w:r>
        <w:rPr>
          <w:sz w:val="19"/>
        </w:rPr>
        <w:t>Niederlande, vergleichbares Versorgungssystem; Systemisches Denken für deutsche Gesundheitssektor-Institutionen.</w:t>
      </w:r>
    </w:p>
    <w:p>
      <w:r>
        <w:rPr>
          <w:color w:val="5A7D3A"/>
          <w:sz w:val="18"/>
        </w:rPr>
        <w:t>https://pubmed.ncbi.nlm.nih.gov/42827262/</w:t>
      </w:r>
    </w:p>
    <w:p>
      <w:pPr>
        <w:pStyle w:val="Heading2"/>
      </w:pPr>
      <w:r>
        <w:t>Viscerale Leishmaniasis: Umweltdeterminanten und One-Health-Perspektive</w:t>
      </w:r>
    </w:p>
    <w:p>
      <w:r>
        <w:rPr>
          <w:i/>
          <w:color w:val="666666"/>
          <w:sz w:val="18"/>
        </w:rPr>
        <w:t>Shrivastava SR et al.  ·  Front Public Health  ·  15.09.2026  ·  PMID 42812481</w:t>
      </w:r>
    </w:p>
    <w:p>
      <w:r>
        <w:t>Qualitative Perspektivarbeit zur Integration von Umweltrisiken und Siedlungsstruktur in Kala-Azar-Eliminationsstrategien aus One-Health-Sicht.</w:t>
      </w:r>
    </w:p>
    <w:p>
      <w:r>
        <w:rPr>
          <w:b/>
        </w:rPr>
        <w:t xml:space="preserve">Ergebnis: </w:t>
      </w:r>
      <w:r>
        <w:t>Kernaussage: Umweltsurveillance (Habitatqualität, Vektor-Ökologie, Abwasser) ist bislang unterpriorisiert. Empfohlen: Systematische Umweltbewertungen, Community-basiertes Monitoring, harmonisierte Datenerfassung, Integration mit klinischen und epidemiologischen Strategien zur Stärkung der Nachhaltigkeit von Eliminationsprogrammen.</w:t>
      </w:r>
    </w:p>
    <w:p>
      <w:r>
        <w:rPr>
          <w:b/>
          <w:sz w:val="19"/>
        </w:rPr>
        <w:t xml:space="preserve">Übertragbarkeit: </w:t>
      </w:r>
      <w:r>
        <w:rPr>
          <w:sz w:val="19"/>
        </w:rPr>
        <w:t>Südasien-Konzept; Methodik für Vektor-Überwachung relevant, absolutes Endemie-Risiko dort grundlegend anders.</w:t>
      </w:r>
    </w:p>
    <w:p>
      <w:r>
        <w:rPr>
          <w:color w:val="5A7D3A"/>
          <w:sz w:val="18"/>
        </w:rPr>
        <w:t>https://pubmed.ncbi.nlm.nih.gov/42812481/</w:t>
      </w:r>
    </w:p>
    <w:p>
      <w:pPr>
        <w:pStyle w:val="Heading2"/>
      </w:pPr>
      <w:r>
        <w:t>Schistosomiasis-Kontrolle unter One-Health-Konzept in Jiangxi</w:t>
      </w:r>
    </w:p>
    <w:p>
      <w:r>
        <w:rPr>
          <w:i/>
          <w:color w:val="666666"/>
          <w:sz w:val="18"/>
        </w:rPr>
        <w:t>He T et al.  ·  Zhongguo Xue Xi Chong Bing Fang Zhi Za Zhi  ·  26.08.2026  ·  PMID 42779245</w:t>
      </w:r>
    </w:p>
    <w:p>
      <w:r>
        <w:t>Qualitative Übersicht über Schistosomiasis-Eliminationsstrategie in Jiangxi (China), beleuchtet Klimawandel, Bevölkerungsmobilität und Mensch-Tier-Umwelt-Koordination.</w:t>
      </w:r>
    </w:p>
    <w:p>
      <w:r>
        <w:rPr>
          <w:b/>
        </w:rPr>
        <w:t xml:space="preserve">Ergebnis: </w:t>
      </w:r>
      <w:r>
        <w:t>Kernaussagen: (1) Bisherige Erfolge durch Parteiführung, Intersektorialität und Schneckenhabitat-Management; (2) Neue Risiken: Klimawandel, Bevölkerungsbewegung, Viehzucht-Resurgence, Wildtier-Transmission; (3) Empfehlung: Mehrkanaliges Überwachungssystem (Mensch-Tier-Schnecke-Umwelt), Vieh- und Wildtiermanagement, Verlagerung zu Koexistenzgovernance bis 2030.</w:t>
      </w:r>
    </w:p>
    <w:p>
      <w:r>
        <w:rPr>
          <w:b/>
          <w:sz w:val="19"/>
        </w:rPr>
        <w:t xml:space="preserve">Übertragbarkeit: </w:t>
      </w:r>
      <w:r>
        <w:rPr>
          <w:sz w:val="19"/>
        </w:rPr>
        <w:t>China, tropisch-subtropisch; Methodischer Mehrsektor-Ansatz (One Health) übertragbar, absolute Temperaturen/Anpassung nicht.</w:t>
      </w:r>
    </w:p>
    <w:p>
      <w:r>
        <w:rPr>
          <w:color w:val="5A7D3A"/>
          <w:sz w:val="18"/>
        </w:rPr>
        <w:t>https://pubmed.ncbi.nlm.nih.gov/42779245/</w:t>
      </w:r>
    </w:p>
    <w:p>
      <w:pPr>
        <w:pStyle w:val="Heading2"/>
      </w:pPr>
      <w:r>
        <w:t>Temperatur und Arbeitsunfallrisiko im US-Bergbau</w:t>
      </w:r>
    </w:p>
    <w:p>
      <w:r>
        <w:rPr>
          <w:i/>
          <w:color w:val="666666"/>
          <w:sz w:val="18"/>
        </w:rPr>
        <w:t>Kahraman MM  ·  Environ Res  ·  01.11.2026  ·  PMID 42772358</w:t>
      </w:r>
    </w:p>
    <w:p>
      <w:r>
        <w:t>Analyse der Beziehung zwischen täglicher maximaler Temperatur und Verletzungsrisiko in 9.833 US-Oberflächenminen (2005–2025) mittels Case-Crossover-Design.</w:t>
      </w:r>
    </w:p>
    <w:p>
      <w:r>
        <w:rPr>
          <w:b/>
        </w:rPr>
        <w:t xml:space="preserve">Ergebnis: </w:t>
      </w:r>
      <w:r>
        <w:t>Bei 35,0 °C (95. Perzentil) erhöhtes Verletzungsrisiko (RR 1,09, 95%-KI 1,01–1,18). Kälteeffekte waren subgruppenspezifisch, besonders bei Stürzen (RR 2,22, 95%-KI 1,71–2,89). Die 95. Perzentile-Assoziation war robust über acht von neun Spezifikationen.</w:t>
      </w:r>
    </w:p>
    <w:p>
      <w:r>
        <w:rPr>
          <w:b/>
          <w:sz w:val="19"/>
        </w:rPr>
        <w:t xml:space="preserve">Übertragbarkeit: </w:t>
      </w:r>
      <w:r>
        <w:rPr>
          <w:sz w:val="19"/>
        </w:rPr>
        <w:t>USA, gemäßigte Zone; Methodik auf Hitzestress übertragbar, Temperaturschwellen regional unterschiedlich.</w:t>
      </w:r>
    </w:p>
    <w:p>
      <w:r>
        <w:rPr>
          <w:color w:val="5A7D3A"/>
          <w:sz w:val="18"/>
        </w:rPr>
        <w:t>https://pubmed.ncbi.nlm.nih.gov/42772358/</w:t>
      </w:r>
    </w:p>
    <w:p>
      <w:pPr>
        <w:pStyle w:val="Heading2"/>
      </w:pPr>
      <w:r>
        <w:t>Barrieren und Strategien für schadstofffreie Baumaterialien</w:t>
      </w:r>
    </w:p>
    <w:p>
      <w:r>
        <w:rPr>
          <w:i/>
          <w:color w:val="666666"/>
          <w:sz w:val="18"/>
        </w:rPr>
        <w:t>Chellappa V et al.  ·  Front Public Health  ·  04.09.2026  ·  PMID 42760996</w:t>
      </w:r>
    </w:p>
    <w:p>
      <w:r>
        <w:t>Delphi-Studie mit 22 Experten zur Priorisierung von Hürden und Lösungsansätzen beim Einsatz ungiftiger Materialien in Innenarchitektur.</w:t>
      </w:r>
    </w:p>
    <w:p>
      <w:r>
        <w:rPr>
          <w:b/>
        </w:rPr>
        <w:t xml:space="preserve">Ergebnis: </w:t>
      </w:r>
      <w:r>
        <w:t>Top 5 Barrieren: Mangelndes Bewusstsein (Rang 1), begrenzte Nachfrage (2), kulturelle Widerstände (3), fehlende Kooperation (4), unzureichende Daten (5). Top 5 Strategien: Bildungskampagnen (1), Klientenschulung (2), Kooperationskultur (3), interdisziplinäre Zusammenarbeit (4), Ressourcen-Datenbanken (5).</w:t>
      </w:r>
    </w:p>
    <w:p>
      <w:r>
        <w:rPr>
          <w:b/>
          <w:sz w:val="19"/>
        </w:rPr>
        <w:t xml:space="preserve">Übertragbarkeit: </w:t>
      </w:r>
      <w:r>
        <w:rPr>
          <w:sz w:val="19"/>
        </w:rPr>
        <w:t>International, Systemdesign übertragbar; Baumaterialien-Toxizität ist Planetary-Health-Thema für Kliniken und öffentliche Gebäude.</w:t>
      </w:r>
    </w:p>
    <w:p>
      <w:r>
        <w:rPr>
          <w:color w:val="5A7D3A"/>
          <w:sz w:val="18"/>
        </w:rPr>
        <w:t>https://pubmed.ncbi.nlm.nih.gov/42760996/</w:t>
      </w:r>
    </w:p>
    <w:p>
      <w:pPr>
        <w:pStyle w:val="Heading2"/>
      </w:pPr>
      <w:r>
        <w:t>Luftverschmutzung und Atemwegserkrankungen bei Kindern in Mexiko</w:t>
      </w:r>
    </w:p>
    <w:p>
      <w:r>
        <w:rPr>
          <w:i/>
          <w:color w:val="666666"/>
          <w:sz w:val="18"/>
        </w:rPr>
        <w:t>San Juan-Reyes S et al.  ·  Environ Sci Pollut Res Int  ·  17.09.2026  ·  PMID 42754785</w:t>
      </w:r>
    </w:p>
    <w:p>
      <w:r>
        <w:t>Case-Crossover-Analyse von 266 Kindern unter 5 Jahren mit Krankenhausaufnahmen wegen Atemwegserkrankungen und Luftschadstoffexpositionen (Jan–Dez 2023).</w:t>
      </w:r>
    </w:p>
    <w:p>
      <w:r>
        <w:rPr>
          <w:b/>
        </w:rPr>
        <w:t xml:space="preserve">Ergebnis: </w:t>
      </w:r>
      <w:r>
        <w:t>PM₂,₅-Exposition assoziiert mit erhöhtem Hospitalisierungsrisiko für Virruspneumonie, bakterielle Pneumonie und Asthma. CO-Exposition assoziiert mit Bronchiolitis. Heterogene Assoziationen zwischen Gemeinden, stärkste Effekte in San Mateo Atenco, Metepec und Calimaya.</w:t>
      </w:r>
    </w:p>
    <w:p>
      <w:r>
        <w:rPr>
          <w:b/>
          <w:sz w:val="19"/>
        </w:rPr>
        <w:t xml:space="preserve">Übertragbarkeit: </w:t>
      </w:r>
      <w:r>
        <w:rPr>
          <w:sz w:val="19"/>
        </w:rPr>
        <w:t>Mexiko, Tropen; Methodik übertragbar, absolute Schadstoffschwellen und Anpassung dort anders als in Deutschland.</w:t>
      </w:r>
    </w:p>
    <w:p>
      <w:r>
        <w:rPr>
          <w:color w:val="5A7D3A"/>
          <w:sz w:val="18"/>
        </w:rPr>
        <w:t>https://pubmed.ncbi.nlm.nih.gov/42754785/</w:t>
      </w:r>
    </w:p>
    <w:p>
      <w:pPr>
        <w:pStyle w:val="Heading1"/>
      </w:pPr>
      <w:r>
        <w:t>Aufgenommen am 03.10.2026</w:t>
      </w:r>
    </w:p>
    <w:p>
      <w:pPr>
        <w:pStyle w:val="Heading2"/>
      </w:pPr>
      <w:r>
        <w:t>Klimawandel und Mücken-Infektionen: Dengue versus Malaria</w:t>
      </w:r>
    </w:p>
    <w:p>
      <w:r>
        <w:rPr>
          <w:i/>
          <w:color w:val="666666"/>
          <w:sz w:val="18"/>
        </w:rPr>
        <w:t>Cumming TB et al.  ·  Sci Adv  ·  02.10.2026  ·  PMID 42826200</w:t>
      </w:r>
    </w:p>
    <w:p>
      <w:r>
        <w:t>Die Studie analysiert, warum steigende Temperaturen und Feuchte beide Mückenvektoren (Anopheles für Malaria, Aedes für Dengue) begünstigen, aber unterschiedliche Krankheitstrajectories entstehen.</w:t>
      </w:r>
    </w:p>
    <w:p>
      <w:r>
        <w:rPr>
          <w:b/>
        </w:rPr>
        <w:t xml:space="preserve">Ergebnis: </w:t>
      </w:r>
      <w:r>
        <w:t>Trotz ähnlicher Auswirkungen von Klimafaktoren auf die Übertragungsparameter zeigen Malaria und Dengue entgegengesetzte Trends: Dengue expandiert schnell, während Malaria langfristig abnimmt. Dieser Unterschied resultiert aus komplexen nichtlinearen Beziehungen, saisonalen Effekten und lokaler Variabilität sowie dem Einfluss von Bevölkerungsbewegungen, Immunität, Landnutzung, Urbanisierung und Kontrollmaßnahmen.</w:t>
      </w:r>
    </w:p>
    <w:p>
      <w:r>
        <w:rPr>
          <w:b/>
          <w:sz w:val="19"/>
        </w:rPr>
        <w:t xml:space="preserve">Übertragbarkeit: </w:t>
      </w:r>
      <w:r>
        <w:rPr>
          <w:sz w:val="19"/>
        </w:rPr>
        <w:t>Globale Perspektive—Methodik zur Analyse komplexer Klima-Krankheits-Interaktionen ist übertragbar; absolute Risiken regional stark verschieden.</w:t>
      </w:r>
    </w:p>
    <w:p>
      <w:r>
        <w:rPr>
          <w:color w:val="5A7D3A"/>
          <w:sz w:val="18"/>
        </w:rPr>
        <w:t>https://pubmed.ncbi.nlm.nih.gov/42826200/</w:t>
      </w:r>
    </w:p>
    <w:p>
      <w:pPr>
        <w:pStyle w:val="Heading2"/>
      </w:pPr>
      <w:r>
        <w:t>Hitzewellen und funktionelle Gesundheit bei älteren Erwachsenen in China</w:t>
      </w:r>
    </w:p>
    <w:p>
      <w:r>
        <w:rPr>
          <w:i/>
          <w:color w:val="666666"/>
          <w:sz w:val="18"/>
        </w:rPr>
        <w:t>Huang L et al.  ·  BMC Public Health  ·  26.09.2026  ·  PMID 42823677</w:t>
      </w:r>
    </w:p>
    <w:p>
      <w:r>
        <w:t>Die Studie untersuchte den Zusammenhang zwischen kumulativer Hitzeexposition und Trajectories der intrinsischen Kapazität (multidimensionales Maß der Gesundheit) bei 1.393 chinesischen Erwachsenen über drei Wellen (2011–2015).</w:t>
      </w:r>
    </w:p>
    <w:p>
      <w:r>
        <w:rPr>
          <w:b/>
        </w:rPr>
        <w:t xml:space="preserve">Ergebnis: </w:t>
      </w:r>
      <w:r>
        <w:t>Jeder zusätzliche Hitzewell-Tag erhöhte das Risiko einer Low-declining IC-Trajectory signifikant (RRR 1,035, 95%-KI 1,012–1,058, p=0,003). Der Effekt war stärker bei Personen mit primärer Schulbildung oder weniger (RRR 1,07) und bei ländlichen Bewohnern (RRR 1,05). Kalte Phasen zeigten keine signifikante Assoziation (p=0,554).</w:t>
      </w:r>
    </w:p>
    <w:p>
      <w:r>
        <w:rPr>
          <w:b/>
          <w:sz w:val="19"/>
        </w:rPr>
        <w:t xml:space="preserve">Übertragbarkeit: </w:t>
      </w:r>
      <w:r>
        <w:rPr>
          <w:sz w:val="19"/>
        </w:rPr>
        <w:t>China mit vergleichbarem Klima—höhere Temperaturschwellen; Befunde zur Vulnerabilität sozioökonomisch Benachteiligter sind prinzipiell relevant.</w:t>
      </w:r>
    </w:p>
    <w:p>
      <w:r>
        <w:rPr>
          <w:color w:val="5A7D3A"/>
          <w:sz w:val="18"/>
        </w:rPr>
        <w:t>https://pubmed.ncbi.nlm.nih.gov/42823677/</w:t>
      </w:r>
    </w:p>
    <w:p>
      <w:pPr>
        <w:pStyle w:val="Heading2"/>
      </w:pPr>
      <w:r>
        <w:t>Gesundheitsrisiken verschiedener Luftverschmutzungs-Events: Vergleichende Analyse</w:t>
      </w:r>
    </w:p>
    <w:p>
      <w:r>
        <w:rPr>
          <w:i/>
          <w:color w:val="666666"/>
          <w:sz w:val="18"/>
        </w:rPr>
        <w:t>Zheng F et al.  ·  J Environ Sci (China)  ·  16.02.2026  ·  PMID 42822912</w:t>
      </w:r>
    </w:p>
    <w:p>
      <w:r>
        <w:t>Die Studie verglich Gesundheitsrisiken von drei Typ-Luftverschmutzungsereignissen (Smog, Feuerwerk, Staub) in Beijing 2019 anhand von Partikelgröße, -zusammensetzung und oxidativem Potenzial.</w:t>
      </w:r>
    </w:p>
    <w:p>
      <w:r>
        <w:rPr>
          <w:b/>
        </w:rPr>
        <w:t xml:space="preserve">Ergebnis: </w:t>
      </w:r>
      <w:r>
        <w:t>Während Haze Feuerwerk und Dust Events unterschiedliche Depositionsmuster zeigten (Haze in tracheobronchialen/pulmonalen Regionen, Dust in extra-thorakalen/TB-Regionen), überschritt das Gesamt-Krebsrisiko (TCR) bei allen verschmutzten Ereignissen den Sicherheitsschwellwert (1,0×10⁻⁴), erreichend 7,6×, 4,2× und 1,5× die Werte an sauberen Tagen (2,3×10⁻⁴). Chronische Hazard-Indizes stiegen bei Feuerwerk auf 241, Dust auf 100, Haze auf 37 (sauber: 23). PM₂.₅-Oxidatives Potenzial war konsistent höher als an sauberen Tagen.</w:t>
      </w:r>
    </w:p>
    <w:p>
      <w:r>
        <w:rPr>
          <w:b/>
          <w:sz w:val="19"/>
        </w:rPr>
        <w:t xml:space="preserve">Übertragbarkeit: </w:t>
      </w:r>
      <w:r>
        <w:rPr>
          <w:sz w:val="19"/>
        </w:rPr>
        <w:t>China—höhere Pollutantniveaus als Deutschland; Methodik der Mehrindikator-Risikobewertung übertragbar.</w:t>
      </w:r>
    </w:p>
    <w:p>
      <w:r>
        <w:rPr>
          <w:color w:val="5A7D3A"/>
          <w:sz w:val="18"/>
        </w:rPr>
        <w:t>https://pubmed.ncbi.nlm.nih.gov/42822912/</w:t>
      </w:r>
    </w:p>
    <w:p>
      <w:pPr>
        <w:pStyle w:val="Heading2"/>
      </w:pPr>
      <w:r>
        <w:t>Emerierende virale Zoonosen 2016–2026: Systematische Übersicht und Meta-Analyse</w:t>
      </w:r>
    </w:p>
    <w:p>
      <w:r>
        <w:rPr>
          <w:i/>
          <w:color w:val="666666"/>
          <w:sz w:val="18"/>
        </w:rPr>
        <w:t>Tao P et al.  ·  Transbound Emerg Dis  ·  2026  ·  PMID 42811656</w:t>
      </w:r>
    </w:p>
    <w:p>
      <w:r>
        <w:t>Systematische Analyse von 312 Studien zu Spillover-Ereignissen viraler Erreger aus Tierreservoirs in menschliche Populationen über ein Jahrzehnt.</w:t>
      </w:r>
    </w:p>
    <w:p>
      <w:r>
        <w:rPr>
          <w:b/>
        </w:rPr>
        <w:t xml:space="preserve">Ergebnis: </w:t>
      </w:r>
      <w:r>
        <w:t>Jährliche hochfolgenreiche Spillover-Ereignisse stiegen um 4,98% (95%-KI 3,22–6,76%), mit fünf Erklärungen von Notständen von internationaler Tragweite. Landnutzungsänderung war der dominante anthropogene Treiber, erhöhte die Zoonose-Wirts-Diversität um 18–72%. Nicht-pharmazeutische Interventionen reduzierten die effektive Reproduktionszahl um bis zu 82%. One-Health-Prävention hatte eine finanzielle Rendite von über 1100%.</w:t>
      </w:r>
    </w:p>
    <w:p>
      <w:r>
        <w:rPr>
          <w:b/>
          <w:sz w:val="19"/>
        </w:rPr>
        <w:t xml:space="preserve">Übertragbarkeit: </w:t>
      </w:r>
      <w:r>
        <w:rPr>
          <w:sz w:val="19"/>
        </w:rPr>
        <w:t>Globale Metaanalyse—Methodik und Prävention-ROI übertragbar; spezifische Virengeographien sind regional verschieden.</w:t>
      </w:r>
    </w:p>
    <w:p>
      <w:r>
        <w:rPr>
          <w:color w:val="5A7D3A"/>
          <w:sz w:val="18"/>
        </w:rPr>
        <w:t>https://pubmed.ncbi.nlm.nih.gov/42811656/</w:t>
      </w:r>
    </w:p>
    <w:p>
      <w:pPr>
        <w:pStyle w:val="Heading2"/>
      </w:pPr>
      <w:r>
        <w:t>Chronische Verlaufserkrankungen im Sicherheitsdenken: Long COVID als Fallstudie</w:t>
      </w:r>
    </w:p>
    <w:p>
      <w:r>
        <w:rPr>
          <w:i/>
          <w:color w:val="666666"/>
          <w:sz w:val="18"/>
        </w:rPr>
        <w:t>Finkelstein P  ·  Global Health  ·  28.09.2026  ·  PMID 42806328</w:t>
      </w:r>
    </w:p>
    <w:p>
      <w:r>
        <w:t>Qualitative Analyse, warum Long COVID trotz weltweiter Betroffenheit nicht in Sicherheitsagenden verankert ist und welche Hindernisse eine Securitization dieser chronischen Bedrohung blockieren.</w:t>
      </w:r>
    </w:p>
    <w:p>
      <w:r>
        <w:rPr>
          <w:b/>
        </w:rPr>
        <w:t xml:space="preserve">Ergebnis: </w:t>
      </w:r>
      <w:r>
        <w:t>Die zeitliche Diskrepanz zwischen chronischem Verlauf und akuten Sicherheitsrahmen, fehlende wissenschaftliche Gewissheit, fragmentierte Governance, begrenzte öffentliche Aufmerksamkeit und kulturelle Betonung individueller Verantwortung verhindern die Anerkennung als existenzielle Bedrohung. Internationale Institutionen (UN, WHO) zeigen ähnliche Trägheit durch mehrdeutige Mandate und konkurrierende Prioritäten.</w:t>
      </w:r>
    </w:p>
    <w:p>
      <w:r>
        <w:rPr>
          <w:b/>
          <w:sz w:val="19"/>
        </w:rPr>
        <w:t xml:space="preserve">Übertragbarkeit: </w:t>
      </w:r>
      <w:r>
        <w:rPr>
          <w:sz w:val="19"/>
        </w:rPr>
        <w:t>Argumentiert für Konzeptionalisierung von Slow-onset-Krisen im Gesundheitssystem—direkt relevant für Hitze, Luftverschmutzung, psychische Folgen des Klimawandels in Deutschland.</w:t>
      </w:r>
    </w:p>
    <w:p>
      <w:r>
        <w:rPr>
          <w:color w:val="5A7D3A"/>
          <w:sz w:val="18"/>
        </w:rPr>
        <w:t>https://pubmed.ncbi.nlm.nih.gov/42806328/</w:t>
      </w:r>
    </w:p>
    <w:p>
      <w:pPr>
        <w:pStyle w:val="Heading2"/>
      </w:pPr>
      <w:r>
        <w:t>Mikrobiologische Risiken in Regenwassernutzungssystemen: Quellen und Gesundheitsfolgen</w:t>
      </w:r>
    </w:p>
    <w:p>
      <w:r>
        <w:rPr>
          <w:i/>
          <w:color w:val="666666"/>
          <w:sz w:val="18"/>
        </w:rPr>
        <w:t>Jamka K et al.  ·  Ann Agric Environ Med  ·  21.09.2026  ·  PMID 42802948</w:t>
      </w:r>
    </w:p>
    <w:p>
      <w:r>
        <w:t>Systematische Übersichtsarbeit (2000–2026) zu mikrobiologischen Gefahren, Indikatorbakterien und Risikoabschätzung in Regenwasser-Harvesting-Systemen als Adaptation an Klimaveränderungen.</w:t>
      </w:r>
    </w:p>
    <w:p>
      <w:r>
        <w:rPr>
          <w:b/>
        </w:rPr>
        <w:t xml:space="preserve">Ergebnis: </w:t>
      </w:r>
      <w:r>
        <w:t>Unbehandeltes Wasser aus RWHS ist häufig geeignet für Nicht-Konsumzwecke, überschreitet aber in der Regel die Standards für Trinkwasser. Fäkalindikatoren (FIB) sind problematisch zur Quelle-Identifikation; Mikrobielle-Quellen-Tracking (MST) und Quantitative-Microbial-Risk-Assessment (QMRA) sind zentrale Methoden. Für Trinkwasser-Nutzung ist typischerweise Behandlung und kontinuierliche Überwachung erforderlich.</w:t>
      </w:r>
    </w:p>
    <w:p>
      <w:r>
        <w:rPr>
          <w:b/>
          <w:sz w:val="19"/>
        </w:rPr>
        <w:t xml:space="preserve">Übertragbarkeit: </w:t>
      </w:r>
      <w:r>
        <w:rPr>
          <w:sz w:val="19"/>
        </w:rPr>
        <w:t>Deutschland und Mitteleuropa—wachsendes Thema bei extremer Trockenheit und Wassermangel (Dürre-Adaptation).</w:t>
      </w:r>
    </w:p>
    <w:p>
      <w:r>
        <w:rPr>
          <w:color w:val="5A7D3A"/>
          <w:sz w:val="18"/>
        </w:rPr>
        <w:t>https://pubmed.ncbi.nlm.nih.gov/42802948/</w:t>
      </w:r>
    </w:p>
    <w:p>
      <w:pPr>
        <w:pStyle w:val="Heading1"/>
      </w:pPr>
      <w:r>
        <w:t>Aufgenommen am 02.10.2026</w:t>
      </w:r>
    </w:p>
    <w:p>
      <w:pPr>
        <w:pStyle w:val="Heading2"/>
      </w:pPr>
      <w:r>
        <w:t>Stickstoffdioxid und psychische Störungen: Zeitreihenanalyse über 10 Jahre</w:t>
      </w:r>
    </w:p>
    <w:p>
      <w:r>
        <w:rPr>
          <w:i/>
          <w:color w:val="666666"/>
          <w:sz w:val="18"/>
        </w:rPr>
        <w:t>Zhuang H et al.  ·  Int J Biometeorol  ·  01.10.2026  ·  PMID 42821023</w:t>
      </w:r>
    </w:p>
    <w:p>
      <w:r>
        <w:t>Zeitreihenstudie über 10+ Jahre (2015–2025) untersuchte akute Auswirkungen von NO₂-Exposition auf ambulante Besuche wegen psychischer und Verhaltensstörungen in Xinxiang, China (2.409.583 gültige Aufzeichnungen).</w:t>
      </w:r>
    </w:p>
    <w:p>
      <w:r>
        <w:rPr>
          <w:b/>
        </w:rPr>
        <w:t xml:space="preserve">Ergebnis: </w:t>
      </w:r>
      <w:r>
        <w:t>Pro 10 µg/m³ NO₂-Anstieg (lag0) nahmen Ambulanzbesuche um 2,54% (95% KI: 2,04–3,04%) zu; Effekt war in der kalten Jahreszeit stärker. Expositions-Response-Kurve deutete auf nicht-lineare Beziehung hin. Befunde unterstützen Luftqualitätskontrolle für mentale Gesundheit.</w:t>
      </w:r>
    </w:p>
    <w:p>
      <w:r>
        <w:rPr>
          <w:b/>
          <w:sz w:val="19"/>
        </w:rPr>
        <w:t xml:space="preserve">Übertragbarkeit: </w:t>
      </w:r>
      <w:r>
        <w:rPr>
          <w:sz w:val="19"/>
        </w:rPr>
        <w:t>China – städtische Luftverschmutzung; Mechanismus für gemäßigte Zonen plausibel, aber Schwellenwerte lokal spezifisch.</w:t>
      </w:r>
    </w:p>
    <w:p>
      <w:r>
        <w:rPr>
          <w:color w:val="5A7D3A"/>
          <w:sz w:val="18"/>
        </w:rPr>
        <w:t>https://pubmed.ncbi.nlm.nih.gov/42821023/</w:t>
      </w:r>
    </w:p>
    <w:p>
      <w:pPr>
        <w:pStyle w:val="Heading2"/>
      </w:pPr>
      <w:r>
        <w:t>Luftverschmutzung und Kriminalität: Dosis-Wirkungs-Analyse in China</w:t>
      </w:r>
    </w:p>
    <w:p>
      <w:r>
        <w:rPr>
          <w:i/>
          <w:color w:val="666666"/>
          <w:sz w:val="18"/>
        </w:rPr>
        <w:t>Han D et al.  ·  Int J Epidemiol  ·  18.08.2026  ·  PMID 42820415</w:t>
      </w:r>
    </w:p>
    <w:p>
      <w:r>
        <w:t>Landesweit zeitlich stratifizierte Fall-Crossover-Analyse von 483.718 Straftaten (2013–2019) zu Assoziationen mit Luftschadstoffexpositionen.</w:t>
      </w:r>
    </w:p>
    <w:p>
      <w:r>
        <w:rPr>
          <w:b/>
        </w:rPr>
        <w:t xml:space="preserve">Ergebnis: </w:t>
      </w:r>
      <w:r>
        <w:t>Alle sechs untersuchten Schadstoffe (PM2,5, PM10, NO₂, CO, SO₂, Ozon) waren mit erhöhter Kriminalitätsrate assoziiert; Feinstaub korrespondierte mit +1,66%, NO₂ mit +4,03% pro Interquartilbereich-Erhöhung. Effekte stärker in der kalten Jahreszeit und wirtschaftlich schwächeren Regionen; gewichtete Multipolluenten-Analyse zeigte +3,22% Anstieg.</w:t>
      </w:r>
    </w:p>
    <w:p>
      <w:r>
        <w:rPr>
          <w:b/>
          <w:sz w:val="19"/>
        </w:rPr>
        <w:t xml:space="preserve">Übertragbarkeit: </w:t>
      </w:r>
      <w:r>
        <w:rPr>
          <w:sz w:val="19"/>
        </w:rPr>
        <w:t>China – Methodik und Expositions-Response-Konzept übertragbar, aber regional unterschiedliche Schadstoffniveaus.</w:t>
      </w:r>
    </w:p>
    <w:p>
      <w:r>
        <w:rPr>
          <w:color w:val="5A7D3A"/>
          <w:sz w:val="18"/>
        </w:rPr>
        <w:t>https://pubmed.ncbi.nlm.nih.gov/42820415/</w:t>
      </w:r>
    </w:p>
    <w:p>
      <w:pPr>
        <w:pStyle w:val="Heading2"/>
      </w:pPr>
      <w:r>
        <w:t>Klimawandel, Exposom und Früh-Karzinogenese: Perspektivartikel</w:t>
      </w:r>
    </w:p>
    <w:p>
      <w:r>
        <w:rPr>
          <w:i/>
          <w:color w:val="666666"/>
          <w:sz w:val="18"/>
        </w:rPr>
        <w:t>Price S et al.  ·  Carcinogenesis  ·  07.07.2026  ·  PMID 42814569</w:t>
      </w:r>
    </w:p>
    <w:p>
      <w:r>
        <w:t>Perspektivarbeit zur Verbindung von anthropogenem Klimawandel, Biodiversitätsverlust, Umweltzerstörung und prokanzerogenen Exposomen als Treiber für frühe Krebsinzidenz (Diagnose vor 50 Jahren).</w:t>
      </w:r>
    </w:p>
    <w:p>
      <w:r>
        <w:rPr>
          <w:b/>
        </w:rPr>
        <w:t xml:space="preserve">Ergebnis: </w:t>
      </w:r>
      <w:r>
        <w:t>Positivarbeit argumentiert, dass komplexes Zusammenspiel von Klimawandel, Ökosystemzerstörung, Pathogenexposition und hochverarbeiteten Lebensmitteln ein prokanzerogenes Exposom schafft, besonders kritisch in Entwicklungsfenstern. Entzündung als gemeinsamer Mechanismus über mehrere chronische Erkrankungen identifiziert.</w:t>
      </w:r>
    </w:p>
    <w:p>
      <w:r>
        <w:rPr>
          <w:b/>
          <w:sz w:val="19"/>
        </w:rPr>
        <w:t xml:space="preserve">Übertragbarkeit: </w:t>
      </w:r>
      <w:r>
        <w:rPr>
          <w:sz w:val="19"/>
        </w:rPr>
        <w:t>USA (gering direkte Übertragbarkeit), aber Konzept der Planetary-Health-vermittelten Exposition prinzipiell universal.</w:t>
      </w:r>
    </w:p>
    <w:p>
      <w:r>
        <w:rPr>
          <w:color w:val="5A7D3A"/>
          <w:sz w:val="18"/>
        </w:rPr>
        <w:t>https://pubmed.ncbi.nlm.nih.gov/42814569/</w:t>
      </w:r>
    </w:p>
    <w:p>
      <w:pPr>
        <w:pStyle w:val="Heading2"/>
      </w:pPr>
      <w:r>
        <w:t>Holzkohlengrill-Arbeit und Blutzellveränderungen: Querschnittsstudie</w:t>
      </w:r>
    </w:p>
    <w:p>
      <w:r>
        <w:rPr>
          <w:i/>
          <w:color w:val="666666"/>
          <w:sz w:val="18"/>
        </w:rPr>
        <w:t>Yuksel B et al.  ·  Front Public Health  ·  15.09.2026  ·  PMID 42812457</w:t>
      </w:r>
    </w:p>
    <w:p>
      <w:r>
        <w:t>Vergleichende Querschnittsuntersuchung von 25 Grillrestaurant-Arbeitern versus 25 Büropersonen zu Partikelmaterialexposition und Erythrozyten-Morphologie.</w:t>
      </w:r>
    </w:p>
    <w:p>
      <w:r>
        <w:rPr>
          <w:b/>
        </w:rPr>
        <w:t xml:space="preserve">Ergebnis: </w:t>
      </w:r>
      <w:r>
        <w:t>Restaurants zeigten deutlich höhere PM-Konzentrationen (Median 117,8 vs. 0,23 µg/m³, p&lt;0,01). Grillarbeiter berichteten mehr Keuchen (12/25 vs. 0/25) und Dyspnoe (11/25 vs. 1/25). Nach Adjustierung für Alter, Geschlecht und Bildung blieben vier Poikilozyt-Formen signifikant erhöht: Dakrozyten (adjusted IRR 2,46, 95% KI 1,36–4,44), Elliptozyten (IRR 2,33), Sichelzellen (IRR 4,47) und Schistozyten (IRR 1,56).</w:t>
      </w:r>
    </w:p>
    <w:p>
      <w:r>
        <w:rPr>
          <w:b/>
          <w:sz w:val="19"/>
        </w:rPr>
        <w:t xml:space="preserve">Übertragbarkeit: </w:t>
      </w:r>
      <w:r>
        <w:rPr>
          <w:sz w:val="19"/>
        </w:rPr>
        <w:t>Türkei – relevante Expositionsszenarios für europäische Arbeitsschutzbetrachtung; Befunde hypothesengenerierend.</w:t>
      </w:r>
    </w:p>
    <w:p>
      <w:r>
        <w:rPr>
          <w:color w:val="5A7D3A"/>
          <w:sz w:val="18"/>
        </w:rPr>
        <w:t>https://pubmed.ncbi.nlm.nih.gov/42812457/</w:t>
      </w:r>
    </w:p>
    <w:p>
      <w:pPr>
        <w:pStyle w:val="Heading2"/>
      </w:pPr>
      <w:r>
        <w:t>Klimawandel und Tierkrankheiten: Systematischer Überblick zu Spillover-Risiken</w:t>
      </w:r>
    </w:p>
    <w:p>
      <w:r>
        <w:rPr>
          <w:i/>
          <w:color w:val="666666"/>
          <w:sz w:val="18"/>
        </w:rPr>
        <w:t>Lavarello-Schettini A et al.  ·  Lancet Planet Health  ·  14.09.2026  ·  PMID 42735690</w:t>
      </w:r>
    </w:p>
    <w:p>
      <w:r>
        <w:t>Systematische Übersichtsarbeit untersuchte Auswirkungen von Klimavariabilität auf die Epidemiologie von Infektionskrankheiten bei Tieren mit Relevanz für Zoonose-Risiken.</w:t>
      </w:r>
    </w:p>
    <w:p>
      <w:r>
        <w:rPr>
          <w:b/>
        </w:rPr>
        <w:t xml:space="preserve">Ergebnis: </w:t>
      </w:r>
      <w:r>
        <w:t>73% der 33 eingeschlossenen Studien berichteten positive Assoziationen zwischen Klimafaktoren und erhöhtem Erkrankungsrisiko oder ausgedehntem geografischen Verbreitungsgebiet; vektorvermittelte Mechanismen wurden in 76% der Arbeiten identifiziert. Landnutzungsänderung als dominanter anthropogener Faktor erkannt.</w:t>
      </w:r>
    </w:p>
    <w:p>
      <w:r>
        <w:rPr>
          <w:b/>
          <w:sz w:val="19"/>
        </w:rPr>
        <w:t xml:space="preserve">Übertragbarkeit: </w:t>
      </w:r>
      <w:r>
        <w:rPr>
          <w:sz w:val="19"/>
        </w:rPr>
        <w:t>Europa und gemäßigte Breiten relevant; Fokus auf One-Health-Strategie übertragbar.</w:t>
      </w:r>
    </w:p>
    <w:p>
      <w:r>
        <w:rPr>
          <w:color w:val="5A7D3A"/>
          <w:sz w:val="18"/>
        </w:rPr>
        <w:t>https://pubmed.ncbi.nlm.nih.gov/42735690/</w:t>
      </w:r>
    </w:p>
    <w:p>
      <w:pPr>
        <w:pStyle w:val="Heading2"/>
      </w:pPr>
      <w:r>
        <w:t>Luftverschmutzung und Bürgeraktivismus: Atmosphärische Infrastrukturen in Tschechien</w:t>
      </w:r>
    </w:p>
    <w:p>
      <w:r>
        <w:rPr>
          <w:i/>
          <w:color w:val="666666"/>
          <w:sz w:val="18"/>
        </w:rPr>
        <w:t>Trnka S  ·  Sociol Health Illn  ·  Sept. 2026  ·  PMID 42712130</w:t>
      </w:r>
    </w:p>
    <w:p>
      <w:r>
        <w:t>Qualitative anthropologische Analyse von Aktivisten-Reaktionen auf Atemwegserkrankungen durch Luftverschmutzung in Tschechien; Konzept der ‚atmosphärischen Infrastrukturen'.</w:t>
      </w:r>
    </w:p>
    <w:p>
      <w:r>
        <w:rPr>
          <w:b/>
        </w:rPr>
        <w:t xml:space="preserve">Ergebnis: </w:t>
      </w:r>
      <w:r>
        <w:t>Kernfundes: Aktivisten rahmen Atemwegsgesundheit als Bürgerproblem (nicht Individualverantwortung), kombinieren Protestaktivitäten mit Gesundheitsbildung und betonen kollektive Verantwortung für sowohl meteorologische als auch affektive/politische Atmosphären. Zeigt Verknüpfung von Stadtluftqualität mit sozialer Kohäsion und politischem Bewusstsein.</w:t>
      </w:r>
    </w:p>
    <w:p>
      <w:r>
        <w:rPr>
          <w:b/>
          <w:sz w:val="19"/>
        </w:rPr>
        <w:t xml:space="preserve">Übertragbarkeit: </w:t>
      </w:r>
      <w:r>
        <w:rPr>
          <w:sz w:val="19"/>
        </w:rPr>
        <w:t>Tschechien (Mitteleuropa) – direkt auf deutschsprachigen Raum und städtische Luftpolitik übertragbar.</w:t>
      </w:r>
    </w:p>
    <w:p>
      <w:r>
        <w:rPr>
          <w:color w:val="5A7D3A"/>
          <w:sz w:val="18"/>
        </w:rPr>
        <w:t>https://pubmed.ncbi.nlm.nih.gov/42712130/</w:t>
      </w:r>
    </w:p>
    <w:p>
      <w:pPr>
        <w:pStyle w:val="Heading1"/>
      </w:pPr>
      <w:r>
        <w:t>Aufgenommen am 01.10.2026</w:t>
      </w:r>
    </w:p>
    <w:p>
      <w:pPr>
        <w:pStyle w:val="Heading2"/>
      </w:pPr>
      <w:r>
        <w:t>Langzeitfolgen von Klimawandel auf Gesundheit: globale systematische Übersichtsstudie quantitativer Forschung</w:t>
      </w:r>
    </w:p>
    <w:p>
      <w:r>
        <w:rPr>
          <w:i/>
          <w:color w:val="666666"/>
          <w:sz w:val="18"/>
        </w:rPr>
        <w:t>Limaheluw J et al.  ·  BMJ Open  ·  30.09.2026  ·  PMID 42816076</w:t>
      </w:r>
    </w:p>
    <w:p>
      <w:r>
        <w:t>Scoping Review von 1.223 quantitativen Publikationen (2000–Mai 2024) zu Langzeiteffekten des Klimawandels auf menschliche Gesundheit.</w:t>
      </w:r>
    </w:p>
    <w:p>
      <w:r>
        <w:rPr>
          <w:b/>
        </w:rPr>
        <w:t xml:space="preserve">Ergebnis: </w:t>
      </w:r>
      <w:r>
        <w:t>Temperatur und Vektorübertragene Krankheiten: 39,3 % bzw. 30,9 % aller Publikationen. 73 % (24/33) von 33 Tierkrankheitsstudien zeigten positive Assoziationen zwischen Klimavariablen und erhöhtem Erkrankungsrisiko. ~20 % retrospektive Evidenz (Klimawandel wirkt bereits); ~80 % prospektiv mit überwiegend variablen oder zunehmenden Gesundheitsfolgen. Häufigste Outcomes: Diarrhö, Malaria, Dengue, ischämische Herzerkrankung, Schlaganfall.</w:t>
      </w:r>
    </w:p>
    <w:p>
      <w:r>
        <w:rPr>
          <w:b/>
          <w:sz w:val="19"/>
        </w:rPr>
        <w:t xml:space="preserve">Übertragbarkeit: </w:t>
      </w:r>
      <w:r>
        <w:rPr>
          <w:sz w:val="19"/>
        </w:rPr>
        <w:t>Global, europäische und amerikanische Evidenzschwerpunkte, methodisch orientierungsweisend</w:t>
      </w:r>
    </w:p>
    <w:p>
      <w:r>
        <w:rPr>
          <w:color w:val="5A7D3A"/>
          <w:sz w:val="18"/>
        </w:rPr>
        <w:t>https://pubmed.ncbi.nlm.nih.gov/42816076/</w:t>
      </w:r>
    </w:p>
    <w:p>
      <w:pPr>
        <w:pStyle w:val="Heading2"/>
      </w:pPr>
      <w:r>
        <w:t>Berufliche Hitzebelastung bei mobilen Gesundheitsdiensten: Schweizer Querschnittstudie</w:t>
      </w:r>
    </w:p>
    <w:p>
      <w:r>
        <w:rPr>
          <w:i/>
          <w:color w:val="666666"/>
          <w:sz w:val="18"/>
        </w:rPr>
        <w:t>Fortunato R et al.  ·  BMC Public Health  ·  29.09.2026  ·  PMID 42811302</w:t>
      </w:r>
    </w:p>
    <w:p>
      <w:r>
        <w:t>Die Studie untersuchte die wahrgenommene Hitzebelastung und hitzebezogene Symptome bei Mitarbeitern mobiler Gesundheitsdienste in der Schweiz.</w:t>
      </w:r>
    </w:p>
    <w:p>
      <w:r>
        <w:rPr>
          <w:b/>
        </w:rPr>
        <w:t xml:space="preserve">Ergebnis: </w:t>
      </w:r>
      <w:r>
        <w:t>86 % der Teilnehmenden berichteten erhebliche Hitzebelastung. Assoziiert mit erhöhter Hitzebelastung waren: erhöhte Arbeitsbelastung (OR 14,06; 95%-KI 7,12–28,85), Hitzesymptome (OR 5,27; 2,20–12,88), eingeschränkte Flüssigkeitszufuhr (OR 2,59; 1,35–5,02), Arbeit in der Südschweiz (OR 3,98; 2,11–7,61).</w:t>
      </w:r>
    </w:p>
    <w:p>
      <w:r>
        <w:rPr>
          <w:b/>
          <w:sz w:val="19"/>
        </w:rPr>
        <w:t xml:space="preserve">Übertragbarkeit: </w:t>
      </w:r>
      <w:r>
        <w:rPr>
          <w:sz w:val="19"/>
        </w:rPr>
        <w:t>Schweiz, gemäßigte Klimazone, direkt übertragbar auf Deutschland</w:t>
      </w:r>
    </w:p>
    <w:p>
      <w:r>
        <w:rPr>
          <w:color w:val="5A7D3A"/>
          <w:sz w:val="18"/>
        </w:rPr>
        <w:t>https://pubmed.ncbi.nlm.nih.gov/42811302/</w:t>
      </w:r>
    </w:p>
    <w:p>
      <w:pPr>
        <w:pStyle w:val="Heading2"/>
      </w:pPr>
      <w:r>
        <w:t>Feinstaub und Suizidmortalität in Südkorea: instrumentale Variablenschätzung</w:t>
      </w:r>
    </w:p>
    <w:p>
      <w:r>
        <w:rPr>
          <w:i/>
          <w:color w:val="666666"/>
          <w:sz w:val="18"/>
        </w:rPr>
        <w:t>Kwon O  ·  Front Public Health  ·  14.09.2026  ·  PMID 42807091</w:t>
      </w:r>
    </w:p>
    <w:p>
      <w:r>
        <w:t>Ökologische Analyse mit instrumentalen Variablen (thermische Inversion) zur Assoziation PM2,5 mit Suizidsterblichkeit in Südkorea 2015–2019.</w:t>
      </w:r>
    </w:p>
    <w:p>
      <w:r>
        <w:rPr>
          <w:b/>
        </w:rPr>
        <w:t xml:space="preserve">Ergebnis: </w:t>
      </w:r>
      <w:r>
        <w:t>Jeder 1 μg/m³ PM2,5-Anstieg assoziiert mit +0,6628 Suizidtodesfällen pro 1 Million Einwohner (β = 0,6628; 95%-KI 0,1049–1,2208), entsprechend 2,94 % Anstieg der Suizidmortalität. Differentielle Effekte: Männer (+7,873), älter Erwachsene (+21,18), niedrigere Schulbildung (+4,091), nicht-metropolitan (+5,434).</w:t>
      </w:r>
    </w:p>
    <w:p>
      <w:r>
        <w:rPr>
          <w:b/>
          <w:sz w:val="19"/>
        </w:rPr>
        <w:t xml:space="preserve">Übertragbarkeit: </w:t>
      </w:r>
      <w:r>
        <w:rPr>
          <w:sz w:val="19"/>
        </w:rPr>
        <w:t>Ostasien, vergleichbar strukturiertes Gesundheitssystem, methodisch übertragbar</w:t>
      </w:r>
    </w:p>
    <w:p>
      <w:r>
        <w:rPr>
          <w:color w:val="5A7D3A"/>
          <w:sz w:val="18"/>
        </w:rPr>
        <w:t>https://pubmed.ncbi.nlm.nih.gov/42807091/</w:t>
      </w:r>
    </w:p>
    <w:p>
      <w:pPr>
        <w:pStyle w:val="Heading2"/>
      </w:pPr>
      <w:r>
        <w:t>Feinstaub und Lebenszufriedenheit: Genetische und Umweltfaktoren bei jungen Erwachsenen</w:t>
      </w:r>
    </w:p>
    <w:p>
      <w:r>
        <w:rPr>
          <w:i/>
          <w:color w:val="666666"/>
          <w:sz w:val="18"/>
        </w:rPr>
        <w:t>Kuznetsov DV et al.  ·  Environ Res  ·  01.11.2026  ·  PMID 42679876</w:t>
      </w:r>
    </w:p>
    <w:p>
      <w:r>
        <w:t>Zwillingsvergleichsanalyse mit bis zu 4.504 jungen Erwachsenen (TwinLife-Studie 2014–2022) zur Assoziation PM2,5/PM10 mit Lebenszufriedenheit.</w:t>
      </w:r>
    </w:p>
    <w:p>
      <w:r>
        <w:rPr>
          <w:b/>
        </w:rPr>
        <w:t xml:space="preserve">Ergebnis: </w:t>
      </w:r>
      <w:r>
        <w:t>PM2,5- und PM10-Effekt auf Lebenszufriedenheit liefen zwischen Familien (b = −0,05 bis −0,06; SE = 0,01; p &lt; 0,001), nicht innerhalb von Paaren, was auf gemeinsame Familienfaktoren hindeutet. PM10-Effekt verstärkte sich mit Alter (b = −0,004 bis −0,01; p = 0,01–0,03).</w:t>
      </w:r>
    </w:p>
    <w:p>
      <w:r>
        <w:rPr>
          <w:b/>
          <w:sz w:val="19"/>
        </w:rPr>
        <w:t xml:space="preserve">Übertragbarkeit: </w:t>
      </w:r>
      <w:r>
        <w:rPr>
          <w:sz w:val="19"/>
        </w:rPr>
        <w:t>Deutschland, Zwillingsregister, gemäßigte Klimazone, strukturell übertragbar</w:t>
      </w:r>
    </w:p>
    <w:p>
      <w:r>
        <w:rPr>
          <w:color w:val="5A7D3A"/>
          <w:sz w:val="18"/>
        </w:rPr>
        <w:t>https://pubmed.ncbi.nlm.nih.gov/42679876/</w:t>
      </w:r>
    </w:p>
    <w:p>
      <w:pPr>
        <w:pStyle w:val="Heading2"/>
      </w:pPr>
      <w:r>
        <w:t>Klimawandel und Erschwinglichkeit gesunder Ernährung: globale Modellierungsstudie</w:t>
      </w:r>
    </w:p>
    <w:p>
      <w:r>
        <w:rPr>
          <w:i/>
          <w:color w:val="666666"/>
          <w:sz w:val="18"/>
        </w:rPr>
        <w:t>Jiang Y et al.  ·  Lancet Planet Health  ·  01.09.2026  ·  PMID 42679835</w:t>
      </w:r>
    </w:p>
    <w:p>
      <w:r>
        <w:t>Integriertes Modellierungsrahmenwerk (Ernteerträge, Preisanpassungen) zur Auswirkung klimabedingter Ertragsverluste auf globale Ernährungsaffordabilität bis 2100.</w:t>
      </w:r>
    </w:p>
    <w:p>
      <w:r>
        <w:rPr>
          <w:b/>
        </w:rPr>
        <w:t xml:space="preserve">Ergebnis: </w:t>
      </w:r>
      <w:r>
        <w:t>Unter hohem Emissionsszenario (SSP3-6.0) könnte Klimawandel 119 Millionen Menschen zusätzlich von gesunder Ernährung ausschließen (oberes Modellensemble: 1,6 Mrd.). Dietkosten könnten in stärkst betroffenen Regionen um 12 % ansteigen. Unter niedrigem (SSP1-2.6) und mittlerem Szenario (SSP2-4.5) Affordabilität kaum betroffen. Disparitäten: Afrika und Asien am stärksten betroffen.</w:t>
      </w:r>
    </w:p>
    <w:p>
      <w:r>
        <w:rPr>
          <w:b/>
          <w:sz w:val="19"/>
        </w:rPr>
        <w:t xml:space="preserve">Übertragbarkeit: </w:t>
      </w:r>
      <w:r>
        <w:rPr>
          <w:sz w:val="19"/>
        </w:rPr>
        <w:t>Global, Methodik relevant für Deutschland, absolute Auswirkungen in Hocheinkommensländern geringer</w:t>
      </w:r>
    </w:p>
    <w:p>
      <w:r>
        <w:rPr>
          <w:color w:val="5A7D3A"/>
          <w:sz w:val="18"/>
        </w:rPr>
        <w:t>https://pubmed.ncbi.nlm.nih.gov/42679835/</w:t>
      </w:r>
    </w:p>
    <w:p>
      <w:pPr>
        <w:pStyle w:val="Heading2"/>
      </w:pPr>
      <w:r>
        <w:t>Sterblichkeitsrisiko Neugeborener durch Stickstoffdioxid-Exposition während Schwangerschaft</w:t>
      </w:r>
    </w:p>
    <w:p>
      <w:r>
        <w:rPr>
          <w:i/>
          <w:color w:val="666666"/>
          <w:sz w:val="18"/>
        </w:rPr>
        <w:t>Li G et al.  ·  Environ Pollut  ·  01.11.2026  ·  PMID 42556696</w:t>
      </w:r>
    </w:p>
    <w:p>
      <w:r>
        <w:t>Kohortenstudie mit 3,98 Millionen Mutter-Kind-Paaren im Iran zur Assoziation pränataler NO₂-Exposition mit Totgeborenenrate.</w:t>
      </w:r>
    </w:p>
    <w:p>
      <w:r>
        <w:rPr>
          <w:b/>
        </w:rPr>
        <w:t xml:space="preserve">Ergebnis: </w:t>
      </w:r>
      <w:r>
        <w:t>Pro 10 μg/m³ NO₂-Anstieg: Odds Ratio 1,206 (95%-KI 1,192–1,220) für Totgeburten nach iranischer Definition und 1,106 (95%-KI 1,088–1,125) nach WHO-Definition. Bei Einhaltung von 10 μg/m³: 7.686 (95%-KI 7.242–8.127) vermeidbare Totgeburten, entsprechend 25,8 % (95%-KI 24,3–27,3 %) zurechenbarer Anteil.</w:t>
      </w:r>
    </w:p>
    <w:p>
      <w:r>
        <w:rPr>
          <w:b/>
          <w:sz w:val="19"/>
        </w:rPr>
        <w:t xml:space="preserve">Übertragbarkeit: </w:t>
      </w:r>
      <w:r>
        <w:rPr>
          <w:sz w:val="19"/>
        </w:rPr>
        <w:t>Iran – Luftverschmutzung relevant, Schwellenwerte nicht direkt übertragbar</w:t>
      </w:r>
    </w:p>
    <w:p>
      <w:r>
        <w:rPr>
          <w:color w:val="5A7D3A"/>
          <w:sz w:val="18"/>
        </w:rPr>
        <w:t>https://pubmed.ncbi.nlm.nih.gov/42556696/</w:t>
      </w:r>
    </w:p>
    <w:p>
      <w:pPr>
        <w:pStyle w:val="Heading1"/>
      </w:pPr>
      <w:r>
        <w:t>Aufgenommen am 30.09.2026</w:t>
      </w:r>
    </w:p>
    <w:p>
      <w:pPr>
        <w:pStyle w:val="Heading2"/>
      </w:pPr>
      <w:r>
        <w:t>Evakuierungsherausforderungen bei Flutkatastrophen: Grundschüler und Familien in Japan</w:t>
      </w:r>
    </w:p>
    <w:p>
      <w:r>
        <w:rPr>
          <w:i/>
          <w:color w:val="666666"/>
          <w:sz w:val="18"/>
        </w:rPr>
        <w:t>Inoue S et al.  ·  Disaster Med Public Health Prep  ·  29.09.2026  ·  PMID 42808581</w:t>
      </w:r>
    </w:p>
    <w:p>
      <w:r>
        <w:t>Qualitative Studie mit 8 Eltern von 9 Grundschülern zu Herausforderungen und Unterstützungsbedarfen bei Flutevakuierung mittels semi-strukturierter Interviews und reflexiver thematischer Analyse.</w:t>
      </w:r>
    </w:p>
    <w:p>
      <w:r>
        <w:rPr>
          <w:b/>
        </w:rPr>
        <w:t xml:space="preserve">Ergebnis: </w:t>
      </w:r>
      <w:r>
        <w:t>Fünf Hauptthemen mit 111 Codes: Katastrophenvorsorge (22,5%), Evakuierungsunterstützung (16,2%), Materialsupport in Notunterkünften (22,5%), Umweltunterstützung in Notunterkünften (22,5%), Katastrophenreaktion (16,2%). Bedarf: bessere Familienplanung, kinderfreundliche Unterkünfte, effektive Informationssysteme, Zusammenarbeit Schulen-Familien-Gemeinden.</w:t>
      </w:r>
    </w:p>
    <w:p>
      <w:r>
        <w:rPr>
          <w:b/>
          <w:sz w:val="19"/>
        </w:rPr>
        <w:t xml:space="preserve">Übertragbarkeit: </w:t>
      </w:r>
      <w:r>
        <w:rPr>
          <w:sz w:val="19"/>
        </w:rPr>
        <w:t>Japan, qualitative Studie, Prinzipien für kindgerechte Notfallplanung auf gemäßigte Zonen übertragbar</w:t>
      </w:r>
    </w:p>
    <w:p>
      <w:r>
        <w:rPr>
          <w:color w:val="5A7D3A"/>
          <w:sz w:val="18"/>
        </w:rPr>
        <w:t>https://pubmed.ncbi.nlm.nih.gov/42808581/</w:t>
      </w:r>
    </w:p>
    <w:p>
      <w:pPr>
        <w:pStyle w:val="Heading2"/>
      </w:pPr>
      <w:r>
        <w:t>PM2.5-Exposition und Herzinsuffizienz: Risiken in gemäßigten Klimazonen</w:t>
      </w:r>
    </w:p>
    <w:p>
      <w:r>
        <w:rPr>
          <w:i/>
          <w:color w:val="666666"/>
          <w:sz w:val="18"/>
        </w:rPr>
        <w:t>Wang L et al.  ·  Front Public Health  ·  14.09.2026  ·  PMID 42807448</w:t>
      </w:r>
    </w:p>
    <w:p>
      <w:r>
        <w:t>Prospektive Kohorte von 149.410 UK-Biobank-Teilnehmern untersuchte die Assoziation zwischen langfristiger PM2.5-Exposition und Herzinsuffizienzrisiko über 17,6 Jahre Nachbeobachtung.</w:t>
      </w:r>
    </w:p>
    <w:p>
      <w:r>
        <w:rPr>
          <w:b/>
        </w:rPr>
        <w:t xml:space="preserve">Ergebnis: </w:t>
      </w:r>
      <w:r>
        <w:t>Pro IQR-Anstieg der PM2.5-Exposition erhöhtes Herzinsuffizienzrisiko (HR 1,045, 95%-KI 1,005–1,086, p=0,027); höchstes versus niedrigstes PM2.5-Quartil zeigte HR 1,133 (95%-KI 1,037–1,238). 4.964 Herzinsuffizienzfälle während des Follow-up; absolute Risikodifferenz über 20 Jahre etwa 0,2 pro 100 Personen.</w:t>
      </w:r>
    </w:p>
    <w:p>
      <w:r>
        <w:rPr>
          <w:b/>
          <w:sz w:val="19"/>
        </w:rPr>
        <w:t xml:space="preserve">Übertragbarkeit: </w:t>
      </w:r>
      <w:r>
        <w:rPr>
          <w:sz w:val="19"/>
        </w:rPr>
        <w:t>UK-Biobank, gemäßigte Klimazone, direkter Klimabezug über Luftqualität</w:t>
      </w:r>
    </w:p>
    <w:p>
      <w:r>
        <w:rPr>
          <w:color w:val="5A7D3A"/>
          <w:sz w:val="18"/>
        </w:rPr>
        <w:t>https://pubmed.ncbi.nlm.nih.gov/42807448/</w:t>
      </w:r>
    </w:p>
    <w:p>
      <w:pPr>
        <w:pStyle w:val="Heading2"/>
      </w:pPr>
      <w:r>
        <w:t>Luftverschmutzung und Kosten der Herzinfarktbehandlung in chinesischer Großstadt mit DRG-Finanzierung</w:t>
      </w:r>
    </w:p>
    <w:p>
      <w:r>
        <w:rPr>
          <w:i/>
          <w:color w:val="666666"/>
          <w:sz w:val="18"/>
        </w:rPr>
        <w:t>Lin J et al.  ·  Front Public Health  ·  14.09.2026  ·  PMID 42807093</w:t>
      </w:r>
    </w:p>
    <w:p>
      <w:r>
        <w:t>Retrospektive Kohorte von 3.650 PCI-behandelten Akutmyokardinfarkt-Patienten in subtropischer chinesischer Stadt (2018–2024) zur Assoziation 0–6-tägiger Luftschadstoff-Exposition mit Hospitalisierungskosten.</w:t>
      </w:r>
    </w:p>
    <w:p>
      <w:r>
        <w:rPr>
          <w:b/>
        </w:rPr>
        <w:t xml:space="preserve">Ergebnis: </w:t>
      </w:r>
      <w:r>
        <w:t>SO2 größte Kostensteigerung: durchschnittlich 2,40% (~729 CNY) pro natürlichem log-Anstieg, konsistent über alle Lag-Tage; PM2.5/PM10 verzögerter Peak bei Lag 4–5 Tagen; NO2 und CO signifikant; Ozon ohne Gesamteffekt. Bei Nicht-Rauchern Ozon-Effekt bei Lag 3 und 5. Niedriges Verschmutzungsniveau (China Grad II), aber Effekt nachweisbar.</w:t>
      </w:r>
    </w:p>
    <w:p>
      <w:r>
        <w:rPr>
          <w:b/>
          <w:sz w:val="19"/>
        </w:rPr>
        <w:t xml:space="preserve">Übertragbarkeit: </w:t>
      </w:r>
      <w:r>
        <w:rPr>
          <w:sz w:val="19"/>
        </w:rPr>
        <w:t>Subtropische Stadt (China), Finanzierungssystem unterschiedlich, Methodik und Befund zu niedriger Belastung übertragbar</w:t>
      </w:r>
    </w:p>
    <w:p>
      <w:r>
        <w:rPr>
          <w:color w:val="5A7D3A"/>
          <w:sz w:val="18"/>
        </w:rPr>
        <w:t>https://pubmed.ncbi.nlm.nih.gov/42807093/</w:t>
      </w:r>
    </w:p>
    <w:p>
      <w:pPr>
        <w:pStyle w:val="Heading2"/>
      </w:pPr>
      <w:r>
        <w:t>Umwelt und Gesundheit: Sicherheit und Resilienz – Positionspapier der Kommission Environmental Public Health</w:t>
      </w:r>
    </w:p>
    <w:p>
      <w:r>
        <w:rPr>
          <w:i/>
          <w:color w:val="666666"/>
          <w:sz w:val="18"/>
        </w:rPr>
        <w:t>Peters A et al.  ·  Bundesgesundheitsblatt Gesundheitsforschung Gesundheitsschutz  ·  24.09.2026  ·  PMID 42782533</w:t>
      </w:r>
    </w:p>
    <w:p>
      <w:r>
        <w:t>Stellungnahme der Umwelt-Public-Health-Kommission zu Klimawandel, Luftschadstoffe und Biodiversität als zentrale Determinanten von Gesundheit und gesellschaftlicher Resilienz.</w:t>
      </w:r>
    </w:p>
    <w:p>
      <w:r>
        <w:rPr>
          <w:b/>
        </w:rPr>
        <w:t xml:space="preserve">Ergebnis: </w:t>
      </w:r>
      <w:r>
        <w:t>Haupterkenntnis: Intakte Umwelt ist zentrale Gesundheitsressource; Klima-, Luft- und Biodiversitätskrisen erfordern sektorenübergreifende Zusammenarbeit. Konkrete Empfehlungen zur Sicherung und Fortführung der Kooperation zwischen Umwelt- und Gesundheitssektor.</w:t>
      </w:r>
    </w:p>
    <w:p>
      <w:r>
        <w:rPr>
          <w:b/>
          <w:sz w:val="19"/>
        </w:rPr>
        <w:t xml:space="preserve">Übertragbarkeit: </w:t>
      </w:r>
      <w:r>
        <w:rPr>
          <w:sz w:val="19"/>
        </w:rPr>
        <w:t>Deutschland, Expertenpapier der Kommission Environmental Public Health, direkt auf deutsche Verhältnisse anwendbar</w:t>
      </w:r>
    </w:p>
    <w:p>
      <w:r>
        <w:rPr>
          <w:color w:val="5A7D3A"/>
          <w:sz w:val="18"/>
        </w:rPr>
        <w:t>https://pubmed.ncbi.nlm.nih.gov/42782533/</w:t>
      </w:r>
    </w:p>
    <w:p>
      <w:pPr>
        <w:pStyle w:val="Heading2"/>
      </w:pPr>
      <w:r>
        <w:t>Feinstaub und Lebenszufriedenheit: Genetische und Umweltfaktoren in Zwillingspaaren</w:t>
      </w:r>
    </w:p>
    <w:p>
      <w:r>
        <w:rPr>
          <w:i/>
          <w:color w:val="666666"/>
          <w:sz w:val="18"/>
        </w:rPr>
        <w:t>Aretaki MA et al.  ·  Environ Res  ·  01.11.2026  ·  PMID 42705444</w:t>
      </w:r>
    </w:p>
    <w:p>
      <w:r>
        <w:t>Analyse von 4.504 jungen Erwachsenen Zwillingspaaren (TwinLife-Studie 2014–2022) zur Aufteilung der PM2.5/PM10-Effekte auf Lebenszufriedenheit in familiengebundene versus individuelle Faktoren.</w:t>
      </w:r>
    </w:p>
    <w:p>
      <w:r>
        <w:rPr>
          <w:b/>
        </w:rPr>
        <w:t xml:space="preserve">Ergebnis: </w:t>
      </w:r>
      <w:r>
        <w:t>PM2.5- und PM10-Effekt auf Lebenszufriedenheit lief zwischen Familien (b=−0,05 bis −0,06, SE=0,01, p&lt;0,001), nicht innerhalb; deutet auf gemeinsame Faktoren (SES, Nachbarschaft). Effekt von PM10 verstärkte sich mit Alter und Messjahr. Innerhalb monozygotischer Zwillinge marginal signifikant für PM10 (b=−0,09, SE=0,04, p=0,04), nicht für PM2.5.</w:t>
      </w:r>
    </w:p>
    <w:p>
      <w:r>
        <w:rPr>
          <w:b/>
          <w:sz w:val="19"/>
        </w:rPr>
        <w:t xml:space="preserve">Übertragbarkeit: </w:t>
      </w:r>
      <w:r>
        <w:rPr>
          <w:sz w:val="19"/>
        </w:rPr>
        <w:t>Deutschland, TwinLife-Kohorte, gemäßigte Klimazone, psychosoziale Effekte von Luftqualität</w:t>
      </w:r>
    </w:p>
    <w:p>
      <w:r>
        <w:rPr>
          <w:color w:val="5A7D3A"/>
          <w:sz w:val="18"/>
        </w:rPr>
        <w:t>https://pubmed.ncbi.nlm.nih.gov/42705444/</w:t>
      </w:r>
    </w:p>
    <w:p>
      <w:pPr>
        <w:pStyle w:val="Heading2"/>
      </w:pPr>
      <w:r>
        <w:t>PM10-Neurotoxizität: Unterschiedliche Pfade in Katalanien (Holz vs. Verkehr)</w:t>
      </w:r>
    </w:p>
    <w:p>
      <w:r>
        <w:rPr>
          <w:i/>
          <w:color w:val="666666"/>
          <w:sz w:val="18"/>
        </w:rPr>
        <w:t>Ayala E et al.  ·  Environ Pollut  ·  01.11.2026  ·  PMID 42600830</w:t>
      </w:r>
    </w:p>
    <w:p>
      <w:r>
        <w:t>Analyse von 54 PM10-Proben aus ländlichem und vorstädtischem Katalanien auf organische Marker und neurotoxische Potenziale mit Zellkultur-Screening (SH-SY5Y Neuroblastomzellen).</w:t>
      </w:r>
    </w:p>
    <w:p>
      <w:r>
        <w:rPr>
          <w:b/>
        </w:rPr>
        <w:t xml:space="preserve">Ergebnis: </w:t>
      </w:r>
      <w:r>
        <w:t>Vier Komponenten identifiziert: Biomasse-Verbrennung (Winter) zeigte stärkste Zytotoxizität und oxidativen Stress (ROS, p53-Aktivierung, R²CV≥0,62); Verkehrskomponente ganzjährig; SOA-Komponente mit selektiver Acetylcholinesterase-Hemmung ohne Zytotoxizität. Biomasse-Marker und PAHs waren Hauptprädiktoren für oxidativen Stress.</w:t>
      </w:r>
    </w:p>
    <w:p>
      <w:r>
        <w:rPr>
          <w:b/>
          <w:sz w:val="19"/>
        </w:rPr>
        <w:t xml:space="preserve">Übertragbarkeit: </w:t>
      </w:r>
      <w:r>
        <w:rPr>
          <w:sz w:val="19"/>
        </w:rPr>
        <w:t>Südeuropa (Katalanien), Methodik übertragbar, Temperaturen/Biomasse-Verbrennung anders als Deutschland</w:t>
      </w:r>
    </w:p>
    <w:p>
      <w:r>
        <w:rPr>
          <w:color w:val="5A7D3A"/>
          <w:sz w:val="18"/>
        </w:rPr>
        <w:t>https://pubmed.ncbi.nlm.nih.gov/42600830/</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2026-10-06T06:00:00Z</dcterms:created>
  <dcterms:modified xsi:type="dcterms:W3CDTF">2026-10-06T06:00:00Z</dcterms:modified>
  <cp:category/>
</cp:coreProperties>
</file>