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04.09.2026  |  6 Studien  |  klima.m-vf.de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Air Pollution und Hitze und Atemwegsfolgen in Afrika: Systematischer Review</w:t>
      </w:r>
    </w:p>
    <w:p>
      <w:r>
        <w:rPr>
          <w:i/>
          <w:color w:val="666666"/>
          <w:sz w:val="18"/>
        </w:rPr>
        <w:t>Wright CY et al.  ·  Curr Environ Health Rep  ·  03.09.2026  ·  PMID 42690571</w:t>
      </w:r>
    </w:p>
    <w:p>
      <w:r>
        <w:t>Systematischer Review zu Luftverschmutzung, Hitze und Atemwegsmorbidität in Afrika mit Analyse von 13 Studien aus 10 Ländern.</w:t>
      </w:r>
    </w:p>
    <w:p>
      <w:r>
        <w:rPr>
          <w:b/>
        </w:rPr>
        <w:t xml:space="preserve">Ergebnis: </w:t>
      </w:r>
      <w:r>
        <w:t>PM2.5 in Biomass-Haushalten 96–177 µg/m³, ambient PM2.5 bis 259 µg/m³ – deutlich über WHO-Richtlinien. Stickoxide konsistent mit eingeschränkter Lungenfunktion bei Kindern assoziiert, Haushaltsluftver­schmutzung mit erhöhtem Risiko für Unter-Fünf-Mortalität (Angaben zu relativen Risiken im Abstract nicht spezifiziert). Höchste Anfälligkeit bei Kleinkindern und schlechter Belüftung.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 – höhere Expositionswerte, andere Anpassungskapazität</w:t>
      </w:r>
    </w:p>
    <w:p>
      <w:r>
        <w:rPr>
          <w:color w:val="5A7D3A"/>
          <w:sz w:val="18"/>
        </w:rPr>
        <w:t>https://pubmed.ncbi.nlm.nih.gov/42690571/</w:t>
      </w:r>
    </w:p>
    <w:p>
      <w:pPr>
        <w:pStyle w:val="Heading2"/>
      </w:pPr>
      <w:r>
        <w:t>Hitze-Warnsystem und Mortalität in Belo Horizonte, Brasilien</w:t>
      </w:r>
    </w:p>
    <w:p>
      <w:r>
        <w:rPr>
          <w:i/>
          <w:color w:val="666666"/>
          <w:sz w:val="18"/>
        </w:rPr>
        <w:t>Lucas TPB et al.  ·  Rev Bras Epidemiol  ·  28.08.2026  ·  PMID 42690407</w:t>
      </w:r>
    </w:p>
    <w:p>
      <w:r>
        <w:t>Quasi-Poisson-Regression mit DLNM zur Definition von Temperatur-Schwellwerten für Hitze-Warnsystem basierend auf täglicher Maximaltemperatur und Mortalität.</w:t>
      </w:r>
    </w:p>
    <w:p>
      <w:r>
        <w:rPr>
          <w:b/>
        </w:rPr>
        <w:t xml:space="preserve">Ergebnis: </w:t>
      </w:r>
      <w:r>
        <w:t>Minimale Mortalitätstemperatur 29,3 °C. RR 1,04 bei 90. Perzentil, 1,09 bei 95., 1,17 bei 98., 1,26 bei 99. Perzentil. Vier Alert-Level: Alert 1 (32,0–33,1 °C/3 Tage), Alert 2 (33,2–34,6 °C/3 Tage), Alert 3 (34,7–35,8 °C/3 Tage), Alert 4 (&gt;35,8 °C/2 Tage). Höhere Hitzewellen-Häufigkeit in El-Niño-Jahren.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Subtropen – Methodik für Hitzeaktionsplan übertragbar, Temperaturschwellen nicht</w:t>
      </w:r>
    </w:p>
    <w:p>
      <w:r>
        <w:rPr>
          <w:color w:val="5A7D3A"/>
          <w:sz w:val="18"/>
        </w:rPr>
        <w:t>https://pubmed.ncbi.nlm.nih.gov/42690407/</w:t>
      </w:r>
    </w:p>
    <w:p>
      <w:pPr>
        <w:pStyle w:val="Heading2"/>
      </w:pPr>
      <w:r>
        <w:t>Schulung von Gesundheitsberuflern zu Luftverschmutzung</w:t>
      </w:r>
    </w:p>
    <w:p>
      <w:r>
        <w:rPr>
          <w:i/>
          <w:color w:val="666666"/>
          <w:sz w:val="18"/>
        </w:rPr>
        <w:t>Varaden D et al.  ·  Front Public Health  ·  12.08.2026  ·  PMID 42689181</w:t>
      </w:r>
    </w:p>
    <w:p>
      <w:r>
        <w:t>Machbarkeitsstudie zur Akzeptanz und Wirksamkeit einer einstündigen Online-Schulung für Hausärzte und Praxismitarbeiter zu Luftverschmutzung und Patientenberatung.</w:t>
      </w:r>
    </w:p>
    <w:p>
      <w:r>
        <w:rPr>
          <w:b/>
        </w:rPr>
        <w:t xml:space="preserve">Ergebnis: </w:t>
      </w:r>
      <w:r>
        <w:t>43 Gesundheitsberufer (40 Ärzte) absolviert; 90% (n=40) Post-Training-Befragung, 53% (n=26) 3-Monate-Follow-up. Verbesserungen bei selbstberichtetem Wissen und Selbstsicherheit in allen Outcomes. 85% der verfolgten Fachleute (n=22) gaben nach 3 Monaten Lerninhalte an Kollegen weiter; 100% Abschlussquote der Vorabefragung.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Großbritannien/England, strukturell vergleichbar mit Deutschland</w:t>
      </w:r>
    </w:p>
    <w:p>
      <w:r>
        <w:rPr>
          <w:color w:val="5A7D3A"/>
          <w:sz w:val="18"/>
        </w:rPr>
        <w:t>https://pubmed.ncbi.nlm.nih.gov/42689181/</w:t>
      </w:r>
    </w:p>
    <w:p>
      <w:pPr>
        <w:pStyle w:val="Heading2"/>
      </w:pPr>
      <w:r>
        <w:t>Hitzewahrnehmung und Vorbereitung bei chronischen Krankheiten</w:t>
      </w:r>
    </w:p>
    <w:p>
      <w:r>
        <w:rPr>
          <w:i/>
          <w:color w:val="666666"/>
          <w:sz w:val="18"/>
        </w:rPr>
        <w:t>Hamama-Raz Y et al.  ·  Front Public Health  ·  19.08.2026  ·  PMID 42688060</w:t>
      </w:r>
    </w:p>
    <w:p>
      <w:r>
        <w:t>Querschnittsstudie (n=450, Alter ≥50 Jahre) zu Assoziation zwischen Krankheitswahrnehmungen, Bedrohungsbeurteilung, Hitzesorge und Preparedness für Extremwetter.</w:t>
      </w:r>
    </w:p>
    <w:p>
      <w:r>
        <w:rPr>
          <w:b/>
        </w:rPr>
        <w:t xml:space="preserve">Ergebnis: </w:t>
      </w:r>
      <w:r>
        <w:t>Negative Krankheitswahrnehmungen zeigten signifikante indirekte Assoziation mit größerer Preparedness über höhere Bedrohungsbeurteilung und stärkere Hitzesorge – Muster über Atemwegs-, Krebs- und kardiovaskuläre Erkrankungsgruppen ähnlich. Krankheitsgruppe moderierte signifikant die Assoziation zwischen Krankheitswahrnehmung und Hitzesorge (nur bei Atemwegserkrankungen signifikant, nicht bei Krebs/Herz-Kreislauf).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Israel, Konzepte zu Adaptation bei chronischer Erkrankung übertragbar</w:t>
      </w:r>
    </w:p>
    <w:p>
      <w:r>
        <w:rPr>
          <w:color w:val="5A7D3A"/>
          <w:sz w:val="18"/>
        </w:rPr>
        <w:t>https://pubmed.ncbi.nlm.nih.gov/42688060/</w:t>
      </w:r>
    </w:p>
    <w:p>
      <w:pPr>
        <w:pStyle w:val="Heading2"/>
      </w:pPr>
      <w:r>
        <w:t>Hitze in der Schwangerschaft und nekrotisierende Enterokolitis</w:t>
      </w:r>
    </w:p>
    <w:p>
      <w:r>
        <w:rPr>
          <w:i/>
          <w:color w:val="666666"/>
          <w:sz w:val="18"/>
        </w:rPr>
        <w:t>Peng W et al.  ·  Biomed Environ Sci  ·  20.08.2026  ·  PMID 42687612</w:t>
      </w:r>
    </w:p>
    <w:p>
      <w:r>
        <w:t>Kohortenstudie an 8.334 Zwillingspaaren in China zur Assoziation von Hitze in der Schwangerschaft und nekrotisierender Enterokolitis (NEC) des Neugeborenen.</w:t>
      </w:r>
    </w:p>
    <w:p>
      <w:r>
        <w:rPr>
          <w:b/>
        </w:rPr>
        <w:t xml:space="preserve">Ergebnis: </w:t>
      </w:r>
      <w:r>
        <w:t>Exposition auf 90. Perzentil (24,8 °C) vs. Referenz (19,8 °C): OR 2,68 (95%-KI 1,93–3,72) für NEC. Trimester-spezifisch: OR 2,41 (1. Trimester), 3,30 (2. Trimester), 2,06 (3. Trimester). Hitzewellen in gesamter Schwangerschaft: OR 1,98 (95%-KI 1,14–3,43). Frühgeburten mediierten ~30–36% der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gemäßigte bis subtropische Breiten – Schwelle nicht direkt übertragbar</w:t>
      </w:r>
    </w:p>
    <w:p>
      <w:r>
        <w:rPr>
          <w:color w:val="5A7D3A"/>
          <w:sz w:val="18"/>
        </w:rPr>
        <w:t>https://pubmed.ncbi.nlm.nih.gov/42687612/</w:t>
      </w:r>
    </w:p>
    <w:p>
      <w:pPr>
        <w:pStyle w:val="Heading2"/>
      </w:pPr>
      <w:r>
        <w:t>Luftverschmutzung, Grünflächen und Prädiabeties-Verlauf in Deutschland</w:t>
      </w:r>
    </w:p>
    <w:p>
      <w:r>
        <w:rPr>
          <w:i/>
          <w:color w:val="666666"/>
          <w:sz w:val="18"/>
        </w:rPr>
        <w:t>Xi Y et al.  ·  Diabetologia  ·  25.07.2026  ·  PMID 42502136</w:t>
      </w:r>
    </w:p>
    <w:p>
      <w:r>
        <w:t>KORA-Kohortenstudie (Süddeutschland 2006–2022) zu Luftschadstoffen, Urban-Heat-Island und Prädiabeties-Remission/Progression mit 1.618 Teilnehmenden.</w:t>
      </w:r>
    </w:p>
    <w:p>
      <w:r>
        <w:rPr>
          <w:b/>
        </w:rPr>
        <w:t xml:space="preserve">Ergebnis: </w:t>
      </w:r>
      <w:r>
        <w:t>PM2.5 IQR-Erhöhung: HR 1,89 (95%-KI 1,07–3,31) für IFG+IGT-Risiko. Höhere PM2.5 und Temperaturvariabilität, niedrigeres NDVI assoziiert mit erhöhtem Prädiabeties-Inzidenz. Reduziertes NDVI: HR 0,52 (95%-KI 0,28–0,96) für iIFG-Remission. Höhere künstliche nächtliche Beleuchtung: HR 0,22 (95%-KI 0,08–0,62) für iIFG-Remission.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Sterbedaten, gemäßigte Klimazone, vergleichbare Versorgungsstruktur</w:t>
      </w:r>
    </w:p>
    <w:p>
      <w:r>
        <w:rPr>
          <w:color w:val="5A7D3A"/>
          <w:sz w:val="18"/>
        </w:rPr>
        <w:t>https://pubmed.ncbi.nlm.nih.gov/42502136/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