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27.09.2026  |  6 Studien  |  klima.m-vf.de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Grünflächen und Hitzesterblichkeit: Systematische Übersicht und Metaanalyse</w:t>
      </w:r>
    </w:p>
    <w:p>
      <w:r>
        <w:rPr>
          <w:i/>
          <w:color w:val="666666"/>
          <w:sz w:val="18"/>
        </w:rPr>
        <w:t>Perez-Moreno A et al.  ·  Ann Glob Health  ·  25.09.2026  ·  PMID 42799142</w:t>
      </w:r>
    </w:p>
    <w:p>
      <w:r>
        <w:t>Eine systematische Übersicht mit Metaanalyse untersuchte die schützende Wirkung von Grünflächen auf die Sterblichkeit während Hitzewellen in elf Studien aus China, Frankreich, Deutschland, Jordanien, der Schweiz, USA und global.</w:t>
      </w:r>
    </w:p>
    <w:p>
      <w:r>
        <w:rPr>
          <w:b/>
        </w:rPr>
        <w:t xml:space="preserve">Ergebnis: </w:t>
      </w:r>
      <w:r>
        <w:t>Hitzewellen erhöhten die Mortalität sowohl in Gebieten mit niedriger (RR = 1,33; 95%-KI: 1,15–1,55) als auch hoher Grünflächendichte (RR = 1,18; 95%-KI: 1,03–1,36). Der Hitzesterblichkeitsanstieg war in Gebieten mit weniger Grün um 11 % stärker als in Gebieten mit höherer Grünflächendichte (RoR = 1,11; 95%-KI: 1,06–1,15).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Mitteleuropa und gemäßigte Klimazonen; Methodik auf Deutschland übertragbar</w:t>
      </w:r>
    </w:p>
    <w:p>
      <w:r>
        <w:rPr>
          <w:color w:val="5A7D3A"/>
          <w:sz w:val="18"/>
        </w:rPr>
        <w:t>https://pubmed.ncbi.nlm.nih.gov/42799142/</w:t>
      </w:r>
    </w:p>
    <w:p>
      <w:pPr>
        <w:pStyle w:val="Heading2"/>
      </w:pPr>
      <w:r>
        <w:t>Wildtiere, Klimawandel und virale Spillover-Ereignisse in Australien</w:t>
      </w:r>
    </w:p>
    <w:p>
      <w:r>
        <w:rPr>
          <w:i/>
          <w:color w:val="666666"/>
          <w:sz w:val="18"/>
        </w:rPr>
        <w:t>Ali MW et al.  ·  Viruses  ·  11.09.2026  ·  PMID 42797833</w:t>
      </w:r>
    </w:p>
    <w:p>
      <w:r>
        <w:t>Eine Übersicht analysierte, wie Klimawandel und Wildtier-Reservoire zur Entstehung von 13 wichtigen zoonotischen Viren in Australien beitragen und deren Transmissionsdynamiken beeinflussen.</w:t>
      </w:r>
    </w:p>
    <w:p>
      <w:r>
        <w:rPr>
          <w:b/>
        </w:rPr>
        <w:t xml:space="preserve">Ergebnis: </w:t>
      </w:r>
      <w:r>
        <w:t>Temperatur und Niederschlag waren Hauptklimafaktoren für Ross River, Barmah Forest, Murray Valley Encephalitis, Japanese Encephalitis, West Nile/Kunjin und Vogelgrippe-Virus. Temperatur zeigte nichtlineare Beziehung zu Vektorübertragung; überdurchschnittliche Niederschläge erhöhten Ausbruchsrisiko durch Mückenhabitate und Wirtsaktivität. Wissenslücken: Wildtier-Virologie, Klima-Krankheits-Pfade, integrierte One-Health-Surveillance.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subtropisch/temperat; Klimafaktoren und Vektorbiology übertragbar auf gemäßigte Zonen</w:t>
      </w:r>
    </w:p>
    <w:p>
      <w:r>
        <w:rPr>
          <w:color w:val="5A7D3A"/>
          <w:sz w:val="18"/>
        </w:rPr>
        <w:t>https://pubmed.ncbi.nlm.nih.gov/42797833/</w:t>
      </w:r>
    </w:p>
    <w:p>
      <w:pPr>
        <w:pStyle w:val="Heading2"/>
      </w:pPr>
      <w:r>
        <w:t>Umweltschadstoffe und Demenzrisiko: Evidenzübersicht</w:t>
      </w:r>
    </w:p>
    <w:p>
      <w:r>
        <w:rPr>
          <w:i/>
          <w:color w:val="666666"/>
          <w:sz w:val="18"/>
        </w:rPr>
        <w:t>Huang Y et al.  ·  Int J Mol Sci  ·  15.09.2026  ·  PMID 42794653</w:t>
      </w:r>
    </w:p>
    <w:p>
      <w:r>
        <w:t>Eine systematische Übersicht (2020–2026) untersuchte Assoziationen zwischen Luftverschmutzung, chemischen Schadstoffen und Demenz sowie zugrundeliegende Mechanismen.</w:t>
      </w:r>
    </w:p>
    <w:p>
      <w:r>
        <w:rPr>
          <w:b/>
        </w:rPr>
        <w:t xml:space="preserve">Ergebnis: </w:t>
      </w:r>
      <w:r>
        <w:t>Langzeitexposition gegenüber PM2.5, NO₂ und Rußpartikeln war mit erhöhtem Demenzrisiko assoziiert, PM10 und Ozon zeigten unklare Befunde. Phthalate, Bisphenole, Schwermetalle (Blei, Cadmium) und PFOS waren mit kognitiver Verschlechterung verbunden. Mechanismen: oxidativer Stress, Neuroinflammation, Alzheimer-Pathologie und Gefäßschäden.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Übersichtsarbeit auf Basis epidemiologischer Studien; Mechanismen klimazonenunabhängig</w:t>
      </w:r>
    </w:p>
    <w:p>
      <w:r>
        <w:rPr>
          <w:color w:val="5A7D3A"/>
          <w:sz w:val="18"/>
        </w:rPr>
        <w:t>https://pubmed.ncbi.nlm.nih.gov/42794653/</w:t>
      </w:r>
    </w:p>
    <w:p>
      <w:pPr>
        <w:pStyle w:val="Heading2"/>
      </w:pPr>
      <w:r>
        <w:t>Passivrauchen und chronische Nierenerkrankung: Querschnitt- und Kohortenstudie</w:t>
      </w:r>
    </w:p>
    <w:p>
      <w:r>
        <w:rPr>
          <w:i/>
          <w:color w:val="666666"/>
          <w:sz w:val="18"/>
        </w:rPr>
        <w:t>Huang R et al.  ·  Medicine (Baltimore)  ·  18.09.2026  ·  PMID 42760653</w:t>
      </w:r>
    </w:p>
    <w:p>
      <w:r>
        <w:t>Eine Querschnitt- und prospektive Kohortenstudie analysierte 13.276 Nichtraucher der NHANES (1999–2020) auf Assoziationen zwischen Passivrauche-Exposition und CKD-Prävalenz sowie Sterblichkeit bei CKD-Patienten.</w:t>
      </w:r>
    </w:p>
    <w:p>
      <w:r>
        <w:rPr>
          <w:b/>
        </w:rPr>
        <w:t xml:space="preserve">Ergebnis: </w:t>
      </w:r>
      <w:r>
        <w:t>Moderate Passivrauche-Exposition war mit erhöhter CKD-Prävalenz assoziiert (OR = 1,37; 95%-KI: 1,07–1,76; p = 0,01). Bei 1.630 CKD-Patienten waren moderate und starke Exposition mit höherer Gesamtmortalität assoziiert (HR = 2,03 [95%-KI: 1,23–3,36] und HR = 1,80 [95%-KI: 1,11–2,93]). Jede Verdoppelung der Serum-Cotinin-Konzentration erhöhte Mortalitätsrisiko um 4 % (HR = 1,04; 95%-KI: 1,01–1,08; p = 0,02).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NHANES-Kohorte; Assoziationsmuster auf gemäßigte Zonen übertragbar</w:t>
      </w:r>
    </w:p>
    <w:p>
      <w:r>
        <w:rPr>
          <w:color w:val="5A7D3A"/>
          <w:sz w:val="18"/>
        </w:rPr>
        <w:t>https://pubmed.ncbi.nlm.nih.gov/42760653/</w:t>
      </w:r>
    </w:p>
    <w:p>
      <w:pPr>
        <w:pStyle w:val="Heading2"/>
      </w:pPr>
      <w:r>
        <w:t>Luftverschmutzung, CCL22 und atopische Dermatitis: Integrative Transkriptomik</w:t>
      </w:r>
    </w:p>
    <w:p>
      <w:r>
        <w:rPr>
          <w:i/>
          <w:color w:val="666666"/>
          <w:sz w:val="18"/>
        </w:rPr>
        <w:t>Gao C et al.  ·  Front Public Health  ·  03.09.2026  ·  PMID 42756293</w:t>
      </w:r>
    </w:p>
    <w:p>
      <w:r>
        <w:t>Eine integrierte Toxikogenomik-Analyse identifizierte gemeinsame Signale zwischen Luftschadstoff-Targets und atopischer Dermatitis, mit Fokus auf Immunreaktionen.</w:t>
      </w:r>
    </w:p>
    <w:p>
      <w:r>
        <w:rPr>
          <w:b/>
        </w:rPr>
        <w:t xml:space="preserve">Ergebnis: </w:t>
      </w:r>
      <w:r>
        <w:t>Ein Machine-Learning-Modell (AUC 0,963) identifizierte ein Luftschadstoff-AD-Profil mit zehn Genen, angeführt von CCL22, das in dendritischen Zellen und Makrophagen hochreguliert ist. In-silico-Perturbation von CCL22 war mit extrazellulärer Matrix- und Stromaumbau assoziiert; DNFB-induzierte AD im Mausmodell bestätigte erhöhte CCL22-Expression in läsionaler Haut.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Molekulare Mechanismen, experimentelle Validierung; Luftverschmutzung-Exposition klimazonenunabhängig relevant</w:t>
      </w:r>
    </w:p>
    <w:p>
      <w:r>
        <w:rPr>
          <w:color w:val="5A7D3A"/>
          <w:sz w:val="18"/>
        </w:rPr>
        <w:t>https://pubmed.ncbi.nlm.nih.gov/42756293/</w:t>
      </w:r>
    </w:p>
    <w:p>
      <w:pPr>
        <w:pStyle w:val="Heading2"/>
      </w:pPr>
      <w:r>
        <w:t>Luftschadstoff-assoziierte Proteinprofile und Vorhofflimmern-Risiko</w:t>
      </w:r>
    </w:p>
    <w:p>
      <w:r>
        <w:rPr>
          <w:i/>
          <w:color w:val="666666"/>
          <w:sz w:val="18"/>
        </w:rPr>
        <w:t>Chen Y et al.  ·  Ecotoxicol Environ Saf  ·  15.09.2026  ·  PMID 42607596</w:t>
      </w:r>
    </w:p>
    <w:p>
      <w:r>
        <w:t>Eine proteomweite Analyse im UK Biobank (n = 19.645) untersuchte Assoziationen zwischen Langzeitexposition gegenüber sieben Luftschadstoffen und Proteinbiomarkern für Vorhofflimmern-Inzidenz.</w:t>
      </w:r>
    </w:p>
    <w:p>
      <w:r>
        <w:rPr>
          <w:b/>
        </w:rPr>
        <w:t xml:space="preserve">Ergebnis: </w:t>
      </w:r>
      <w:r>
        <w:t>Personalisierte Proteinprofile für PM2.5, PM10, NO₂, NOx, SO₂, Benzol und O₃ waren mit erhöhtem Vorhofflimmern-Risiko assoziiert. Personen mit hohem Proteinrisiko-Score verloren geschätzt 1,15–1,25 Jahre Vorhofflimmern-freies Leben im Vergleich zu niedrigem Risiko. Spezifische Proteine (ANGPT2, GDF15, PLAUR) wurden als Mediatoren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gemäßigte Klimazone, vergleichbar mit Mitteleuropa</w:t>
      </w:r>
    </w:p>
    <w:p>
      <w:r>
        <w:rPr>
          <w:color w:val="5A7D3A"/>
          <w:sz w:val="18"/>
        </w:rPr>
        <w:t>https://pubmed.ncbi.nlm.nih.gov/42607596/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