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26.10.2026  |  389 Studien  |  klima.m-vf.de</w:t>
      </w:r>
    </w:p>
    <w:p>
      <w:pPr>
        <w:pStyle w:val="Heading1"/>
      </w:pPr>
      <w:r>
        <w:t>Aufgenommen am 26.10.2026</w:t>
      </w:r>
    </w:p>
    <w:p>
      <w:pPr>
        <w:pStyle w:val="Heading2"/>
      </w:pPr>
      <w:r>
        <w:t>Leptospirose in der Landwirtschaft: Klimawandel und Wasserkontamination als Risikofaktoren</w:t>
      </w:r>
    </w:p>
    <w:p>
      <w:r>
        <w:rPr>
          <w:i/>
          <w:color w:val="666666"/>
          <w:sz w:val="18"/>
        </w:rPr>
        <w:t>Tiraboschi MM et al.  ·  Med Lav  ·  23.10.2026  ·  PMID 42925048</w:t>
      </w:r>
    </w:p>
    <w:p>
      <w:r>
        <w:t>Fallbericht und Surveillance einer tödlichen beruflichen Leptospirose in Oberitalien mit Analyse von Klimawandel-Expositionen: Bei 16 bestätigten Fällen über 22 Monate traten 3 Todesfälle (18,8%) und 1 Behinderungsfall (6,3%) auf, 75% hatten agrarnumweltliche Expositionen.</w:t>
      </w:r>
    </w:p>
    <w:p>
      <w:r>
        <w:rPr>
          <w:b/>
        </w:rPr>
        <w:t xml:space="preserve">Ergebnis: </w:t>
      </w:r>
      <w:r>
        <w:t>Unter 16 Leptospirose-Fällen in der Lombardei betrug die Überlebensrate ohne Langzeitkomplikationen 75% (12 Fälle mit agrar-umweltlichem Bezug); Schwere-Komplikationsrate 25,0% (3 Todesfälle + 1 Invalidität). Der Klimawandel wird die europäische Ausbreitungszone und Transmissionssaison erweitern.</w:t>
      </w:r>
    </w:p>
    <w:p>
      <w:r>
        <w:rPr>
          <w:b/>
          <w:sz w:val="19"/>
        </w:rPr>
        <w:t xml:space="preserve">Übertragbarkeit: </w:t>
      </w:r>
      <w:r>
        <w:rPr>
          <w:sz w:val="19"/>
        </w:rPr>
        <w:t>Oberitalien, gemäßigte Klimazone, One-Health-Ansatz auf Deutschland übertragbar</w:t>
      </w:r>
    </w:p>
    <w:p>
      <w:r>
        <w:rPr>
          <w:color w:val="5A7D3A"/>
          <w:sz w:val="18"/>
        </w:rPr>
        <w:t>https://pubmed.ncbi.nlm.nih.gov/42925048/</w:t>
      </w:r>
    </w:p>
    <w:p>
      <w:pPr>
        <w:pStyle w:val="Heading2"/>
      </w:pPr>
      <w:r>
        <w:t>Luftverschmutzung beeinträchtigt Herzfrequenzvariabilität und Lungenfunktion bei Schulkindern</w:t>
      </w:r>
    </w:p>
    <w:p>
      <w:r>
        <w:rPr>
          <w:i/>
          <w:color w:val="666666"/>
          <w:sz w:val="18"/>
        </w:rPr>
        <w:t>Oliveira FR et al.  ·  Epidemiol Serv Saude  ·  17.06.2026  ·  PMID 42922790</w:t>
      </w:r>
    </w:p>
    <w:p>
      <w:r>
        <w:t>Querschnittsuntersuchung an 77 Schulkindern in der hochbelasteten Stadt Cubatão (Brasilien) zu Auswirkungen von Luftverschmutzung auf Herzfrequenzvariabilität (HFnu) und Lungenfunktion (FEV1, FEF25-75%).</w:t>
      </w:r>
    </w:p>
    <w:p>
      <w:r>
        <w:rPr>
          <w:b/>
        </w:rPr>
        <w:t xml:space="preserve">Ergebnis: </w:t>
      </w:r>
      <w:r>
        <w:t>Erhöhtes Schwefeldioxid assoziiert mit HFnu-Reduktion: -0,68 (95%-KI -1,27; -0,11) täglich, -0,67 über 2 Tage, -1,29 über 3 Tage (p&lt;0,001). Ozon: HFnu-Reduktion -0,32 (95%-KI -0,62; -0,02). Stickstoffdioxid: FEV1-Reduktion 0,23%, FEF25-75%-Reduktion 0,30%. Luftverschmutzung reduzierte messbar Herzfrequenzvariabilität und Lungenfunktion.</w:t>
      </w:r>
    </w:p>
    <w:p>
      <w:r>
        <w:rPr>
          <w:b/>
          <w:sz w:val="19"/>
        </w:rPr>
        <w:t xml:space="preserve">Übertragbarkeit: </w:t>
      </w:r>
      <w:r>
        <w:rPr>
          <w:sz w:val="19"/>
        </w:rPr>
        <w:t>Tropen (Brasilien) – nur Methodik übertragbar, nicht Schwellenwerte oder Anpassungsniveaus</w:t>
      </w:r>
    </w:p>
    <w:p>
      <w:r>
        <w:rPr>
          <w:color w:val="5A7D3A"/>
          <w:sz w:val="18"/>
        </w:rPr>
        <w:t>https://pubmed.ncbi.nlm.nih.gov/42922790/</w:t>
      </w:r>
    </w:p>
    <w:p>
      <w:pPr>
        <w:pStyle w:val="Heading2"/>
      </w:pPr>
      <w:r>
        <w:t>Klima, Luftverschmutzung und Extremereignisse bestimmen Influenza-Risiko</w:t>
      </w:r>
    </w:p>
    <w:p>
      <w:r>
        <w:rPr>
          <w:i/>
          <w:color w:val="666666"/>
          <w:sz w:val="18"/>
        </w:rPr>
        <w:t>Ding E et al.  ·  Environ Sci Technol  ·  22.09.2026  ·  PMID 42916219</w:t>
      </w:r>
    </w:p>
    <w:p>
      <w:r>
        <w:t>Fall-Crossover-Studie mit 630.120 Influenza-positiven Fällen aus 335 chinesischen Städten (2005–2019): Verteilte Lag-Nichtlinear-Modelle quantifizierten Exposition-Lag-Response-Beziehungen; Machine-Learning und LSTM-Modelle integrierten Extremereignisse in Prognosen.</w:t>
      </w:r>
    </w:p>
    <w:p>
      <w:r>
        <w:rPr>
          <w:b/>
        </w:rPr>
        <w:t xml:space="preserve">Ergebnis: </w:t>
      </w:r>
      <w:r>
        <w:t>Meteorologische Variablen, Luftverschmutzung und Extremereignisse signifikant assoziiert mit Influenza-Risiko. Machine-Learning identifizierte atmosphärische Temperatur, Luftfeuchte und Feinstoffpartikel als Hauptfaktoren. Co-Exposition gegenüber Extremereignissen zeigte höheres gemeinsames Risiko als Einzelexposition (submultiplikative Interaktion, keine additive). LSTM-Modell mit Extremereignissen verbesserte Influenza-Prognosegenauigkeit signifikant. Heterogene geografische Effekte und Subtyp-Variationen beobachtet.</w:t>
      </w:r>
    </w:p>
    <w:p>
      <w:r>
        <w:rPr>
          <w:b/>
          <w:sz w:val="19"/>
        </w:rPr>
        <w:t xml:space="preserve">Übertragbarkeit: </w:t>
      </w:r>
      <w:r>
        <w:rPr>
          <w:sz w:val="19"/>
        </w:rPr>
        <w:t>China (Subtropen/gemäßigt) – Methodologie und Extreme-Event-Integration übertragbar, nicht absolute Schwellenwerte</w:t>
      </w:r>
    </w:p>
    <w:p>
      <w:r>
        <w:rPr>
          <w:color w:val="5A7D3A"/>
          <w:sz w:val="18"/>
        </w:rPr>
        <w:t>https://pubmed.ncbi.nlm.nih.gov/42916219/</w:t>
      </w:r>
    </w:p>
    <w:p>
      <w:pPr>
        <w:pStyle w:val="Heading2"/>
      </w:pPr>
      <w:r>
        <w:t>Waldbrandrauch und Sterblichkeit: Kohlenstoffkomponenten erhöhen Risiko pro Masseeinheit</w:t>
      </w:r>
    </w:p>
    <w:p>
      <w:r>
        <w:rPr>
          <w:i/>
          <w:color w:val="666666"/>
          <w:sz w:val="18"/>
        </w:rPr>
        <w:t>Jin Z et al.  ·  Environ Sci Technol  ·  13.10.2026  ·  PMID 42915998</w:t>
      </w:r>
    </w:p>
    <w:p>
      <w:r>
        <w:t>Kohortenstudie mit 77,47 Mio. Medicare-Versicherten (2002–2019): Langzeitexposition gegenüber Rauch-PM2.5 und dessen Kohlenstoffanteil wurde mit Gesamtsterblichkeit verknüpft mittels stratifizierter Cox-Modelle.</w:t>
      </w:r>
    </w:p>
    <w:p>
      <w:r>
        <w:rPr>
          <w:b/>
        </w:rPr>
        <w:t xml:space="preserve">Ergebnis: </w:t>
      </w:r>
      <w:r>
        <w:t>Pro 1 μg/m³ Rauch-PM2.5 Hazard Ratio 1,032 (95%-KI 1,027–1,037); für Rauch-Kohlenstoffkomponenten 1,087 (1,076–1,098). Zurechenbare jährliche Todesfälle 22.420, Kohlenstoffanteil trägt Mehrheit der Last. Stärkere Assoziationen bei Schwarzen und anderen Minderheiten sowie Medicaid-Versicherten. Rauch-PM2.5 zeigt pro Masseeinheit höhere Toxizität als Nicht-Rauch-PM2.5.</w:t>
      </w:r>
    </w:p>
    <w:p>
      <w:r>
        <w:rPr>
          <w:b/>
          <w:sz w:val="19"/>
        </w:rPr>
        <w:t xml:space="preserve">Übertragbarkeit: </w:t>
      </w:r>
      <w:r>
        <w:rPr>
          <w:sz w:val="19"/>
        </w:rPr>
        <w:t>USA, andere gemäßigte Breitengrade; Rauchbelastung in Deutschland bisher gering, aber Waldbrände häufiger</w:t>
      </w:r>
    </w:p>
    <w:p>
      <w:r>
        <w:rPr>
          <w:color w:val="5A7D3A"/>
          <w:sz w:val="18"/>
        </w:rPr>
        <w:t>https://pubmed.ncbi.nlm.nih.gov/42915998/</w:t>
      </w:r>
    </w:p>
    <w:p>
      <w:pPr>
        <w:pStyle w:val="Heading2"/>
      </w:pPr>
      <w:r>
        <w:t>Schulbelüftung nach COVID-19: Hürden und mangelnde Ausstattung in Südspanien</w:t>
      </w:r>
    </w:p>
    <w:p>
      <w:r>
        <w:rPr>
          <w:i/>
          <w:color w:val="666666"/>
          <w:sz w:val="18"/>
        </w:rPr>
        <w:t>Martínez JA et al.  ·  Rev Esp Salud Publica  ·  20.10.2026  ·  PMID 42904444</w:t>
      </w:r>
    </w:p>
    <w:p>
      <w:r>
        <w:t>Querschnittsstudie unter 91 Schulleitern in Murcia zur Compliance mit Lüftungsmaßnahmen: 77% der Schulen fehlten HVAC-Systeme oder CO₂-Sensoren; durchschnittliche Compliance-Werte 0,71 (2023/24) und 0,76 (2024/25).</w:t>
      </w:r>
    </w:p>
    <w:p>
      <w:r>
        <w:rPr>
          <w:b/>
        </w:rPr>
        <w:t xml:space="preserve">Ergebnis: </w:t>
      </w:r>
      <w:r>
        <w:t>77% der Schulen ohne technische Lüftungsausstattung; Compliance-Scores auf Skala [0,1]: durchschnittlich 0,71 im Schuljahr 2023/24 und 0,76 für 2024/25. Haupthürden: Wärmekomfort, Außenlärm, Lehrerkooperation; Bedarf für öffentliche Investitionen in Infrastruktur.</w:t>
      </w:r>
    </w:p>
    <w:p>
      <w:r>
        <w:rPr>
          <w:b/>
          <w:sz w:val="19"/>
        </w:rPr>
        <w:t xml:space="preserve">Übertragbarkeit: </w:t>
      </w:r>
      <w:r>
        <w:rPr>
          <w:sz w:val="19"/>
        </w:rPr>
        <w:t>Südeuropa, vergleichbares Schulsystem, Lüftungsinfrastruktur-Mangel ähnlich Deutschland</w:t>
      </w:r>
    </w:p>
    <w:p>
      <w:r>
        <w:rPr>
          <w:color w:val="5A7D3A"/>
          <w:sz w:val="18"/>
        </w:rPr>
        <w:t>https://pubmed.ncbi.nlm.nih.gov/42904444/</w:t>
      </w:r>
    </w:p>
    <w:p>
      <w:pPr>
        <w:pStyle w:val="Heading2"/>
      </w:pPr>
      <w:r>
        <w:t>Pneumokokken-Surveillance durch Innenraumluftkontrolle</w:t>
      </w:r>
    </w:p>
    <w:p>
      <w:r>
        <w:rPr>
          <w:i/>
          <w:color w:val="666666"/>
          <w:sz w:val="18"/>
        </w:rPr>
        <w:t>Tack B et al.  ·  Int J Infect Dis  ·  02.09.2026  ·  PMID 42685969</w:t>
      </w:r>
    </w:p>
    <w:p>
      <w:r>
        <w:t>Monatliche Luftproben aus einem belgischen Kinderbetreuungszentrum über 20 Monate (Januar 2022–September 2023) wurden auf Pneumokokken und Serotypen mittels qPCR analysiert.</w:t>
      </w:r>
    </w:p>
    <w:p>
      <w:r>
        <w:rPr>
          <w:b/>
        </w:rPr>
        <w:t xml:space="preserve">Ergebnis: </w:t>
      </w:r>
      <w:r>
        <w:t>Pneumokokken wurden in 100% der Luftproben nachgewiesen; durchschnittlich 7 Serotypen pro Probe identifiziert; 15 Serotypen insgesamt erfasst. Die erfassten Serotypen stimmten weitgehend mit belgischen Carrierstudien und invasiver Krankheitssurveillance überein. Luftproben-Surveillance könnte ein skalierbares, kostengünstiges Werkzeug für Vakzinationsüberwachung werden.</w:t>
      </w:r>
    </w:p>
    <w:p>
      <w:r>
        <w:rPr>
          <w:b/>
          <w:sz w:val="19"/>
        </w:rPr>
        <w:t xml:space="preserve">Übertragbarkeit: </w:t>
      </w:r>
      <w:r>
        <w:rPr>
          <w:sz w:val="19"/>
        </w:rPr>
        <w:t>Belgien, Mitteleuropa, vergleichbares Versorgungssystem und Klima</w:t>
      </w:r>
    </w:p>
    <w:p>
      <w:r>
        <w:rPr>
          <w:color w:val="5A7D3A"/>
          <w:sz w:val="18"/>
        </w:rPr>
        <w:t>https://pubmed.ncbi.nlm.nih.gov/42685969/</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