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14.09.2026  |  6 Studien  |  klima.m-vf.de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Langzeitluftverschmutzung und neurodegeneratives Risiko bei älteren Chinesen</w:t>
      </w:r>
    </w:p>
    <w:p>
      <w:r>
        <w:rPr>
          <w:i/>
          <w:color w:val="666666"/>
          <w:sz w:val="18"/>
        </w:rPr>
        <w:t>Gui R et al.  ·  Environ Health  ·  07.09.2026  ·  PMID 42728615</w:t>
      </w:r>
    </w:p>
    <w:p>
      <w:r>
        <w:t>Querschnittstudie zur Assoziation zwischen langjähriger Exposition gegenüber PM2,5, PM10, NO₂, O₃ und zusammengesetztem neurodegenerativem Risikoscore (CHARLS-Daten 2011–2015).</w:t>
      </w:r>
    </w:p>
    <w:p>
      <w:r>
        <w:rPr>
          <w:b/>
        </w:rPr>
        <w:t xml:space="preserve">Ergebnis: </w:t>
      </w:r>
      <w:r>
        <w:t>PM2,5 signifikant assoziiert mit erhöhtem neurodegenerativem Risikoscore (adjustiertes β = 0,010; 95%-KI 0,008–0,016); nach Logistischer Regression OR = 1,52 (95%-KI 1,01–2,31), spezifisch für Altersgruppe 60–74 Jahre. PM10, NO₂, O₃ zeigten keine signifikanten Assoziationen.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älteren Menschen, begrenzt auf methodisches Konzept</w:t>
      </w:r>
    </w:p>
    <w:p>
      <w:r>
        <w:rPr>
          <w:color w:val="5A7D3A"/>
          <w:sz w:val="18"/>
        </w:rPr>
        <w:t>https://pubmed.ncbi.nlm.nih.gov/42728615/</w:t>
      </w:r>
    </w:p>
    <w:p>
      <w:pPr>
        <w:pStyle w:val="Heading2"/>
      </w:pPr>
      <w:r>
        <w:t>Meteorologische Expositionen und Krebssterblichkeit in Shanghai</w:t>
      </w:r>
    </w:p>
    <w:p>
      <w:r>
        <w:rPr>
          <w:i/>
          <w:color w:val="666666"/>
          <w:sz w:val="18"/>
        </w:rPr>
        <w:t>Guo J et al.  ·  Front Public Health  ·  27.08.2026  ·  PMID 42723926</w:t>
      </w:r>
    </w:p>
    <w:p>
      <w:r>
        <w:t>Zeitreihenanalyse mit distributed lag non-linear models zu Assoziationen zwischen meteorologischen Faktoren und täglichen Krebstodesfällen (2014–2023, n=26.684).</w:t>
      </w:r>
    </w:p>
    <w:p>
      <w:r>
        <w:rPr>
          <w:b/>
        </w:rPr>
        <w:t xml:space="preserve">Ergebnis: </w:t>
      </w:r>
      <w:r>
        <w:t>Tiefe Temperaturen und niedrige Luftfeuchte zeigten nicht-lineare verzögerte Effekte: Bei 2,5-Perzentil der mittleren Temperatur relatives Risiko (RR) für Lungenkrebs 2,807 (95%-KI 1,412–5,579); niedrige Luftfeuchte RR 1,690 (95%-KI 1,269–2,250). Effekte über 0–21 Tage Verzögerung.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Methodik übertragbar, methodisches Modell für gemäßigte Zonen relevant</w:t>
      </w:r>
    </w:p>
    <w:p>
      <w:r>
        <w:rPr>
          <w:color w:val="5A7D3A"/>
          <w:sz w:val="18"/>
        </w:rPr>
        <w:t>https://pubmed.ncbi.nlm.nih.gov/42723926/</w:t>
      </w:r>
    </w:p>
    <w:p>
      <w:pPr>
        <w:pStyle w:val="Heading2"/>
      </w:pPr>
      <w:r>
        <w:t>Klimawandel als Treiber von Lebensmittelsicherheitsrisiken in Belgien</w:t>
      </w:r>
    </w:p>
    <w:p>
      <w:r>
        <w:rPr>
          <w:i/>
          <w:color w:val="666666"/>
          <w:sz w:val="18"/>
        </w:rPr>
        <w:t>Vermeersch M et al.  ·  Food Res Int  ·  01.10.2026  ·  PMID 42562462</w:t>
      </w:r>
    </w:p>
    <w:p>
      <w:r>
        <w:t>Qualitative Studie mit 24 Qualitätsmanagern in belgischen Lebensmittelbetrieben zum Einfluss des externen Geschäftsumfelds auf Lebensmittelsicherheitsmanagementsysteme (DPSIR-Rahmen).</w:t>
      </w:r>
    </w:p>
    <w:p>
      <w:r>
        <w:rPr>
          <w:b/>
        </w:rPr>
        <w:t xml:space="preserve">Ergebnis: </w:t>
      </w:r>
      <w:r>
        <w:t>Klimawandel als hochrangig bewerteter Treiber für Lebensmittelsicherheitsdruck identifiziert (hohe Bedeutung und Machbarkeit der Reaktion); Störungen hauptsächlich durch Rohstoffverfügbarkeitsprobleme; fünf Lebensmittelsicherheitsdrücke durch zunehmende Präsenz oder Emergence von Gefahren.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EU-Kontext, verarbeitende Industrie, direkte Übertragbarkeit</w:t>
      </w:r>
    </w:p>
    <w:p>
      <w:r>
        <w:rPr>
          <w:color w:val="5A7D3A"/>
          <w:sz w:val="18"/>
        </w:rPr>
        <w:t>https://pubmed.ncbi.nlm.nih.gov/42562462/</w:t>
      </w:r>
    </w:p>
    <w:p>
      <w:pPr>
        <w:pStyle w:val="Heading2"/>
      </w:pPr>
      <w:r>
        <w:t>Wahrnehmung nachhaltiger Entwicklung bei schwedischen Physiotherapiestudierenden</w:t>
      </w:r>
    </w:p>
    <w:p>
      <w:r>
        <w:rPr>
          <w:i/>
          <w:color w:val="666666"/>
          <w:sz w:val="18"/>
        </w:rPr>
        <w:t>Pettersson A et al.  ·  BMC Med Educ  ·  07.07.2026  ·  PMID 42414974</w:t>
      </w:r>
    </w:p>
    <w:p>
      <w:r>
        <w:t>Querschnittstudie unter 116 Studierenden aller acht schwedischen Physiotherapieprogramme zu Erfahrungen, Haltungen und ökologischen Weltbildern bezüglich nachhaltiger Entwicklung.</w:t>
      </w:r>
    </w:p>
    <w:p>
      <w:r>
        <w:rPr>
          <w:b/>
        </w:rPr>
        <w:t xml:space="preserve">Ergebnis: </w:t>
      </w:r>
      <w:r>
        <w:t>Schüler zeigten überwiegend ökozentrische Umwelteinstellung und Bewusstsein für Nachhaltigkeitsziele; ein Drittel gab an, nur beiläufige Kommentare oder spontane Diskussionen erhalten zu haben; 40% unterstützten keine weitere Integration des Themas; begrenzte Exposition gegenüber geeigneten Lernaktivitäten.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nordische gemäßigte Zone, Gesundheitsausbildung</w:t>
      </w:r>
    </w:p>
    <w:p>
      <w:r>
        <w:rPr>
          <w:color w:val="5A7D3A"/>
          <w:sz w:val="18"/>
        </w:rPr>
        <w:t>https://pubmed.ncbi.nlm.nih.gov/42414974/</w:t>
      </w:r>
    </w:p>
    <w:p>
      <w:pPr>
        <w:pStyle w:val="Heading2"/>
      </w:pPr>
      <w:r>
        <w:t>Organisationale und kommunale Resilienz gegen naturkatastrophale Klimafolgen</w:t>
      </w:r>
    </w:p>
    <w:p>
      <w:r>
        <w:rPr>
          <w:i/>
          <w:color w:val="666666"/>
          <w:sz w:val="18"/>
        </w:rPr>
        <w:t>Wolgast A et al.  ·  BMC Public Health  ·  18.06.2026  ·  PMID 42316093</w:t>
      </w:r>
    </w:p>
    <w:p>
      <w:r>
        <w:t>Qualitative systematische Übersichtsarbeit über 57 Interventionsstudien zu Vorbereitung und Resilienz gegen Naturkatastrophen mit Fokus auf Rolle empowernder Bildung (PRISMA 2020).</w:t>
      </w:r>
    </w:p>
    <w:p>
      <w:r>
        <w:rPr>
          <w:b/>
        </w:rPr>
        <w:t xml:space="preserve">Ergebnis: </w:t>
      </w:r>
      <w:r>
        <w:t>Kernaussage: Resilience entsteht aus lokalen Bedingungen, sozialer Partizipation und Lernprozessen, nicht aus isolierten Maßnahmen; viele Interventionen sind kurzfristig und reaktiv; empowernde Bildung erhöht Vorbereitung besonders bei Jugendlichen; Bedarf für inklusive, kontextsensitive und nachhaltige Ansätze.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Evidenz, Konzept auf gemäßigte Zonen übertragbar</w:t>
      </w:r>
    </w:p>
    <w:p>
      <w:r>
        <w:rPr>
          <w:color w:val="5A7D3A"/>
          <w:sz w:val="18"/>
        </w:rPr>
        <w:t>https://pubmed.ncbi.nlm.nih.gov/42316093/</w:t>
      </w:r>
    </w:p>
    <w:p>
      <w:pPr>
        <w:pStyle w:val="Heading2"/>
      </w:pPr>
      <w:r>
        <w:t>Luftverschmutzung und ursachenspezifische Sterblichkeit in der EU</w:t>
      </w:r>
    </w:p>
    <w:p>
      <w:r>
        <w:rPr>
          <w:i/>
          <w:color w:val="666666"/>
          <w:sz w:val="18"/>
        </w:rPr>
        <w:t>Stanisci I et al.  ·  Sci Rep  ·  18.06.2026  ·  PMID 42315660</w:t>
      </w:r>
    </w:p>
    <w:p>
      <w:r>
        <w:t>Meta-Analyse und Meta-Regression zu Kurzzeit- und Langzeiteffekten von PM10, PM2,5, NO₂ und O₃ auf ursachenspezifische Sterblichkeit in 31 europäischen Studien (2020-2025).</w:t>
      </w:r>
    </w:p>
    <w:p>
      <w:r>
        <w:rPr>
          <w:b/>
        </w:rPr>
        <w:t xml:space="preserve">Ergebnis: </w:t>
      </w:r>
      <w:r>
        <w:t>PM2,5 assoziiert mit Gesamtsterblichkeit (RR ≈ 1,10 pro 10 µg/m³), kardiovaskulärer Sterblichkeit (RR = 1,026; 95%-KI 1,014–1,039) und respiratorischer Sterblichkeit (RR = 1,032; 95%-KI 1,013–1,050); Langzeiteffekte stärker als Kurzzeiteffekte. PM10 zeigte schwächere Assoziationen. Heterogenität I² 78–98%.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direkter Sterblichkeitsbezug, gemäßigte Klimazone</w:t>
      </w:r>
    </w:p>
    <w:p>
      <w:r>
        <w:rPr>
          <w:color w:val="5A7D3A"/>
          <w:sz w:val="18"/>
        </w:rPr>
        <w:t>https://pubmed.ncbi.nlm.nih.gov/42315660/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