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01.09.2026  |  5 Studien  |  klima.m-vf.de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Extreme Temperaturen und Frühgeburtsrisiko in den USA</w:t>
      </w:r>
    </w:p>
    <w:p>
      <w:r>
        <w:rPr>
          <w:i/>
          <w:color w:val="666666"/>
          <w:sz w:val="18"/>
        </w:rPr>
        <w:t>Perkins NJ et al.  ·  Int J Epidemiol  ·  18.08.2026  ·  PMID 42671351</w:t>
      </w:r>
    </w:p>
    <w:p>
      <w:r>
        <w:t>Prospektive Kohortenstudie untersuchte die Assoziation zwischen vorgeburtlicher Exposition gegenüber extremen Temperaturen und Frühgeburtsrisiko bei über 200.000 Schwangerschaften.</w:t>
      </w:r>
    </w:p>
    <w:p>
      <w:r>
        <w:rPr>
          <w:b/>
        </w:rPr>
        <w:t xml:space="preserve">Ergebnis: </w:t>
      </w:r>
      <w:r>
        <w:t>Chronische Kälteexposition: Odds Ratio 1,66 für Frühgeburten &lt;34 Wochen, 1,40 für 34-37 Wochen, 1,16 für 37-39 Wochen. Chronische Hitzeexposition: OR 1,20, 1,13 bzw. 1,32. Assoziationen waren im ersten Trimester stärker (p&lt;0,05).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gemäßigte Klimazone; Temperatureffekte teilweise auf Deutschland übertragbar</w:t>
      </w:r>
    </w:p>
    <w:p>
      <w:r>
        <w:rPr>
          <w:color w:val="5A7D3A"/>
          <w:sz w:val="18"/>
        </w:rPr>
        <w:t>https://pubmed.ncbi.nlm.nih.gov/42671351/</w:t>
      </w:r>
    </w:p>
    <w:p>
      <w:pPr>
        <w:pStyle w:val="Heading2"/>
      </w:pPr>
      <w:r>
        <w:t>Nachhaltigkeitsorientierung von Pflege- und Hebammenpersonal in Europa</w:t>
      </w:r>
    </w:p>
    <w:p>
      <w:r>
        <w:rPr>
          <w:i/>
          <w:color w:val="666666"/>
          <w:sz w:val="18"/>
        </w:rPr>
        <w:t>Flynn A et al.  ·  J Nurs Manag  ·  2026  ·  PMID 42670663</w:t>
      </w:r>
    </w:p>
    <w:p>
      <w:r>
        <w:t>Querschnittsumfrage bei 256 Pflege- und Hebammenpersonal aus Irland, Vereinigtes Königreich, Deutschland und weiteren europäischen Ländern zur Haltung gegenüber Nachhaltigkeit und Klimawandel.</w:t>
      </w:r>
    </w:p>
    <w:p>
      <w:r>
        <w:rPr>
          <w:b/>
        </w:rPr>
        <w:t xml:space="preserve">Ergebnis: </w:t>
      </w:r>
      <w:r>
        <w:t>78% stimmten zu, dass Klimawandel ein wichtiges Anliegen der Pflege ist; 87,1% unterstützten Nachhaltigkeit. 84,4% wendeten Nachhaltigkeitsprinzipien privat an, aber nur 53,5% am Arbeitsplatz (p&lt;0,001). Signifikanter Zusammenhang zwischen privatem und beruflichem Nachhaltigkeitsverhalten.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Länder, besonders Deutschland - Kultur und Gesundheitssystem direkt übertragbar</w:t>
      </w:r>
    </w:p>
    <w:p>
      <w:r>
        <w:rPr>
          <w:color w:val="5A7D3A"/>
          <w:sz w:val="18"/>
        </w:rPr>
        <w:t>https://pubmed.ncbi.nlm.nih.gov/42670663/</w:t>
      </w:r>
    </w:p>
    <w:p>
      <w:pPr>
        <w:pStyle w:val="Heading2"/>
      </w:pPr>
      <w:r>
        <w:t>Klimaresiliente Gesundheitssysteme für ältere Menschen in Deutschland und Japan</w:t>
      </w:r>
    </w:p>
    <w:p>
      <w:r>
        <w:rPr>
          <w:i/>
          <w:color w:val="666666"/>
          <w:sz w:val="18"/>
        </w:rPr>
        <w:t>Herrmann A et al.  ·  Environ Health Prev Med  ·  2026  ·  PMID 42669523</w:t>
      </w:r>
    </w:p>
    <w:p>
      <w:r>
        <w:t>Expertenworkshop zu Strategien zur Steigerung der Klimaresilienzen von Gesundheitssystemen in alternden Gesellschaften mit Fokus auf soziale Isolation und Hitzerisiken.</w:t>
      </w:r>
    </w:p>
    <w:p>
      <w:r>
        <w:rPr>
          <w:b/>
        </w:rPr>
        <w:t xml:space="preserve">Ergebnis: </w:t>
      </w:r>
      <w:r>
        <w:t>Kernfindung: Gezielte Interventionen gegen soziale Isolation und Hitzegesundheitsrisiken wurden als vielversprechender Weg zur Steigerung der Systemresilienz identifiziert; bisherige Interventionen adressieren diese nicht simultan in skalenübergreifender Perspektive.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Japan, beide überalternde Gesellschaften, gemäßigte Klimazonen</w:t>
      </w:r>
    </w:p>
    <w:p>
      <w:r>
        <w:rPr>
          <w:color w:val="5A7D3A"/>
          <w:sz w:val="18"/>
        </w:rPr>
        <w:t>https://pubmed.ncbi.nlm.nih.gov/42669523/</w:t>
      </w:r>
    </w:p>
    <w:p>
      <w:pPr>
        <w:pStyle w:val="Heading2"/>
      </w:pPr>
      <w:r>
        <w:t>Luftverschmutzung und Rheumatoide Arthritis: Metabolische Mechanismen</w:t>
      </w:r>
    </w:p>
    <w:p>
      <w:r>
        <w:rPr>
          <w:i/>
          <w:color w:val="666666"/>
          <w:sz w:val="18"/>
        </w:rPr>
        <w:t>Zhang Y et al.  ·  Front Public Health  ·  12.08.2026  ·  PMID 42656414</w:t>
      </w:r>
    </w:p>
    <w:p>
      <w:r>
        <w:t>UK Biobank-Kohortenstudie (403.332 Teilnehmende, 14 Jahre Follow-up) untersuchte Zusammenhänge zwischen Langzeitluftschadstoffexposition, Plasmametabolomen und Rheumatoide-Arthritis-Risiko.</w:t>
      </w:r>
    </w:p>
    <w:p>
      <w:r>
        <w:rPr>
          <w:b/>
        </w:rPr>
        <w:t xml:space="preserve">Ergebnis: </w:t>
      </w:r>
      <w:r>
        <w:t>PM2,5-bezogene metabolische Signaturen: Hazard Ratio 1,208 pro Standardabweichung (95%-KI: 1,180-1,236); NO2: HR 1,141 (1,109-1,173); NOx: HR 1,174 (1,148-1,201). Metabolische Signaturen erklärten 15,7-21,1% der Assoziation Luftverschmutzung-RA.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europäische Daten, gemäßigte Klimazone, vergleichbares Versorgungssystem</w:t>
      </w:r>
    </w:p>
    <w:p>
      <w:r>
        <w:rPr>
          <w:color w:val="5A7D3A"/>
          <w:sz w:val="18"/>
        </w:rPr>
        <w:t>https://pubmed.ncbi.nlm.nih.gov/42656414/</w:t>
      </w:r>
    </w:p>
    <w:p>
      <w:pPr>
        <w:pStyle w:val="Heading2"/>
      </w:pPr>
      <w:r>
        <w:t>Licht- und Luftverschmutzungsexposition und COPD-Risiko in UK</w:t>
      </w:r>
    </w:p>
    <w:p>
      <w:r>
        <w:rPr>
          <w:i/>
          <w:color w:val="666666"/>
          <w:sz w:val="18"/>
        </w:rPr>
        <w:t>Zhang Z et al.  ·  Environ Pollut  ·  01.10.2026  ·  PMID 42413849</w:t>
      </w:r>
    </w:p>
    <w:p>
      <w:r>
        <w:t>Prospektive Kohortenstudie (86.080 Teilnehmende, 13 Millionen Lichtsensor-Stunden) untersuchte unabhängige und wechselwirkende Effekte von persönlicher Lichtexposition und Luftverschmutzung auf Neuauftreten COPD.</w:t>
      </w:r>
    </w:p>
    <w:p>
      <w:r>
        <w:rPr>
          <w:b/>
        </w:rPr>
        <w:t xml:space="preserve">Ergebnis: </w:t>
      </w:r>
      <w:r>
        <w:t>Hellere Taglichtexposition (90-100% Perzentil vs. 0-50%): HR 0,72 (95%-KI: 0,60-0,88). Hellere Nachtlichtexposition (90-100%): HR 1,41 (1,23-1,63). Signifikante additive Wechselwirkung zwischen Nachtlicht und Luftverschmutzung; Effekt stärker bei höherer PM-Exposition.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europäische Daten, gemäßigte Klimazone, hohes Übertragungspotenzial</w:t>
      </w:r>
    </w:p>
    <w:p>
      <w:r>
        <w:rPr>
          <w:color w:val="5A7D3A"/>
          <w:sz w:val="18"/>
        </w:rPr>
        <w:t>https://pubmed.ncbi.nlm.nih.gov/42413849/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