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13.09.2026  |  6 Studien  |  klima.m-vf.de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Skala zur Wahrnehmung von Klimarisiken: Psychometrische Entwicklung und Validierung</w:t>
      </w:r>
    </w:p>
    <w:p>
      <w:r>
        <w:rPr>
          <w:i/>
          <w:color w:val="666666"/>
          <w:sz w:val="18"/>
        </w:rPr>
        <w:t>Ozen N et al.  ·  PLoS One  ·  09.09.2026  ·  PMID 42715258</w:t>
      </w:r>
    </w:p>
    <w:p>
      <w:r>
        <w:t>Eine methodische Studie entwickelte und validierte ein Messinstrument (GCCRP-S) zur Erfassung multidimensionaler Wahrnehmung von globalen Klimarisiken bei Erwachsenen.</w:t>
      </w:r>
    </w:p>
    <w:p>
      <w:r>
        <w:rPr>
          <w:b/>
        </w:rPr>
        <w:t xml:space="preserve">Ergebnis: </w:t>
      </w:r>
      <w:r>
        <w:t>Die 24-Item-Skala zeigt eine Fünf-Faktor-Struktur, die 69,40% der Varianz erklärt. Cronbachs-α = 0,957; Intraklassen-Korrelationskoeffizient (Stabilität) = 0,940. Goodness-of-Fit-Indizes waren zufriedenstellend.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psychometrische Evidenz; Klimarisikowahrnehmung ist überall relevant, Instrument zur internationalen Anwendung geeignet</w:t>
      </w:r>
    </w:p>
    <w:p>
      <w:r>
        <w:rPr>
          <w:color w:val="5A7D3A"/>
          <w:sz w:val="18"/>
        </w:rPr>
        <w:t>https://pubmed.ncbi.nlm.nih.gov/42715258/</w:t>
      </w:r>
    </w:p>
    <w:p>
      <w:pPr>
        <w:pStyle w:val="Heading2"/>
      </w:pPr>
      <w:r>
        <w:t>Kindergarten und Schulkinder in Ungarn: Exposition gegenüber Tabakrauch und elterliche Risikofaktoren</w:t>
      </w:r>
    </w:p>
    <w:p>
      <w:r>
        <w:rPr>
          <w:i/>
          <w:color w:val="666666"/>
          <w:sz w:val="18"/>
        </w:rPr>
        <w:t>Ulambayar B et al.  ·  Front Public Health  ·  06.08.2026  ·  PMID 42625906</w:t>
      </w:r>
    </w:p>
    <w:p>
      <w:r>
        <w:t>Eine Studie mit Daten der Europäischen Gesundheitsbefragung 2019 untersuchte Prävalenz und Determinanten der Passivrauchweltung bei Kindern in Ungarn.</w:t>
      </w:r>
    </w:p>
    <w:p>
      <w:r>
        <w:rPr>
          <w:b/>
        </w:rPr>
        <w:t xml:space="preserve">Ergebnis: </w:t>
      </w:r>
      <w:r>
        <w:t>8,8% der Kinder waren indoor und 17,1% outdoor Passivrauchweltung ausgesetzt; 21,5% insgesamt. Niedrigeinkommen, aktives Rauchen und schlechtere Mundgesundheit der Eltern waren signifikant mit höheren Odds der Exposition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Ungarn, vergleichbare gemäßigte Klimazone und europäische Gesundheitssituation</w:t>
      </w:r>
    </w:p>
    <w:p>
      <w:r>
        <w:rPr>
          <w:color w:val="5A7D3A"/>
          <w:sz w:val="18"/>
        </w:rPr>
        <w:t>https://pubmed.ncbi.nlm.nih.gov/42625906/</w:t>
      </w:r>
    </w:p>
    <w:p>
      <w:pPr>
        <w:pStyle w:val="Heading2"/>
      </w:pPr>
      <w:r>
        <w:t>Ältere Menschen und Extremwetterereignisse: Handlungsempfehlungen eines US-Forschungsverbundes</w:t>
      </w:r>
    </w:p>
    <w:p>
      <w:r>
        <w:rPr>
          <w:i/>
          <w:color w:val="666666"/>
          <w:sz w:val="18"/>
        </w:rPr>
        <w:t>Choi EY et al.  ·  J Gerontol A Biol Sci Med Sci  ·  01.07.2026  ·  PMID 42334962</w:t>
      </w:r>
    </w:p>
    <w:p>
      <w:r>
        <w:t>Ein Expertenpapier synthesiert Forschungsergebnisse zu Auswirkungen von Extremwetterereignissen auf ältere Menschen und identifiziert Prioritäten für Intervention und Anpassung.</w:t>
      </w:r>
    </w:p>
    <w:p>
      <w:r>
        <w:rPr>
          <w:b/>
        </w:rPr>
        <w:t xml:space="preserve">Ergebnis: </w:t>
      </w:r>
      <w:r>
        <w:t>Kernempfehlungen: Längere Verlaufsstudien mit kumulativen Exposurmaßen, stärkeres Augenmerk auf Heterogenität innerhalb älterer Populationen, kontextspezifische Interventionsforschung, Berücksichtigung sozialer und umweltbezogener Ressourcen.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Risikogruppe (ältere Menschen) und Extremwetter-Klimafolgen sind in gemäßigten Zonen universell</w:t>
      </w:r>
    </w:p>
    <w:p>
      <w:r>
        <w:rPr>
          <w:color w:val="5A7D3A"/>
          <w:sz w:val="18"/>
        </w:rPr>
        <w:t>https://pubmed.ncbi.nlm.nih.gov/42334962/</w:t>
      </w:r>
    </w:p>
    <w:p>
      <w:pPr>
        <w:pStyle w:val="Heading2"/>
      </w:pPr>
      <w:r>
        <w:t>Feinstaub (PM2,5) und Krankheitslast in BRICS-Ländern 1990–2023</w:t>
      </w:r>
    </w:p>
    <w:p>
      <w:r>
        <w:rPr>
          <w:i/>
          <w:color w:val="666666"/>
          <w:sz w:val="18"/>
        </w:rPr>
        <w:t>Si S et al.  ·  BMJ Glob Health  ·  22.06.2026  ·  PMID 42331512</w:t>
      </w:r>
    </w:p>
    <w:p>
      <w:r>
        <w:t>Eine Global-Burden-of-Disease-Analyse quantifizierte die länderübergreifende Sterblichkeit und Morbiditätsbelastung durch PM2,5-Exposition in BRICS-Ländern über 34 Jahre.</w:t>
      </w:r>
    </w:p>
    <w:p>
      <w:r>
        <w:rPr>
          <w:b/>
        </w:rPr>
        <w:t xml:space="preserve">Ergebnis: </w:t>
      </w:r>
      <w:r>
        <w:t>2023: 2,955 Millionen Todesfälle durch PM2,5 in BRICS (59% der globalen Last). Altersstandardisierte Sterblichkeit in BRICS deutlich über Weltdurchschnitt und über G7-Ländern. Indien zeigt steigende Lasten, China stabil. Projektion bis 2050: BRICS-Last bleibt über Weltniveau.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Perspektive; Luftverschmutzung relevant in vielen Ländern, Trendindikatoren hilfreich, aber absolute Schwellen nicht auf Deutschland übertragbar</w:t>
      </w:r>
    </w:p>
    <w:p>
      <w:r>
        <w:rPr>
          <w:color w:val="5A7D3A"/>
          <w:sz w:val="18"/>
        </w:rPr>
        <w:t>https://pubmed.ncbi.nlm.nih.gov/42331512/</w:t>
      </w:r>
    </w:p>
    <w:p>
      <w:pPr>
        <w:pStyle w:val="Heading2"/>
      </w:pPr>
      <w:r>
        <w:t>Feinstaub und Atemwegserkrankungen: Beschwerdeanstieg in rumänischen Regionen mit hoher Luftbelastung</w:t>
      </w:r>
    </w:p>
    <w:p>
      <w:r>
        <w:rPr>
          <w:i/>
          <w:color w:val="666666"/>
          <w:sz w:val="18"/>
        </w:rPr>
        <w:t>Zaharia DC et al.  ·  Front Public Health  ·  04.06.2026  ·  PMID 42326945</w:t>
      </w:r>
    </w:p>
    <w:p>
      <w:r>
        <w:t>Eine ökologische Studie analysierte Korrelationen zwischen PM10- und PM2,5-Konzentrationen und Morbiditäts-/Mortalitätsraten in allen Regionen Rumäniens (2014–2021).</w:t>
      </w:r>
    </w:p>
    <w:p>
      <w:r>
        <w:rPr>
          <w:b/>
        </w:rPr>
        <w:t xml:space="preserve">Ergebnis: </w:t>
      </w:r>
      <w:r>
        <w:t>PM10 und PM2,5 zeigten signifikante schwache positive Korrelationen mit Lungenkrebs (r = 0,211, p &lt; 0,001; r = 0,166, p = 0,022) und Asthma (r = 0,264; r = 0,31, p &lt; 0,001). Der 3-Jahres-Expositionsfenster war ein Prädiktor: PM2,5 addierte 5,28 Asthma-Krankenhauseinweisungen pro 100.000 Einwohner pro μg/m³.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 (Mitteleuropa), nationale Luftgütedaten und europäische Versorgungsstruktur</w:t>
      </w:r>
    </w:p>
    <w:p>
      <w:r>
        <w:rPr>
          <w:color w:val="5A7D3A"/>
          <w:sz w:val="18"/>
        </w:rPr>
        <w:t>https://pubmed.ncbi.nlm.nih.gov/42326945/</w:t>
      </w:r>
    </w:p>
    <w:p>
      <w:pPr>
        <w:pStyle w:val="Heading2"/>
      </w:pPr>
      <w:r>
        <w:t>Luftverschmutzung und Typ-2-Diabetes in kontaminiertem italienischen Industriegebiet</w:t>
      </w:r>
    </w:p>
    <w:p>
      <w:r>
        <w:rPr>
          <w:i/>
          <w:color w:val="666666"/>
          <w:sz w:val="18"/>
        </w:rPr>
        <w:t>Bottini I et al.  ·  Environ Pollut  ·  01.10.2026  ·  PMID 42323074</w:t>
      </w:r>
    </w:p>
    <w:p>
      <w:r>
        <w:t>Eine Kohortenstudie mit 392.133 Erwachsenen im kontaminierten River Sacco Valley (Zentralitalien) untersuchte Langzeitexposition gegenüber Luftschadstoffen und Typ-2-Diabetes-Inzidenz.</w:t>
      </w:r>
    </w:p>
    <w:p>
      <w:r>
        <w:rPr>
          <w:b/>
        </w:rPr>
        <w:t xml:space="preserve">Ergebnis: </w:t>
      </w:r>
      <w:r>
        <w:t>SO₂-Exposition war mit erhöhtem T2D-Risiko assoziiert (HR: 1,01; 95%-KI: 1,00–1,02), besonders bei Frauen (HR: 1,02; 95%-KI: 1,01–1,04). Wohnen innerhalb 1 km vom kontaminierten Fluss erhöhte das T2D-Risiko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Industrieregion; höhere Expositionsniveaus als Deutschland aber gleiche Pathomechanismen</w:t>
      </w:r>
    </w:p>
    <w:p>
      <w:r>
        <w:rPr>
          <w:color w:val="5A7D3A"/>
          <w:sz w:val="18"/>
        </w:rPr>
        <w:t>https://pubmed.ncbi.nlm.nih.gov/42323074/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