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08.09.2026  |  7 Studien  |  klima.m-vf.de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Luftverschmutzung, Metalle und Immunantwort bei COPD-Patienten</w:t>
      </w:r>
    </w:p>
    <w:p>
      <w:r>
        <w:rPr>
          <w:i/>
          <w:color w:val="666666"/>
          <w:sz w:val="18"/>
        </w:rPr>
        <w:t>Dinh CT et al.  ·  Int J Chron Obstruct Pulmon Dis  ·  31.08.2026  ·  PMID 42699267</w:t>
      </w:r>
    </w:p>
    <w:p>
      <w:r>
        <w:t>Querschnittsstudie untersucht Assoziationen zwischen Luftschadstoff-Exposition, Schwermetallen in Zellen und Immungenexpression bei COPD-Patienten mit Anämie.</w:t>
      </w:r>
    </w:p>
    <w:p>
      <w:r>
        <w:rPr>
          <w:b/>
        </w:rPr>
        <w:t xml:space="preserve">Ergebnis: </w:t>
      </w:r>
      <w:r>
        <w:t>PM₂.₅-Exposition assoziiert mit höherer Rote-Blutköper-Zahl (β=0,0314×10⁶/µL; 95%-KI: 0,0066–0,0561) und erhöhtem Cr in PBMCs (β=0,0632; 95%-KI: 0,0124–0,1139); Cd und Pb in Erythrozyten korreliert mit Hämoglobin und Hämatokrit.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asiatische Megastadt – andere Schadstoff-Profile und Anpassung; nur Mechanismus-Aspekte relevant</w:t>
      </w:r>
    </w:p>
    <w:p>
      <w:r>
        <w:rPr>
          <w:color w:val="5A7D3A"/>
          <w:sz w:val="18"/>
        </w:rPr>
        <w:t>https://pubmed.ncbi.nlm.nih.gov/42699267/</w:t>
      </w:r>
    </w:p>
    <w:p>
      <w:pPr>
        <w:pStyle w:val="Heading2"/>
      </w:pPr>
      <w:r>
        <w:t>Landnutzungswandel und urbane Wärmeinsel-Exposition in China</w:t>
      </w:r>
    </w:p>
    <w:p>
      <w:r>
        <w:rPr>
          <w:i/>
          <w:color w:val="666666"/>
          <w:sz w:val="18"/>
        </w:rPr>
        <w:t>Huang Y et al.  ·  Front Public Health  ·  14.08.2026  ·  PMID 42666260</w:t>
      </w:r>
    </w:p>
    <w:p>
      <w:r>
        <w:t>Analyse von Landbedeckungswechsel und Oberflächentemperaturen (2000–2020) zur Quantifizierung der Hitzeexposition durch Urbanisierung.</w:t>
      </w:r>
    </w:p>
    <w:p>
      <w:r>
        <w:rPr>
          <w:b/>
        </w:rPr>
        <w:t xml:space="preserve">Ergebnis: </w:t>
      </w:r>
      <w:r>
        <w:t>Impermeabilisierte Flächen stiegen um 137,94%; neu versiegelte Flächen zeigten stärkste Erwärmung (+4,57 °C) mit 90,36 % Hitzeexpositionsrate; NDVI-Reduktion korrelierte mit Temperaturanstieg (R²=0,81).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Methodik übertragbar; südlich von China – höhere Baseline-Temperaturen und andere Anpassungsniveaus</w:t>
      </w:r>
    </w:p>
    <w:p>
      <w:r>
        <w:rPr>
          <w:color w:val="5A7D3A"/>
          <w:sz w:val="18"/>
        </w:rPr>
        <w:t>https://pubmed.ncbi.nlm.nih.gov/42666260/</w:t>
      </w:r>
    </w:p>
    <w:p>
      <w:pPr>
        <w:pStyle w:val="Heading2"/>
      </w:pPr>
      <w:r>
        <w:t>West-Nil-Virus-Modellierung und Moskitokontrolle in Deutschland</w:t>
      </w:r>
    </w:p>
    <w:p>
      <w:r>
        <w:rPr>
          <w:i/>
          <w:color w:val="666666"/>
          <w:sz w:val="18"/>
        </w:rPr>
        <w:t>Mbaoma OC et al.  ·  Sci Rep  ·  18.07.2026  ·  PMID 42471319</w:t>
      </w:r>
    </w:p>
    <w:p>
      <w:r>
        <w:t>Mechanistische Modellierung der West-Nil-Virus-Transmission durch Culex-Mücken in Deutschland unter Berücksichtigung von Klimavariablen und vertikaler Transmission.</w:t>
      </w:r>
    </w:p>
    <w:p>
      <w:r>
        <w:rPr>
          <w:b/>
        </w:rPr>
        <w:t xml:space="preserve">Ergebnis: </w:t>
      </w:r>
      <w:r>
        <w:t>Biologische Kontrolle war wirksamste Kontrollmethode vor mechanischen und chemischen Maßnahmen; vertikale Transmission zeigte marginal verstärkte Effekte in endemischen Regionen.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native Vektor-Ökologie; Klimawandel als Treiber der Ausbreitung</w:t>
      </w:r>
    </w:p>
    <w:p>
      <w:r>
        <w:rPr>
          <w:color w:val="5A7D3A"/>
          <w:sz w:val="18"/>
        </w:rPr>
        <w:t>https://pubmed.ncbi.nlm.nih.gov/42471319/</w:t>
      </w:r>
    </w:p>
    <w:p>
      <w:pPr>
        <w:pStyle w:val="Heading2"/>
      </w:pPr>
      <w:r>
        <w:t>Feinstaub-Exposition und Atemwegslast bei Kindern in Warschau</w:t>
      </w:r>
    </w:p>
    <w:p>
      <w:r>
        <w:rPr>
          <w:i/>
          <w:color w:val="666666"/>
          <w:sz w:val="18"/>
        </w:rPr>
        <w:t>Górka-Kostrubiec B et al.  ·  Environ Sci Pollut Res Int  ·  08.07.2026  ·  PMID 42414827</w:t>
      </w:r>
    </w:p>
    <w:p>
      <w:r>
        <w:t>Echtzeit-Messung von Feinstaub-Konzentrationen entlang Verkehrsrouten und Modellierung der altersspezifischen Atemwegsdeposition.</w:t>
      </w:r>
    </w:p>
    <w:p>
      <w:r>
        <w:rPr>
          <w:b/>
        </w:rPr>
        <w:t xml:space="preserve">Ergebnis: </w:t>
      </w:r>
      <w:r>
        <w:t>PM₁₀-Massendeposition in 3-Jährigen 37× höher als bei Erwachsenen (0,78 μg/m²); Verkehrsbehinderungen (nicht Umweltzonen-Lage) Haupttreiber von PM-Spitzen; Größenverteilung: PM₁₀-PM₂.₅ trug 3× mehr zu Peak-Konzentrationen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gemäßigte Klimazone, europäische Verkehrssituation; methodisch und bevölkerungsstrukturell übertragbar</w:t>
      </w:r>
    </w:p>
    <w:p>
      <w:r>
        <w:rPr>
          <w:color w:val="5A7D3A"/>
          <w:sz w:val="18"/>
        </w:rPr>
        <w:t>https://pubmed.ncbi.nlm.nih.gov/42414827/</w:t>
      </w:r>
    </w:p>
    <w:p>
      <w:pPr>
        <w:pStyle w:val="Heading2"/>
      </w:pPr>
      <w:r>
        <w:t>Selbstbehandlung von Allergien reduziert Gesundheitssektor-Emissionen im UK</w:t>
      </w:r>
    </w:p>
    <w:p>
      <w:r>
        <w:rPr>
          <w:i/>
          <w:color w:val="666666"/>
          <w:sz w:val="18"/>
        </w:rPr>
        <w:t>Pascual P et al.  ·  Adv Ther  ·  30.06.2026  ·  PMID 42377741</w:t>
      </w:r>
    </w:p>
    <w:p>
      <w:r>
        <w:t>Gesundheitsökonomische Analyse der Treibhausgasemissionen durch Substitution von ärztlichen Konsultationen durch Selbstbehandlung von Allergien.</w:t>
      </w:r>
    </w:p>
    <w:p>
      <w:r>
        <w:rPr>
          <w:b/>
        </w:rPr>
        <w:t xml:space="preserve">Ergebnis: </w:t>
      </w:r>
      <w:r>
        <w:t>Szenario 1 (alle Selbstbehandlungs-Fälle): 2030–3930 kt CO₂-Äquivalent Reduktion (8–16 % NHS-Emissionen); Allergie-Szenario heute: 330–1000 kt (1–4 %); Allergien-Vollselbstbehandlung: 100–200 kt (0,5–1 %).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vergleichbares Gesundheitssystem; Struktur ähnlich deutschem System</w:t>
      </w:r>
    </w:p>
    <w:p>
      <w:r>
        <w:rPr>
          <w:color w:val="5A7D3A"/>
          <w:sz w:val="18"/>
        </w:rPr>
        <w:t>https://pubmed.ncbi.nlm.nih.gov/42377741/</w:t>
      </w:r>
    </w:p>
    <w:p>
      <w:pPr>
        <w:pStyle w:val="Heading2"/>
      </w:pPr>
      <w:r>
        <w:t>Luftverschmutzung und Krebsinzidenz bei Kindern in Kasachstan</w:t>
      </w:r>
    </w:p>
    <w:p>
      <w:r>
        <w:rPr>
          <w:i/>
          <w:color w:val="666666"/>
          <w:sz w:val="18"/>
        </w:rPr>
        <w:t>Sadykanova G et al.  ·  Int J Environ Res Public Health  ·  11.06.2026  ·  PMID 42354314</w:t>
      </w:r>
    </w:p>
    <w:p>
      <w:r>
        <w:t>Ökologische Analyse der räumlich-zeitlichen Assoziationen zwischen Luftschadstoff-Konzentrationen und Neoplasma-Morbidität bei Kindern über 2014–2024.</w:t>
      </w:r>
    </w:p>
    <w:p>
      <w:r>
        <w:rPr>
          <w:b/>
        </w:rPr>
        <w:t xml:space="preserve">Ergebnis: </w:t>
      </w:r>
      <w:r>
        <w:t>Neoplasma-Morbidität um Faktor 1,3–2,0 über Nationalwert; SO₂ stärkster Prädiktor (ρ=0,791 bei Kindern in Ust-Kamenogorsk, p&lt;0,05); NO₂ und CO assoziiert bei Adoleszenten.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Methodik und Risikogruppen-Prinzip; Kasachstan – Industrieregion mit extremer Belastung, nicht auf Deutschland übertragbar</w:t>
      </w:r>
    </w:p>
    <w:p>
      <w:r>
        <w:rPr>
          <w:color w:val="5A7D3A"/>
          <w:sz w:val="18"/>
        </w:rPr>
        <w:t>https://pubmed.ncbi.nlm.nih.gov/42354314/</w:t>
      </w:r>
    </w:p>
    <w:p>
      <w:pPr>
        <w:pStyle w:val="Heading2"/>
      </w:pPr>
      <w:r>
        <w:t>Klimawandel und Notaufnahmen: KlimaNot-Studie in Deutschland</w:t>
      </w:r>
    </w:p>
    <w:p>
      <w:r>
        <w:rPr>
          <w:i/>
          <w:color w:val="666666"/>
          <w:sz w:val="18"/>
        </w:rPr>
        <w:t>Heimrath K et al.  ·  JMIR Res Protoc  ·  25.06.2026  ·  PMID 42348875</w:t>
      </w:r>
    </w:p>
    <w:p>
      <w:r>
        <w:t>Prospektive Kohortenstudie untersucht Assoziationen zwischen klimabedingten Wetterereignissen und Notaufnahme-Nutzung in deutschen Krankenhäusern.</w:t>
      </w:r>
    </w:p>
    <w:p>
      <w:r>
        <w:rPr>
          <w:b/>
        </w:rPr>
        <w:t xml:space="preserve">Ergebnis: </w:t>
      </w:r>
      <w:r>
        <w:t>Studie in Planung; retrospektive Analyse von 6,35 Mio. Notaufnahmen (2019–2024) mit Nonlinear-Modellen für Hitzeeffekte; Identifikation von Risikogruppen und syndromaler Überwachung angestrebt.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Notaufnahmen-Register, gemäßigte Klimazone mit hoher Relevanz</w:t>
      </w:r>
    </w:p>
    <w:p>
      <w:r>
        <w:rPr>
          <w:color w:val="5A7D3A"/>
          <w:sz w:val="18"/>
        </w:rPr>
        <w:t>https://pubmed.ncbi.nlm.nih.gov/42348875/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2026-09-08T06:00:00Z</dcterms:created>
  <dcterms:modified xsi:type="dcterms:W3CDTF">2026-09-08T06:00:00Z</dcterms:modified>
  <cp:category/>
</cp:coreProperties>
</file>