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28.09.2026  |  225 Studien  |  klima.m-vf.de</w:t>
      </w:r>
    </w:p>
    <w:p>
      <w:pPr>
        <w:pStyle w:val="Heading1"/>
      </w:pPr>
      <w:r>
        <w:t>Aufgenommen am 28.09.2026</w:t>
      </w:r>
    </w:p>
    <w:p>
      <w:pPr>
        <w:pStyle w:val="Heading2"/>
      </w:pPr>
      <w:r>
        <w:t>Thermische Exposition und wahrgenommene Wärmebewertung bei Landwirten</w:t>
      </w:r>
    </w:p>
    <w:p>
      <w:r>
        <w:rPr>
          <w:i/>
          <w:color w:val="666666"/>
          <w:sz w:val="18"/>
        </w:rPr>
        <w:t>Jain R et al.  ·  Int Arch Occup Environ Health  ·  27.09.2026  ·  PMID 42801368</w:t>
      </w:r>
    </w:p>
    <w:p>
      <w:r>
        <w:t>Feldbasierte Studie zur Messung von Wärmebewertung und Behaglichkeit unter Hitzeexposition bei 154 Landarbeitern in Treibhäusern in tropischem Klima.</w:t>
      </w:r>
    </w:p>
    <w:p>
      <w:r>
        <w:rPr>
          <w:b/>
        </w:rPr>
        <w:t xml:space="preserve">Ergebnis: </w:t>
      </w:r>
      <w:r>
        <w:t>48,4% der Arbeiter berichteten Temperaturempfindungen außerhalb des normalen Komfortbereichs. Die Standardvorhersage (PMV) korrelierte schwach mit selbstberichteter Empfindung (r=0,246). Metabolische Arbeitsbelastung war der stärkste Vorhersagefaktor für wahrgenommene Wärmebewertung.</w:t>
      </w:r>
    </w:p>
    <w:p>
      <w:r>
        <w:rPr>
          <w:b/>
          <w:sz w:val="19"/>
        </w:rPr>
        <w:t xml:space="preserve">Übertragbarkeit: </w:t>
      </w:r>
      <w:r>
        <w:rPr>
          <w:sz w:val="19"/>
        </w:rPr>
        <w:t>Methodik übertragbar; Temperaturenanpassungen an lokale Bedingungen anpassen.</w:t>
      </w:r>
    </w:p>
    <w:p>
      <w:r>
        <w:rPr>
          <w:color w:val="5A7D3A"/>
          <w:sz w:val="18"/>
        </w:rPr>
        <w:t>https://pubmed.ncbi.nlm.nih.gov/42801368/</w:t>
      </w:r>
    </w:p>
    <w:p>
      <w:pPr>
        <w:pStyle w:val="Heading2"/>
      </w:pPr>
      <w:r>
        <w:t>PM2,5 und PM10 Trends und Gesundheitsrisiken in Bangladesch 2018–2025</w:t>
      </w:r>
    </w:p>
    <w:p>
      <w:r>
        <w:rPr>
          <w:i/>
          <w:color w:val="666666"/>
          <w:sz w:val="18"/>
        </w:rPr>
        <w:t>Shahadat RB et al.  ·  Environ Geochem Health  ·  27.09.2026  ·  PMID 42801340</w:t>
      </w:r>
    </w:p>
    <w:p>
      <w:r>
        <w:t>Längszeitanalyse von Feinstaubkonzentrationen an 16 Überwachungsstationen in Bangladesch mit Gesundheitsrisikobewertung.</w:t>
      </w:r>
    </w:p>
    <w:p>
      <w:r>
        <w:rPr>
          <w:b/>
        </w:rPr>
        <w:t xml:space="preserve">Ergebnis: </w:t>
      </w:r>
      <w:r>
        <w:t>PM2,5 sank von 91,54 µg/m³ (2018) auf 77,64 µg/m³ (2025, –15,2%), PM10 von 155,7 auf 132,3 µg/m³ (–15,0%). Mittlere Excess Lifetime Cancer Risk betrug 0,476–0,950 für PM2,5; Hazard Quotient 3,60 (PM2,5) und 2,73 (PM10). Winter-Konzentrationen 4,2× höher als Monsun.</w:t>
      </w:r>
    </w:p>
    <w:p>
      <w:r>
        <w:rPr>
          <w:b/>
          <w:sz w:val="19"/>
        </w:rPr>
        <w:t xml:space="preserve">Übertragbarkeit: </w:t>
      </w:r>
      <w:r>
        <w:rPr>
          <w:sz w:val="19"/>
        </w:rPr>
        <w:t>Geringere Übertragbarkeit (Tropen); Methodik und jahreszeitliche Ansätze anwendbar.</w:t>
      </w:r>
    </w:p>
    <w:p>
      <w:r>
        <w:rPr>
          <w:color w:val="5A7D3A"/>
          <w:sz w:val="18"/>
        </w:rPr>
        <w:t>https://pubmed.ncbi.nlm.nih.gov/42801340/</w:t>
      </w:r>
    </w:p>
    <w:p>
      <w:pPr>
        <w:pStyle w:val="Heading2"/>
      </w:pPr>
      <w:r>
        <w:t>Klimawandel, Umweltbelastung und Brustkrebs: Planetary-Health-Perspektive</w:t>
      </w:r>
    </w:p>
    <w:p>
      <w:r>
        <w:rPr>
          <w:i/>
          <w:color w:val="666666"/>
          <w:sz w:val="18"/>
        </w:rPr>
        <w:t>Obeagu EI  ·  Front Public Health  ·  11.09.2026  ·  PMID 42799105</w:t>
      </w:r>
    </w:p>
    <w:p>
      <w:r>
        <w:t>Narrative Übersicht zur Vermittlung zwischen Klimawandel, Umweltexpositionen und Brustkrebsrisiko sowie Auswirkungen auf Screening und Versorgungskontinuität.</w:t>
      </w:r>
    </w:p>
    <w:p>
      <w:r>
        <w:rPr>
          <w:b/>
        </w:rPr>
        <w:t xml:space="preserve">Ergebnis: </w:t>
      </w:r>
      <w:r>
        <w:t>Klimawandel-bedingte Umweltveränderungen (Luftverschmutzung, Waldbrände, endokrine Disruptoren, Pestizide, Wasser­kontamination) beeinflussen Brustkrebsentstehung durch oxidativen Stress, chronische Entzündung und endokrine Perturbation. Klimakrise unterbricht Screening, Diagnose und Behandlung, besonders in sozioökonomisch benachteiligten Populationen.</w:t>
      </w:r>
    </w:p>
    <w:p>
      <w:r>
        <w:rPr>
          <w:b/>
          <w:sz w:val="19"/>
        </w:rPr>
        <w:t xml:space="preserve">Übertragbarkeit: </w:t>
      </w:r>
      <w:r>
        <w:rPr>
          <w:sz w:val="19"/>
        </w:rPr>
        <w:t>Konzeptionelle Rahmensetzung; Mechanismen lokal unterschiedlich; Versorgungsunterbrechung durch Extremwetter direkt übertragbar.</w:t>
      </w:r>
    </w:p>
    <w:p>
      <w:r>
        <w:rPr>
          <w:color w:val="5A7D3A"/>
          <w:sz w:val="18"/>
        </w:rPr>
        <w:t>https://pubmed.ncbi.nlm.nih.gov/42799105/</w:t>
      </w:r>
    </w:p>
    <w:p>
      <w:pPr>
        <w:pStyle w:val="Heading2"/>
      </w:pPr>
      <w:r>
        <w:t>Passivrauchen und Übergewicht bei Schulkindern in China</w:t>
      </w:r>
    </w:p>
    <w:p>
      <w:r>
        <w:rPr>
          <w:i/>
          <w:color w:val="666666"/>
          <w:sz w:val="18"/>
        </w:rPr>
        <w:t>Ma C et al.  ·  Pediatr Obes  ·  Sept. 2026  ·  PMID 42778511</w:t>
      </w:r>
    </w:p>
    <w:p>
      <w:r>
        <w:t>Querschnittanalyse von 122.509 chinesischen Schulkindern zur Assoziation zwischen Passivrauchumgebung und Übergewicht/Adipositas.</w:t>
      </w:r>
    </w:p>
    <w:p>
      <w:r>
        <w:rPr>
          <w:b/>
        </w:rPr>
        <w:t xml:space="preserve">Ergebnis: </w:t>
      </w:r>
      <w:r>
        <w:t>Exposition gegenüber Passivrauchen war mit erhöhtem Übergewichtsrisiko (OR=1,10, KI=1,06–1,13) und Adipositasrisiko (OR=1,19, KI=1,15–1,23) assoziiert. An Schulen war das Adipositasrisiko noch höher (OR=1,27, KI=1,20–1,35).</w:t>
      </w:r>
    </w:p>
    <w:p>
      <w:r>
        <w:rPr>
          <w:b/>
          <w:sz w:val="19"/>
        </w:rPr>
        <w:t xml:space="preserve">Übertragbarkeit: </w:t>
      </w:r>
      <w:r>
        <w:rPr>
          <w:sz w:val="19"/>
        </w:rPr>
        <w:t>Ähnliche soziale und schulische Strukturen wie Deutschland, aber Rauchabstinenzgesetze schwächer.</w:t>
      </w:r>
    </w:p>
    <w:p>
      <w:r>
        <w:rPr>
          <w:color w:val="5A7D3A"/>
          <w:sz w:val="18"/>
        </w:rPr>
        <w:t>https://pubmed.ncbi.nlm.nih.gov/42778511/</w:t>
      </w:r>
    </w:p>
    <w:p>
      <w:pPr>
        <w:pStyle w:val="Heading2"/>
      </w:pPr>
      <w:r>
        <w:t>Passivrauchen in Saudi-Arabien: Prävalenz und Risikofaktoren</w:t>
      </w:r>
    </w:p>
    <w:p>
      <w:r>
        <w:rPr>
          <w:i/>
          <w:color w:val="666666"/>
          <w:sz w:val="18"/>
        </w:rPr>
        <w:t>Alqahtani JS et al.  ·  BMJ Open  ·  22.09.2026  ·  PMID 42772873</w:t>
      </w:r>
    </w:p>
    <w:p>
      <w:r>
        <w:t>Querschnitterhebung mit 10.082 Erwachsenen aus Saudi-Arabien zur Prävalenz von Passivrauchumgebung, Risikogruppen und Bewusstsein für Gesundheitsfolgen.</w:t>
      </w:r>
    </w:p>
    <w:p>
      <w:r>
        <w:rPr>
          <w:b/>
        </w:rPr>
        <w:t xml:space="preserve">Ergebnis: </w:t>
      </w:r>
      <w:r>
        <w:t>Passivrauchen-Prävalenz: 50% (KI 48,9–50,9%), zu Hause 57,1%, in Cafés 16,2%. Höheres Expositionsrisiko bei Männern (OR=1,56), E-Zigarettenkonsumenten (OR=1,95) und Erwerbslosen (OR=2,30). 86,5% befürworteten stärkere Rauchverbote. 74% der Exponierten waren unzufrieden mit ihrer Exposition.</w:t>
      </w:r>
    </w:p>
    <w:p>
      <w:r>
        <w:rPr>
          <w:b/>
          <w:sz w:val="19"/>
        </w:rPr>
        <w:t xml:space="preserve">Übertragbarkeit: </w:t>
      </w:r>
      <w:r>
        <w:rPr>
          <w:sz w:val="19"/>
        </w:rPr>
        <w:t>Strukturelle Unterschiede zu Deutschland, Klimazone nicht relevant; Burden-Methodik übertragbar.</w:t>
      </w:r>
    </w:p>
    <w:p>
      <w:r>
        <w:rPr>
          <w:color w:val="5A7D3A"/>
          <w:sz w:val="18"/>
        </w:rPr>
        <w:t>https://pubmed.ncbi.nlm.nih.gov/42772873/</w:t>
      </w:r>
    </w:p>
    <w:p>
      <w:pPr>
        <w:pStyle w:val="Heading2"/>
      </w:pPr>
      <w:r>
        <w:t>Luftverschmutzung, Neurodegeneration und metabolische Dysregulation im UK Biobank</w:t>
      </w:r>
    </w:p>
    <w:p>
      <w:r>
        <w:rPr>
          <w:i/>
          <w:color w:val="666666"/>
          <w:sz w:val="18"/>
        </w:rPr>
        <w:t>Beydoun MA et al.  ·  Ecotoxicol Environ Saf  ·  15.09.2026  ·  PMID 42632170</w:t>
      </w:r>
    </w:p>
    <w:p>
      <w:r>
        <w:t>Kohortenanalyse von 19.645 Personen ≥50 Jahren zur Interaktion zwischen Luftverschmutzung, Plasma-Biomarkern der Neurodegeneration und Übergängen zu Demenz, Parkinson-Syndrom und Mortalität.</w:t>
      </w:r>
    </w:p>
    <w:p>
      <w:r>
        <w:rPr>
          <w:b/>
        </w:rPr>
        <w:t xml:space="preserve">Ergebnis: </w:t>
      </w:r>
      <w:r>
        <w:t>Höhere Neurofilament-Light-Konzentration assoziiert mit erhöhtem Parkinson-, Demenz- und Mortalitätsrisiko. PM2,5 zeigte nominelle positive Wechselwirkung mit Neurofilament für Mortalität. Metabolische Lipid- und Aminosäurenpfade modulierten Beziehungen zwischen Biomarkern und Erkrankungsrisiko.</w:t>
      </w:r>
    </w:p>
    <w:p>
      <w:r>
        <w:rPr>
          <w:b/>
          <w:sz w:val="19"/>
        </w:rPr>
        <w:t xml:space="preserve">Übertragbarkeit: </w:t>
      </w:r>
      <w:r>
        <w:rPr>
          <w:sz w:val="19"/>
        </w:rPr>
        <w:t>UK-Biobank, gemäßigte Klimazone, vergleichbare Gesundheitsstruktur; hochrelevant für Deutschland.</w:t>
      </w:r>
    </w:p>
    <w:p>
      <w:r>
        <w:rPr>
          <w:color w:val="5A7D3A"/>
          <w:sz w:val="18"/>
        </w:rPr>
        <w:t>https://pubmed.ncbi.nlm.nih.gov/42632170/</w:t>
      </w:r>
    </w:p>
    <w:p>
      <w:pPr>
        <w:pStyle w:val="Heading1"/>
      </w:pPr>
      <w:r>
        <w:t>Aufgenommen am 27.09.2026</w:t>
      </w:r>
    </w:p>
    <w:p>
      <w:pPr>
        <w:pStyle w:val="Heading2"/>
      </w:pPr>
      <w:r>
        <w:t>Grünflächen und Hitzesterblichkeit: Systematische Übersicht und Metaanalyse</w:t>
      </w:r>
    </w:p>
    <w:p>
      <w:r>
        <w:rPr>
          <w:i/>
          <w:color w:val="666666"/>
          <w:sz w:val="18"/>
        </w:rPr>
        <w:t>Perez-Moreno A et al.  ·  Ann Glob Health  ·  25.09.2026  ·  PMID 42799142</w:t>
      </w:r>
    </w:p>
    <w:p>
      <w:r>
        <w:t>Eine systematische Übersicht mit Metaanalyse untersuchte die schützende Wirkung von Grünflächen auf die Sterblichkeit während Hitzewellen in elf Studien aus China, Frankreich, Deutschland, Jordanien, der Schweiz, USA und global.</w:t>
      </w:r>
    </w:p>
    <w:p>
      <w:r>
        <w:rPr>
          <w:b/>
        </w:rPr>
        <w:t xml:space="preserve">Ergebnis: </w:t>
      </w:r>
      <w:r>
        <w:t>Hitzewellen erhöhten die Mortalität sowohl in Gebieten mit niedriger (RR = 1,33; 95%-KI: 1,15–1,55) als auch hoher Grünflächendichte (RR = 1,18; 95%-KI: 1,03–1,36). Der Hitzesterblichkeitsanstieg war in Gebieten mit weniger Grün um 11 % stärker als in Gebieten mit höherer Grünflächendichte (RoR = 1,11; 95%-KI: 1,06–1,15).</w:t>
      </w:r>
    </w:p>
    <w:p>
      <w:r>
        <w:rPr>
          <w:b/>
          <w:sz w:val="19"/>
        </w:rPr>
        <w:t xml:space="preserve">Übertragbarkeit: </w:t>
      </w:r>
      <w:r>
        <w:rPr>
          <w:sz w:val="19"/>
        </w:rPr>
        <w:t>Mitteleuropa und gemäßigte Klimazonen; Methodik auf Deutschland übertragbar</w:t>
      </w:r>
    </w:p>
    <w:p>
      <w:r>
        <w:rPr>
          <w:color w:val="5A7D3A"/>
          <w:sz w:val="18"/>
        </w:rPr>
        <w:t>https://pubmed.ncbi.nlm.nih.gov/42799142/</w:t>
      </w:r>
    </w:p>
    <w:p>
      <w:pPr>
        <w:pStyle w:val="Heading2"/>
      </w:pPr>
      <w:r>
        <w:t>Wildtiere, Klimawandel und virale Spillover-Ereignisse in Australien</w:t>
      </w:r>
    </w:p>
    <w:p>
      <w:r>
        <w:rPr>
          <w:i/>
          <w:color w:val="666666"/>
          <w:sz w:val="18"/>
        </w:rPr>
        <w:t>Ali MW et al.  ·  Viruses  ·  11.09.2026  ·  PMID 42797833</w:t>
      </w:r>
    </w:p>
    <w:p>
      <w:r>
        <w:t>Eine Übersicht analysierte, wie Klimawandel und Wildtier-Reservoire zur Entstehung von 13 wichtigen zoonotischen Viren in Australien beitragen und deren Transmissionsdynamiken beeinflussen.</w:t>
      </w:r>
    </w:p>
    <w:p>
      <w:r>
        <w:rPr>
          <w:b/>
        </w:rPr>
        <w:t xml:space="preserve">Ergebnis: </w:t>
      </w:r>
      <w:r>
        <w:t>Temperatur und Niederschlag waren Hauptklimafaktoren für Ross River, Barmah Forest, Murray Valley Encephalitis, Japanese Encephalitis, West Nile/Kunjin und Vogelgrippe-Virus. Temperatur zeigte nichtlineare Beziehung zu Vektorübertragung; überdurchschnittliche Niederschläge erhöhten Ausbruchsrisiko durch Mückenhabitate und Wirtsaktivität. Wissenslücken: Wildtier-Virologie, Klima-Krankheits-Pfade, integrierte One-Health-Surveillance.</w:t>
      </w:r>
    </w:p>
    <w:p>
      <w:r>
        <w:rPr>
          <w:b/>
          <w:sz w:val="19"/>
        </w:rPr>
        <w:t xml:space="preserve">Übertragbarkeit: </w:t>
      </w:r>
      <w:r>
        <w:rPr>
          <w:sz w:val="19"/>
        </w:rPr>
        <w:t>Australien subtropisch/temperat; Klimafaktoren und Vektorbiology übertragbar auf gemäßigte Zonen</w:t>
      </w:r>
    </w:p>
    <w:p>
      <w:r>
        <w:rPr>
          <w:color w:val="5A7D3A"/>
          <w:sz w:val="18"/>
        </w:rPr>
        <w:t>https://pubmed.ncbi.nlm.nih.gov/42797833/</w:t>
      </w:r>
    </w:p>
    <w:p>
      <w:pPr>
        <w:pStyle w:val="Heading2"/>
      </w:pPr>
      <w:r>
        <w:t>Umweltschadstoffe und Demenzrisiko: Evidenzübersicht</w:t>
      </w:r>
    </w:p>
    <w:p>
      <w:r>
        <w:rPr>
          <w:i/>
          <w:color w:val="666666"/>
          <w:sz w:val="18"/>
        </w:rPr>
        <w:t>Huang Y et al.  ·  Int J Mol Sci  ·  15.09.2026  ·  PMID 42794653</w:t>
      </w:r>
    </w:p>
    <w:p>
      <w:r>
        <w:t>Eine systematische Übersicht (2020–2026) untersuchte Assoziationen zwischen Luftverschmutzung, chemischen Schadstoffen und Demenz sowie zugrundeliegende Mechanismen.</w:t>
      </w:r>
    </w:p>
    <w:p>
      <w:r>
        <w:rPr>
          <w:b/>
        </w:rPr>
        <w:t xml:space="preserve">Ergebnis: </w:t>
      </w:r>
      <w:r>
        <w:t>Langzeitexposition gegenüber PM2.5, NO₂ und Rußpartikeln war mit erhöhtem Demenzrisiko assoziiert, PM10 und Ozon zeigten unklare Befunde. Phthalate, Bisphenole, Schwermetalle (Blei, Cadmium) und PFOS waren mit kognitiver Verschlechterung verbunden. Mechanismen: oxidativer Stress, Neuroinflammation, Alzheimer-Pathologie und Gefäßschäden.</w:t>
      </w:r>
    </w:p>
    <w:p>
      <w:r>
        <w:rPr>
          <w:b/>
          <w:sz w:val="19"/>
        </w:rPr>
        <w:t xml:space="preserve">Übertragbarkeit: </w:t>
      </w:r>
      <w:r>
        <w:rPr>
          <w:sz w:val="19"/>
        </w:rPr>
        <w:t>Übersichtsarbeit auf Basis epidemiologischer Studien; Mechanismen klimazonenunabhängig</w:t>
      </w:r>
    </w:p>
    <w:p>
      <w:r>
        <w:rPr>
          <w:color w:val="5A7D3A"/>
          <w:sz w:val="18"/>
        </w:rPr>
        <w:t>https://pubmed.ncbi.nlm.nih.gov/42794653/</w:t>
      </w:r>
    </w:p>
    <w:p>
      <w:pPr>
        <w:pStyle w:val="Heading2"/>
      </w:pPr>
      <w:r>
        <w:t>Passivrauchen und chronische Nierenerkrankung: Querschnitt- und Kohortenstudie</w:t>
      </w:r>
    </w:p>
    <w:p>
      <w:r>
        <w:rPr>
          <w:i/>
          <w:color w:val="666666"/>
          <w:sz w:val="18"/>
        </w:rPr>
        <w:t>Huang R et al.  ·  Medicine (Baltimore)  ·  18.09.2026  ·  PMID 42760653</w:t>
      </w:r>
    </w:p>
    <w:p>
      <w:r>
        <w:t>Eine Querschnitt- und prospektive Kohortenstudie analysierte 13.276 Nichtraucher der NHANES (1999–2020) auf Assoziationen zwischen Passivrauche-Exposition und CKD-Prävalenz sowie Sterblichkeit bei CKD-Patienten.</w:t>
      </w:r>
    </w:p>
    <w:p>
      <w:r>
        <w:rPr>
          <w:b/>
        </w:rPr>
        <w:t xml:space="preserve">Ergebnis: </w:t>
      </w:r>
      <w:r>
        <w:t>Moderate Passivrauche-Exposition war mit erhöhter CKD-Prävalenz assoziiert (OR = 1,37; 95%-KI: 1,07–1,76; p = 0,01). Bei 1.630 CKD-Patienten waren moderate und starke Exposition mit höherer Gesamtmortalität assoziiert (HR = 2,03 [95%-KI: 1,23–3,36] und HR = 1,80 [95%-KI: 1,11–2,93]). Jede Verdoppelung der Serum-Cotinin-Konzentration erhöhte Mortalitätsrisiko um 4 % (HR = 1,04; 95%-KI: 1,01–1,08; p = 0,02).</w:t>
      </w:r>
    </w:p>
    <w:p>
      <w:r>
        <w:rPr>
          <w:b/>
          <w:sz w:val="19"/>
        </w:rPr>
        <w:t xml:space="preserve">Übertragbarkeit: </w:t>
      </w:r>
      <w:r>
        <w:rPr>
          <w:sz w:val="19"/>
        </w:rPr>
        <w:t>USA, NHANES-Kohorte; Assoziationsmuster auf gemäßigte Zonen übertragbar</w:t>
      </w:r>
    </w:p>
    <w:p>
      <w:r>
        <w:rPr>
          <w:color w:val="5A7D3A"/>
          <w:sz w:val="18"/>
        </w:rPr>
        <w:t>https://pubmed.ncbi.nlm.nih.gov/42760653/</w:t>
      </w:r>
    </w:p>
    <w:p>
      <w:pPr>
        <w:pStyle w:val="Heading2"/>
      </w:pPr>
      <w:r>
        <w:t>Luftverschmutzung, CCL22 und atopische Dermatitis: Integrative Transkriptomik</w:t>
      </w:r>
    </w:p>
    <w:p>
      <w:r>
        <w:rPr>
          <w:i/>
          <w:color w:val="666666"/>
          <w:sz w:val="18"/>
        </w:rPr>
        <w:t>Gao C et al.  ·  Front Public Health  ·  03.09.2026  ·  PMID 42756293</w:t>
      </w:r>
    </w:p>
    <w:p>
      <w:r>
        <w:t>Eine integrierte Toxikogenomik-Analyse identifizierte gemeinsame Signale zwischen Luftschadstoff-Targets und atopischer Dermatitis, mit Fokus auf Immunreaktionen.</w:t>
      </w:r>
    </w:p>
    <w:p>
      <w:r>
        <w:rPr>
          <w:b/>
        </w:rPr>
        <w:t xml:space="preserve">Ergebnis: </w:t>
      </w:r>
      <w:r>
        <w:t>Ein Machine-Learning-Modell (AUC 0,963) identifizierte ein Luftschadstoff-AD-Profil mit zehn Genen, angeführt von CCL22, das in dendritischen Zellen und Makrophagen hochreguliert ist. In-silico-Perturbation von CCL22 war mit extrazellulärer Matrix- und Stromaumbau assoziiert; DNFB-induzierte AD im Mausmodell bestätigte erhöhte CCL22-Expression in läsionaler Haut.</w:t>
      </w:r>
    </w:p>
    <w:p>
      <w:r>
        <w:rPr>
          <w:b/>
          <w:sz w:val="19"/>
        </w:rPr>
        <w:t xml:space="preserve">Übertragbarkeit: </w:t>
      </w:r>
      <w:r>
        <w:rPr>
          <w:sz w:val="19"/>
        </w:rPr>
        <w:t>Molekulare Mechanismen, experimentelle Validierung; Luftverschmutzung-Exposition klimazonenunabhängig relevant</w:t>
      </w:r>
    </w:p>
    <w:p>
      <w:r>
        <w:rPr>
          <w:color w:val="5A7D3A"/>
          <w:sz w:val="18"/>
        </w:rPr>
        <w:t>https://pubmed.ncbi.nlm.nih.gov/42756293/</w:t>
      </w:r>
    </w:p>
    <w:p>
      <w:pPr>
        <w:pStyle w:val="Heading2"/>
      </w:pPr>
      <w:r>
        <w:t>Luftschadstoff-assoziierte Proteinprofile und Vorhofflimmern-Risiko</w:t>
      </w:r>
    </w:p>
    <w:p>
      <w:r>
        <w:rPr>
          <w:i/>
          <w:color w:val="666666"/>
          <w:sz w:val="18"/>
        </w:rPr>
        <w:t>Chen Y et al.  ·  Ecotoxicol Environ Saf  ·  15.09.2026  ·  PMID 42607596</w:t>
      </w:r>
    </w:p>
    <w:p>
      <w:r>
        <w:t>Eine proteomweite Analyse im UK Biobank (n = 19.645) untersuchte Assoziationen zwischen Langzeitexposition gegenüber sieben Luftschadstoffen und Proteinbiomarkern für Vorhofflimmern-Inzidenz.</w:t>
      </w:r>
    </w:p>
    <w:p>
      <w:r>
        <w:rPr>
          <w:b/>
        </w:rPr>
        <w:t xml:space="preserve">Ergebnis: </w:t>
      </w:r>
      <w:r>
        <w:t>Personalisierte Proteinprofile für PM2.5, PM10, NO₂, NOx, SO₂, Benzol und O₃ waren mit erhöhtem Vorhofflimmern-Risiko assoziiert. Personen mit hohem Proteinrisiko-Score verloren geschätzt 1,15–1,25 Jahre Vorhofflimmern-freies Leben im Vergleich zu niedrigem Risiko. Spezifische Proteine (ANGPT2, GDF15, PLAUR) wurden als Mediatoren identifiziert.</w:t>
      </w:r>
    </w:p>
    <w:p>
      <w:r>
        <w:rPr>
          <w:b/>
          <w:sz w:val="19"/>
        </w:rPr>
        <w:t xml:space="preserve">Übertragbarkeit: </w:t>
      </w:r>
      <w:r>
        <w:rPr>
          <w:sz w:val="19"/>
        </w:rPr>
        <w:t>UK Biobank, gemäßigte Klimazone, vergleichbar mit Mitteleuropa</w:t>
      </w:r>
    </w:p>
    <w:p>
      <w:r>
        <w:rPr>
          <w:color w:val="5A7D3A"/>
          <w:sz w:val="18"/>
        </w:rPr>
        <w:t>https://pubmed.ncbi.nlm.nih.gov/42607596/</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2026-09-28T06:00:00Z</dcterms:created>
  <dcterms:modified xsi:type="dcterms:W3CDTF">2026-09-28T06:00:00Z</dcterms:modified>
  <cp:category/>
</cp:coreProperties>
</file>