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21.09.2026  |  6 Studien  |  klima.m-vf.de</w:t>
      </w:r>
    </w:p>
    <w:p>
      <w:pPr>
        <w:pStyle w:val="Heading1"/>
      </w:pPr>
      <w:r>
        <w:t>Aufgenommen am 21.09.2026</w:t>
      </w:r>
    </w:p>
    <w:p>
      <w:pPr>
        <w:pStyle w:val="Heading2"/>
      </w:pPr>
      <w:r>
        <w:t>PM2,5 und Sterblichkeit: Transnationaler Luftverschmutzungseffekt in Südkorea</w:t>
      </w:r>
    </w:p>
    <w:p>
      <w:r>
        <w:rPr>
          <w:i/>
          <w:color w:val="666666"/>
          <w:sz w:val="18"/>
        </w:rPr>
        <w:t>Kwon O et al.  ·  BMC Public Health  ·  08.09.2026  ·  PMID 42763387</w:t>
      </w:r>
    </w:p>
    <w:p>
      <w:r>
        <w:t>Instrumentalvariablen-Analyse der PM2,5-Effekte auf Mortalität und Morbidität in Südkorea (2015–2022), unter Nutzung chinesischer Windrichtungen als Instrument.</w:t>
      </w:r>
    </w:p>
    <w:p>
      <w:r>
        <w:rPr>
          <w:b/>
        </w:rPr>
        <w:t xml:space="preserve">Ergebnis: </w:t>
      </w:r>
      <w:r>
        <w:t>1 µg/m³ PM2,5-Anstieg assoziiert mit 0,17 % Anstieg der Mortalität (65+ Jahre) und 5,1 % Anstieg respiratorischer Hospitalisierungen. Die 5,58 µg/m³-Reduktion von 2015–2022 entspricht USD 14,14 Milliarden ersparte Lebensjahre. 1 µg/m³ PM2,5 erhöhte Klinikbesuche um 1,2 % (obere Atemwegsinfektionen) und 2,6 % (untere).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 – vergleichbare Klimazone, gute Datenverfügbarkeit</w:t>
      </w:r>
    </w:p>
    <w:p>
      <w:r>
        <w:rPr>
          <w:color w:val="5A7D3A"/>
          <w:sz w:val="18"/>
        </w:rPr>
        <w:t>https://pubmed.ncbi.nlm.nih.gov/42763387/</w:t>
      </w:r>
    </w:p>
    <w:p>
      <w:pPr>
        <w:pStyle w:val="Heading2"/>
      </w:pPr>
      <w:r>
        <w:t>Wahrnehmung Klimawandel-Unsicherheit, Angst und Mutter-Fötale Bindung</w:t>
      </w:r>
    </w:p>
    <w:p>
      <w:r>
        <w:rPr>
          <w:i/>
          <w:color w:val="666666"/>
          <w:sz w:val="18"/>
        </w:rPr>
        <w:t>Zhao C et al.  ·  Front Public Health  ·  04.09.2026  ·  PMID 42761048</w:t>
      </w:r>
    </w:p>
    <w:p>
      <w:r>
        <w:t>Querschnittstudie mit 537 schwangeren Frauen in China zur Assoziation zwischen Wahrnehmung wissenschaftlicher Unsicherheit zum Klimawandel (PSUCC), pränataler Angst und mütterlich-fötaler Bindung.</w:t>
      </w:r>
    </w:p>
    <w:p>
      <w:r>
        <w:rPr>
          <w:b/>
        </w:rPr>
        <w:t xml:space="preserve">Ergebnis: </w:t>
      </w:r>
      <w:r>
        <w:t>PSUCC korrelierte positiv mit pränataler Angst (r=0,679, p&lt;0,001) und negativ mit mütterlich-fötaler Bindung (r=-0,672, p&lt;0,001). Strukturgleichungsmodellierung zeigte, dass PSUCC direkt mit erhöhter pränataler Angst assoziiert war; pränatale Angst vermittelte teilweise den Zusammenhang zur mütterlich-fötalen Bindung.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psychische Gesundheitsfolgen, Prinzip auf Deutschland übertragbar</w:t>
      </w:r>
    </w:p>
    <w:p>
      <w:r>
        <w:rPr>
          <w:color w:val="5A7D3A"/>
          <w:sz w:val="18"/>
        </w:rPr>
        <w:t>https://pubmed.ncbi.nlm.nih.gov/42761048/</w:t>
      </w:r>
    </w:p>
    <w:p>
      <w:pPr>
        <w:pStyle w:val="Heading2"/>
      </w:pPr>
      <w:r>
        <w:t>Routine-Produktenutzen in Londoner Haushalten erhöhen Innenraum-PM2,5</w:t>
      </w:r>
    </w:p>
    <w:p>
      <w:r>
        <w:rPr>
          <w:i/>
          <w:color w:val="666666"/>
          <w:sz w:val="18"/>
        </w:rPr>
        <w:t>Gao F et al.  ·  Environ Int  ·  19.08.2026  ·  PMID 42691638</w:t>
      </w:r>
    </w:p>
    <w:p>
      <w:r>
        <w:t>Eine Studie mit 112 Londoner Haushalten untersuchte, wie die Nutzung von Duftstoffen (Kerzen, Diffuser, Räucherstäbchen) die Innenraum-PM2,5-Exposition erhöht.</w:t>
      </w:r>
    </w:p>
    <w:p>
      <w:r>
        <w:rPr>
          <w:b/>
        </w:rPr>
        <w:t xml:space="preserve">Ergebnis: </w:t>
      </w:r>
      <w:r>
        <w:t>Räucherstäbchen führten zu Spitzenwerten von 1.293 µg/m³, Ölzerstäuber zu 858 µg/m³ und Kerzen zu 622 µg/m³. In Haushalten mit Duftstoffen überschritten Räucherstäbchen und Diffuser jeweils ~50 % der Schlafzimmer-PM2,5-Exposition, Kerzen 14 %. Die WHO-24h-Richtlinie (15 µg/m³) wurde mit medianer Rate von 40 % überschritten.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detaillierte Wohnungsmessungen in gemäßigter Klimazone</w:t>
      </w:r>
    </w:p>
    <w:p>
      <w:r>
        <w:rPr>
          <w:color w:val="5A7D3A"/>
          <w:sz w:val="18"/>
        </w:rPr>
        <w:t>https://pubmed.ncbi.nlm.nih.gov/42691638/</w:t>
      </w:r>
    </w:p>
    <w:p>
      <w:pPr>
        <w:pStyle w:val="Heading2"/>
      </w:pPr>
      <w:r>
        <w:t>Zecken und Zecken-Übertragene Krankheiten in Südostasien</w:t>
      </w:r>
    </w:p>
    <w:p>
      <w:r>
        <w:rPr>
          <w:i/>
          <w:color w:val="666666"/>
          <w:sz w:val="18"/>
        </w:rPr>
        <w:t>Teo EJ et al.  ·  Acta Trop  ·  31.08.2026  ·  PMID 42674136</w:t>
      </w:r>
    </w:p>
    <w:p>
      <w:r>
        <w:t>Eine Expertenumfrage (n=25) zur Identifikation der wichtigsten Zeckenarten und Zecken-übertragenen Krankheiten (TBDs) in Südostasien sowie ihrer Einflussfaktoren.</w:t>
      </w:r>
    </w:p>
    <w:p>
      <w:r>
        <w:rPr>
          <w:b/>
        </w:rPr>
        <w:t xml:space="preserve">Ergebnis: </w:t>
      </w:r>
      <w:r>
        <w:t>Sieben Zeckenarten wurden als kritisch benannt. Landnutzungsänderung wird als Faktor mit dem größten Einfluss erwartet, gefolgt von Klimawandel, invasiven Arten und Antibiotikaresistenzen. Die drei größten Forschungshürden: Mangel an Finanzierung, Bewusstsein und taxonomischer Expertise.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Südostasien – nur Methodik (One Health-Ansatz) für Deutschland relevant</w:t>
      </w:r>
    </w:p>
    <w:p>
      <w:r>
        <w:rPr>
          <w:color w:val="5A7D3A"/>
          <w:sz w:val="18"/>
        </w:rPr>
        <w:t>https://pubmed.ncbi.nlm.nih.gov/42674136/</w:t>
      </w:r>
    </w:p>
    <w:p>
      <w:pPr>
        <w:pStyle w:val="Heading2"/>
      </w:pPr>
      <w:r>
        <w:t>Sozioökonomische Ungleichheiten und städtische Exposom-Profile in Bulgarien</w:t>
      </w:r>
    </w:p>
    <w:p>
      <w:r>
        <w:rPr>
          <w:i/>
          <w:color w:val="666666"/>
          <w:sz w:val="18"/>
        </w:rPr>
        <w:t>Helbich M et al.  ·  Environ Int  ·  19.07.2026  ·  PMID 42556153</w:t>
      </w:r>
    </w:p>
    <w:p>
      <w:r>
        <w:t>Untersuchung der Assoziation zwischen sozioökonomischem Status (SES) und High-Risk-Exposom-Profilen in fünf großen bulgarischen Städten bei 4.640 Erwachsenen.</w:t>
      </w:r>
    </w:p>
    <w:p>
      <w:r>
        <w:rPr>
          <w:b/>
        </w:rPr>
        <w:t xml:space="preserve">Ergebnis: </w:t>
      </w:r>
      <w:r>
        <w:t>Latente Profilanalysen identifizierten zwei bis drei Exposom-Profile pro Stadt. High-Risk-Profile kombinierten niedriges Grünflächenangebot, hohe Luftverschmutzung, Lärm und Lichtverschmutzung. Assoziationen zwischen SES und High-Risk-Profilen variierten deutlich zwischen Städten; höherer lokaler SES war in den meisten Städten mit High-Risk-Profilen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Bulgarien (Europa), gemäßigte Klimazone mit ähnlicher Urbanisierung</w:t>
      </w:r>
    </w:p>
    <w:p>
      <w:r>
        <w:rPr>
          <w:color w:val="5A7D3A"/>
          <w:sz w:val="18"/>
        </w:rPr>
        <w:t>https://pubmed.ncbi.nlm.nih.gov/42556153/</w:t>
      </w:r>
    </w:p>
    <w:p>
      <w:pPr>
        <w:pStyle w:val="Heading2"/>
      </w:pPr>
      <w:r>
        <w:t>Kohlenstoff-Fußabdruck der Kataraktchirurgie in französischem Universitätskrankenhaus</w:t>
      </w:r>
    </w:p>
    <w:p>
      <w:r>
        <w:rPr>
          <w:i/>
          <w:color w:val="666666"/>
          <w:sz w:val="18"/>
        </w:rPr>
        <w:t>Assafiri Y et al.  ·  J Fr Ophtalmol  ·  10.07.2026  ·  PMID 42431172</w:t>
      </w:r>
    </w:p>
    <w:p>
      <w:r>
        <w:t>Prospektive medizino-ökologische Analyse des Kohlenstoff-Fußabdrucks einer Kataraktoperation (Einzelzentrum, Reims) mit Lebenszyklusanalyse.</w:t>
      </w:r>
    </w:p>
    <w:p>
      <w:r>
        <w:rPr>
          <w:b/>
        </w:rPr>
        <w:t xml:space="preserve">Ergebnis: </w:t>
      </w:r>
      <w:r>
        <w:t>Gesamter CO₂-Fußabdruck: 97,28 kg CO₂eq pro Operation (Min 85, Max 127,54; SD 12,36). Einweginstrumente verursachten 63 % der Emissionen, Pharmaprodukte 17,9 %, Transport von Patienten/Personal 13,71 %, OP-Energie 2,7 %, Sterilisation 1,76 %, Abfall 0,88 %. Äquivalent zu 450-km-Autofahrt.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französisches Gesundheitswesen, direkt übertragbar</w:t>
      </w:r>
    </w:p>
    <w:p>
      <w:r>
        <w:rPr>
          <w:color w:val="5A7D3A"/>
          <w:sz w:val="18"/>
        </w:rPr>
        <w:t>https://pubmed.ncbi.nlm.nih.gov/42431172/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2026-09-21T06:00:00Z</dcterms:created>
  <dcterms:modified xsi:type="dcterms:W3CDTF">2026-09-21T06:00:00Z</dcterms:modified>
  <cp:category/>
</cp:coreProperties>
</file>