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19.09.2026  |  6 Studien  |  klima.m-vf.de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Klimawandel und psychische Gesundheit bei vertriebenen Bevölkerungen an der Thailand-Myanmar-Grenze</w:t>
      </w:r>
    </w:p>
    <w:p>
      <w:r>
        <w:rPr>
          <w:i/>
          <w:color w:val="666666"/>
          <w:sz w:val="18"/>
        </w:rPr>
        <w:t>Fellmeth G et al.  ·  Front Public Health  ·  03.09.2026  ·  PMID 42756140</w:t>
      </w:r>
    </w:p>
    <w:p>
      <w:r>
        <w:t>Qualitative Studie mit acht Fokusgruppen (58 Teilnehmer) zu Wahrnehmungen von Klimawandel und psychischen Auswirkungen bei migrierten Gemeinschaften in Thailand.</w:t>
      </w:r>
    </w:p>
    <w:p>
      <w:r>
        <w:rPr>
          <w:b/>
        </w:rPr>
        <w:t xml:space="preserve">Ergebnis: </w:t>
      </w:r>
      <w:r>
        <w:t>Klimawandel wurde spontan nicht als Hauptstressor erwähnt; nach direkter Abfrage berichteten Teilnehmer über verstärkte Hitzeexposition, Überschwemmungen und Umweltdegradation, die Existenzgrundlagen störten; Klimawandel wirkt indirekt als Multiplikator bestehender struktureller Vulnerabilitäten.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Konfliktgebiet mit prekärem Status; Kernaussage zur Vulnerabilität für Migrantengruppen relevant</w:t>
      </w:r>
    </w:p>
    <w:p>
      <w:r>
        <w:rPr>
          <w:color w:val="5A7D3A"/>
          <w:sz w:val="18"/>
        </w:rPr>
        <w:t>https://pubmed.ncbi.nlm.nih.gov/42756140/</w:t>
      </w:r>
    </w:p>
    <w:p>
      <w:pPr>
        <w:pStyle w:val="Heading2"/>
      </w:pPr>
      <w:r>
        <w:t>Globale Klimafolgen für Mortalität und Morbidität: Systematischer Review</w:t>
      </w:r>
    </w:p>
    <w:p>
      <w:r>
        <w:rPr>
          <w:i/>
          <w:color w:val="666666"/>
          <w:sz w:val="18"/>
        </w:rPr>
        <w:t>Rahamtalla BM et al.  ·  Pan Afr Med J  ·  21.05.2026  ·  PMID 42755475</w:t>
      </w:r>
    </w:p>
    <w:p>
      <w:r>
        <w:t>Systematischer Review mit Meta-Analyse von 65 Studien (2000-2025) zu klimasensitiven Gesundheitsfolgen weltweit.</w:t>
      </w:r>
    </w:p>
    <w:p>
      <w:r>
        <w:rPr>
          <w:b/>
        </w:rPr>
        <w:t xml:space="preserve">Ergebnis: </w:t>
      </w:r>
      <w:r>
        <w:t>Nicht-optimale Temperaturen: 5,08 Millionen jährliche Todesfälle (2000-2019); Wärmesterblichkeit +3,3% pro 1°C über lokalem Optimum; Waldbrände: ~339.000 premature Todesfälle jährlich; Arbeitsproduktivitätsverluste durch Hitze: 5,3% der globalen Arbeitsstunden (~671 Mrd. USD 2020); Frühwarnsysteme könnten Mortalität um bis zu 42% senken.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 mit Lücken für gemäßigte Zonen; nur Methodik für Deutschland nutzbar</w:t>
      </w:r>
    </w:p>
    <w:p>
      <w:r>
        <w:rPr>
          <w:color w:val="5A7D3A"/>
          <w:sz w:val="18"/>
        </w:rPr>
        <w:t>https://pubmed.ncbi.nlm.nih.gov/42755475/</w:t>
      </w:r>
    </w:p>
    <w:p>
      <w:pPr>
        <w:pStyle w:val="Heading2"/>
      </w:pPr>
      <w:r>
        <w:t>Innenraumluftüberwachung für Feinstaubexposition bei älteren Erwachsenen</w:t>
      </w:r>
    </w:p>
    <w:p>
      <w:r>
        <w:rPr>
          <w:i/>
          <w:color w:val="666666"/>
          <w:sz w:val="18"/>
        </w:rPr>
        <w:t>Kim SY et al.  ·  Environ Health  ·  17.09.2026  ·  PMID 42754883</w:t>
      </w:r>
    </w:p>
    <w:p>
      <w:r>
        <w:t>Langzeit-Innenraumluftmessung bei 130 älteren Erwachsenen mit Lungenfibrose in Seoul (2021-2023) zur Erfassung der PM₂,₅-Exposition.</w:t>
      </w:r>
    </w:p>
    <w:p>
      <w:r>
        <w:rPr>
          <w:b/>
        </w:rPr>
        <w:t xml:space="preserve">Ergebnis: </w:t>
      </w:r>
      <w:r>
        <w:t>Durchschnittliche Innenraum-PM₂,₅: 14,90 µg/m³ (SD 36,12); Winterkonzentrationen höher (20,17) als Sommer (11,19); Infiltrationsfaktoren 51-70%; Haushalte mit Kochen, Luftbefeuchtern, Haustieren oder Rauchern zeigten höhere Konzentrationen (15,14-24,09 vs. 10,96-13,35 µg/m³).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Messmethodik übertragbar; absolute Werte klimaabhängig</w:t>
      </w:r>
    </w:p>
    <w:p>
      <w:r>
        <w:rPr>
          <w:color w:val="5A7D3A"/>
          <w:sz w:val="18"/>
        </w:rPr>
        <w:t>https://pubmed.ncbi.nlm.nih.gov/42754883/</w:t>
      </w:r>
    </w:p>
    <w:p>
      <w:pPr>
        <w:pStyle w:val="Heading2"/>
      </w:pPr>
      <w:r>
        <w:t>Waldbrandrauch und kardiologische Hospitalisierungen in den USA</w:t>
      </w:r>
    </w:p>
    <w:p>
      <w:r>
        <w:rPr>
          <w:i/>
          <w:color w:val="666666"/>
          <w:sz w:val="18"/>
        </w:rPr>
        <w:t>Zhang M et al.  ·  Nat Commun  ·  17.09.2026  ·  PMID 42754610</w:t>
      </w:r>
    </w:p>
    <w:p>
      <w:r>
        <w:t>Studie untersuchte die Auswirkungen von Waldbrand-spezifischem PM₂,₅ im Vergleich zu anderen Feinstaubquellen auf kardiopulmonale Hospitalisierungen in 20 US-Bundesstaaten (2006-2019).</w:t>
      </w:r>
    </w:p>
    <w:p>
      <w:r>
        <w:rPr>
          <w:b/>
        </w:rPr>
        <w:t xml:space="preserve">Ergebnis: </w:t>
      </w:r>
      <w:r>
        <w:t>Waldbrand-PM₂,₅ assoziiert mit höheren Hospitalisierungsrisiken als non-Waldbrand-PM₂,₅: 10-16% pro 1 µg/m³ versus 4,7-8,5%; stärkere Effekte in Minderheiten und deprivierten Gemeinden; nur die Methodik ist klimazonenunabhängig übertragbar.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Waldbrandrauch-Toxizität methodologisch relevant; absolute Risiken nicht direkt übertragbar</w:t>
      </w:r>
    </w:p>
    <w:p>
      <w:r>
        <w:rPr>
          <w:color w:val="5A7D3A"/>
          <w:sz w:val="18"/>
        </w:rPr>
        <w:t>https://pubmed.ncbi.nlm.nih.gov/42754610/</w:t>
      </w:r>
    </w:p>
    <w:p>
      <w:pPr>
        <w:pStyle w:val="Heading2"/>
      </w:pPr>
      <w:r>
        <w:t>PFAS-Exposition in portugiesischen Grundschulen: Inhalationsrisiken für Kinder</w:t>
      </w:r>
    </w:p>
    <w:p>
      <w:r>
        <w:rPr>
          <w:i/>
          <w:color w:val="666666"/>
          <w:sz w:val="18"/>
        </w:rPr>
        <w:t>Hatem G et al.  ·  Environ Res  ·  01.10.2026  ·  PMID 42628674</w:t>
      </w:r>
    </w:p>
    <w:p>
      <w:r>
        <w:t>Die Studie untersuchte die Konzentration von Per- und Polyfluoralkylsubstanzen (PFAS) in der Innenraumluft von acht portugiesischen Grundschulen und schätzte die Inhalationsexposition von Kindern und Personal.</w:t>
      </w:r>
    </w:p>
    <w:p>
      <w:r>
        <w:rPr>
          <w:b/>
        </w:rPr>
        <w:t xml:space="preserve">Ergebnis: </w:t>
      </w:r>
      <w:r>
        <w:t>PFAA-Vorläufer dominierten mit 66,5% der Gesamtkonzentration in der Innenraumluft; Kinder hatten eine höhere körpergewichtsnormalisierte Inhalationsexposition als Erwachsene; Schulen stellen wichtige Mikroumgebungen für PFAS-Exposition dar.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strukturelle Übertragbarkeit auf deutschsprachige Schulen eingeschränkt</w:t>
      </w:r>
    </w:p>
    <w:p>
      <w:r>
        <w:rPr>
          <w:color w:val="5A7D3A"/>
          <w:sz w:val="18"/>
        </w:rPr>
        <w:t>https://pubmed.ncbi.nlm.nih.gov/42628674/</w:t>
      </w:r>
    </w:p>
    <w:p>
      <w:pPr>
        <w:pStyle w:val="Heading2"/>
      </w:pPr>
      <w:r>
        <w:t>Straßengeometrie, Luftqualität und psychisches Wohlbefinden älterer Fußgänger in Italien</w:t>
      </w:r>
    </w:p>
    <w:p>
      <w:r>
        <w:rPr>
          <w:i/>
          <w:color w:val="666666"/>
          <w:sz w:val="18"/>
        </w:rPr>
        <w:t>Mahia L et al.  ·  J Environ Manage  ·  01.09.2026  ·  PMID 42617560</w:t>
      </w:r>
    </w:p>
    <w:p>
      <w:r>
        <w:t>Die Studie untersuchte, wie Straßengeometrie, Luftqualität und Begrünung in Echtzeit physiologische und psychologische Reaktionen älterer Fußgänger in Perugia beeinflussen.</w:t>
      </w:r>
    </w:p>
    <w:p>
      <w:r>
        <w:rPr>
          <w:b/>
        </w:rPr>
        <w:t xml:space="preserve">Ergebnis: </w:t>
      </w:r>
      <w:r>
        <w:t>Höhere Gebäude-Breiten-Verhältnisse und erhöhte NO₂/PM₁₀-Konzentrationen beeinträchtigten die Luftqualitätswahrnehmung (p = 0,028); beide Schadstoffe assoziiert mit physiologischen Stressreaktionen; höherer Grünflächenanteil zeigte günstige entspannte Reaktionen.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Methodik auf deutsches Stadtdesign übertragbar</w:t>
      </w:r>
    </w:p>
    <w:p>
      <w:r>
        <w:rPr>
          <w:color w:val="5A7D3A"/>
          <w:sz w:val="18"/>
        </w:rPr>
        <w:t>https://pubmed.ncbi.nlm.nih.gov/42617560/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