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03.09.2026  |  6 Studien  |  klima.m-vf.de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Kälte und Hitze erhöhen Hospitalisierungsrisiko bei Herzinsuffizienz in Schweden</w:t>
      </w:r>
    </w:p>
    <w:p>
      <w:r>
        <w:rPr>
          <w:i/>
          <w:color w:val="666666"/>
          <w:sz w:val="18"/>
        </w:rPr>
        <w:t>Ni W et al.  ·  J Am Coll Cardiol  ·  01.09.2026  ·  PMID 42683967</w:t>
      </w:r>
    </w:p>
    <w:p>
      <w:r>
        <w:t>Schwedische Kohorte (2006–2021) untersuchte kurzzeitige Assoziationen zwischen Kältespitzen/Hitzewellen und Hospitalisierungen wegen Herzinsuffizienz mittels case-crossover Design.</w:t>
      </w:r>
    </w:p>
    <w:p>
      <w:r>
        <w:rPr>
          <w:b/>
        </w:rPr>
        <w:t xml:space="preserve">Ergebnis: </w:t>
      </w:r>
      <w:r>
        <w:t>Kältespitzen: OR 1,085 (95%-KI: 1,042–1,129) über Lag 2–6 Tage; höhere Temperaturen in Warmsaison: OR 1,009 (95%-KI: 1,006–1,013) pro 10-Perzentil-Anstieg über Lag 0–3 Tage. Verzögerte Kälteeffekte (Lag 3–5), unmittelbarere Wärmeeffekte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gemäßigte Klimazone, vergleichbare Gesundheitssysteme mit Deutschland</w:t>
      </w:r>
    </w:p>
    <w:p>
      <w:r>
        <w:rPr>
          <w:color w:val="5A7D3A"/>
          <w:sz w:val="18"/>
        </w:rPr>
        <w:t>https://pubmed.ncbi.nlm.nih.gov/42683967/</w:t>
      </w:r>
    </w:p>
    <w:p>
      <w:pPr>
        <w:pStyle w:val="Heading2"/>
      </w:pPr>
      <w:r>
        <w:t>Warnsysteme gegen Hitzebelastung für Außenarbeiter: aktuelle Fortschritte und Umsetzungslücken</w:t>
      </w:r>
    </w:p>
    <w:p>
      <w:r>
        <w:rPr>
          <w:i/>
          <w:color w:val="666666"/>
          <w:sz w:val="18"/>
        </w:rPr>
        <w:t>Wei J  ·  Front Public Health  ·  18.08.2026  ·  PMID 42683104</w:t>
      </w:r>
    </w:p>
    <w:p>
      <w:r>
        <w:t>Narrativer Mini-Review zu Heat-Health Warning Systems (HHWS) für Außenarbeiter mit Fokus auf Vorhersage, Aufgabenverschlüsselung, Warnerreichbarkeit und arbeitsplatzbasierte Maßnahmen.</w:t>
      </w:r>
    </w:p>
    <w:p>
      <w:r>
        <w:rPr>
          <w:b/>
        </w:rPr>
        <w:t xml:space="preserve">Ergebnis: </w:t>
      </w:r>
      <w:r>
        <w:t>Fortschritte: WBGT-Vorhersagen, UTCI-Anpassungen, IoT-gestützte Frühwarnung; moderate Evidenz für Maßnahmenpakete zur Reduktion physiologischer Belastung; niedrig-moderate Evidenz für Verletzungsreduktion; zentrale Kontroversen um standardisierte vs. adjustierte Schwellenwerte, Compliance und Datenschutz.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Globaler Überblick; Methoden, Lücken und Governance übertragbar auf deutsches Arbeitsschutzrecht</w:t>
      </w:r>
    </w:p>
    <w:p>
      <w:r>
        <w:rPr>
          <w:color w:val="5A7D3A"/>
          <w:sz w:val="18"/>
        </w:rPr>
        <w:t>https://pubmed.ncbi.nlm.nih.gov/42683104/</w:t>
      </w:r>
    </w:p>
    <w:p>
      <w:pPr>
        <w:pStyle w:val="Heading2"/>
      </w:pPr>
      <w:r>
        <w:t>Verfügbarkeit von Klima- und Gesundheitsbildung in europäischen Schools of Public Health</w:t>
      </w:r>
    </w:p>
    <w:p>
      <w:r>
        <w:rPr>
          <w:i/>
          <w:color w:val="666666"/>
          <w:sz w:val="18"/>
        </w:rPr>
        <w:t>Twomey EP et al.  ·  Int J Public Health  ·  26.06.2026  ·  PMID 42434171</w:t>
      </w:r>
    </w:p>
    <w:p>
      <w:r>
        <w:t>Querschnittsstudie: Erfassung von Klima- und Gesundheitsbildungsprogrammen an 268 Schools of Public Health in 53 Ländern der WHO-Europaregion 2024/2025.</w:t>
      </w:r>
    </w:p>
    <w:p>
      <w:r>
        <w:rPr>
          <w:b/>
        </w:rPr>
        <w:t xml:space="preserve">Ergebnis: </w:t>
      </w:r>
      <w:r>
        <w:t>41,4 % der Institutionen (111 von 268) boten mindestens ein verifiziertes Klima-und-Gesundheits-Programm/Kurs an; vergleichbar bei ASPHER-Mitgliedern (41 %) und Nicht-Mitgliedern (43 %); die meisten auf Master-Ebene; Bachelor-, Doktor-, berufliche Weiterbildung seltener.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Bestandsaufnahme, bildet Baseline für Deutschland und Nachbarländer</w:t>
      </w:r>
    </w:p>
    <w:p>
      <w:r>
        <w:rPr>
          <w:color w:val="5A7D3A"/>
          <w:sz w:val="18"/>
        </w:rPr>
        <w:t>https://pubmed.ncbi.nlm.nih.gov/42434171/</w:t>
      </w:r>
    </w:p>
    <w:p>
      <w:pPr>
        <w:pStyle w:val="Heading2"/>
      </w:pPr>
      <w:r>
        <w:t>Höhere Außentemperatur ändert Lebensmittelkonsum in französischer Kohorte</w:t>
      </w:r>
    </w:p>
    <w:p>
      <w:r>
        <w:rPr>
          <w:i/>
          <w:color w:val="666666"/>
          <w:sz w:val="18"/>
        </w:rPr>
        <w:t>Kesse-Guyot E et al.  ·  Am J Clin Nutr  ·  10.07.2026  ·  PMID 42431597</w:t>
      </w:r>
    </w:p>
    <w:p>
      <w:r>
        <w:t>Longitudinal-Studie mit 100.851 Teilnehmern aus NutriNet-Santé (2009–2023): Effekt von täglich gemessener Außentemperatur auf energieadjustierte Lebensmittelaufnahme.</w:t>
      </w:r>
    </w:p>
    <w:p>
      <w:r>
        <w:rPr>
          <w:b/>
        </w:rPr>
        <w:t xml:space="preserve">Ergebnis: </w:t>
      </w:r>
      <w:r>
        <w:t>Bei 25–35 °C: Alkoholkonsum männlich +11 % (150→166 g/d), weiblich +6 % (101→107 g/d); zuckergesüßte Getränke besonders in jungen Altersgruppen +29 %; Obst/Gemüse erhöht, Fleisch/Hülsenfrüchte erniedrigt. Keine bedeutsamen Änderungen der Gesamtenergieaufnahme oder Ernährungsqualität.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gemäßigte Klimazone, direktes Modell für deutsche Warming-Szenarien</w:t>
      </w:r>
    </w:p>
    <w:p>
      <w:r>
        <w:rPr>
          <w:color w:val="5A7D3A"/>
          <w:sz w:val="18"/>
        </w:rPr>
        <w:t>https://pubmed.ncbi.nlm.nih.gov/42431597/</w:t>
      </w:r>
    </w:p>
    <w:p>
      <w:pPr>
        <w:pStyle w:val="Heading2"/>
      </w:pPr>
      <w:r>
        <w:t>Risikokommunikation schlechter Luftqualität für vulnerable Gruppen</w:t>
      </w:r>
    </w:p>
    <w:p>
      <w:r>
        <w:rPr>
          <w:i/>
          <w:color w:val="666666"/>
          <w:sz w:val="18"/>
        </w:rPr>
        <w:t>Tolley CL et al.  ·  Front Public Health  ·  18.06.2026  ·  PMID 42395301</w:t>
      </w:r>
    </w:p>
    <w:p>
      <w:r>
        <w:t>Qualitative Studie mit 50 Personen aus vulnerablen Gruppen in Nordost-England zu optimalen Strategien der Kommunikation von Luftqualitätsrisiken.</w:t>
      </w:r>
    </w:p>
    <w:p>
      <w:r>
        <w:rPr>
          <w:b/>
        </w:rPr>
        <w:t xml:space="preserve">Ergebnis: </w:t>
      </w:r>
      <w:r>
        <w:t>Entwicklung eines theorie- und evidenzgestützten Rahmens: zugeschnittene Informationen zu Risiken/Schäden, actionable Empfehlungen, vertrauenswürdige Quellen (Gesundheitsfachleute, Peers), multiple Kanäle (SMS, Community-basiert). Befund: Information muss zugänglich, verständlich und zielgruppenspezifisch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gemäßigte Klimazone, vulnerable Populationen auch in Deutschland relevant</w:t>
      </w:r>
    </w:p>
    <w:p>
      <w:r>
        <w:rPr>
          <w:color w:val="5A7D3A"/>
          <w:sz w:val="18"/>
        </w:rPr>
        <w:t>https://pubmed.ncbi.nlm.nih.gov/42395301/</w:t>
      </w:r>
    </w:p>
    <w:p>
      <w:pPr>
        <w:pStyle w:val="Heading2"/>
      </w:pPr>
      <w:r>
        <w:t>Green Planet: Co-kreierte Intervention für Klimaschutz im Krankenhaus</w:t>
      </w:r>
    </w:p>
    <w:p>
      <w:r>
        <w:rPr>
          <w:i/>
          <w:color w:val="666666"/>
          <w:sz w:val="18"/>
        </w:rPr>
        <w:t>Stabel LS et al.  ·  BMC Health Serv Res  ·  02.07.2026  ·  PMID 42393663</w:t>
      </w:r>
    </w:p>
    <w:p>
      <w:r>
        <w:t>Entwicklung und frühe Evaluierung einer Methode (Green Planet) zur Integration von Klimaschutzmaßnahmen in die klinische Praxis eines schwedischen Krankenhauses mittels Design und Qualitätsverbesserung.</w:t>
      </w:r>
    </w:p>
    <w:p>
      <w:r>
        <w:rPr>
          <w:b/>
        </w:rPr>
        <w:t xml:space="preserve">Ergebnis: </w:t>
      </w:r>
      <w:r>
        <w:t>Qualitatives Design: 8 Interviews, 1 Fokusgruppe (11 Teilnehmer), 3 Observationen. Die Intervention erhöhte Bewusstsein und Wissen, förderte Reflexion und kollektive Verantwortung. Das COM-B-Modell zeigte Verbesserungen der Capability, Opportunity und Motivation für Klimahandeln; Herausforderungen: variable Engagement, Zeitdruck, Abhängigkeit von Testleiter.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europäisches Krankenhaus, Implementierungsperspektiven auf Deutschland übertragbar</w:t>
      </w:r>
    </w:p>
    <w:p>
      <w:r>
        <w:rPr>
          <w:color w:val="5A7D3A"/>
          <w:sz w:val="18"/>
        </w:rPr>
        <w:t>https://pubmed.ncbi.nlm.nih.gov/42393663/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