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20.09.2026  |  6 Studien  |  klima.m-vf.de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Hitze und Ozon: synergistische Sterblichkeit bei Kreislauferkrankungen</w:t>
      </w:r>
    </w:p>
    <w:p>
      <w:r>
        <w:rPr>
          <w:i/>
          <w:color w:val="666666"/>
          <w:sz w:val="18"/>
        </w:rPr>
        <w:t>Li JN et al.  ·  Zhonghua Liu Xing Bing Xue Za Zhi  ·  10.09.2026  ·  PMID 42763186</w:t>
      </w:r>
    </w:p>
    <w:p>
      <w:r>
        <w:t>Studie prüfte unabhängige und gemeinsame Effekte von Hitze und Ozonexposition auf Kreislauf-Mortalität in nordchinesischen Regionen.</w:t>
      </w:r>
    </w:p>
    <w:p>
      <w:r>
        <w:rPr>
          <w:b/>
        </w:rPr>
        <w:t xml:space="preserve">Ergebnis: </w:t>
      </w:r>
      <w:r>
        <w:t>Ozon +10 μg/m³: +0,16% Mortalitätsrisiko. Hitze P75→P99: +21,43% Mortalität. Synergieeffekt: Bei höchster Ozonbelastung (214 μg/m³) stieg Hitze-Effekt auf +27,17%.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höhere Temperaturschwellen und Ozonkonzentrationen als Deutschland, methodisches Muster übertragbar</w:t>
      </w:r>
    </w:p>
    <w:p>
      <w:r>
        <w:rPr>
          <w:color w:val="5A7D3A"/>
          <w:sz w:val="18"/>
        </w:rPr>
        <w:t>https://pubmed.ncbi.nlm.nih.gov/42763186/</w:t>
      </w:r>
    </w:p>
    <w:p>
      <w:pPr>
        <w:pStyle w:val="Heading2"/>
      </w:pPr>
      <w:r>
        <w:t>Hitzewellen und kognitiver Abbau: Gen-Umwelt-Interaktion bei älteren Menschen</w:t>
      </w:r>
    </w:p>
    <w:p>
      <w:r>
        <w:rPr>
          <w:i/>
          <w:color w:val="666666"/>
          <w:sz w:val="18"/>
        </w:rPr>
        <w:t>Wu J et al.  ·  Zhonghua Liu Xing Bing Xue Za Zhi  ·  10.09.2026  ·  PMID 42763184</w:t>
      </w:r>
    </w:p>
    <w:p>
      <w:r>
        <w:t>Analyse der Assoziation zwischen Hitzewellen-Exposition und kognitiven Beeinträchtigungen in älteren Chinesen mit ApoE-Genotyp-Stratifikation.</w:t>
      </w:r>
    </w:p>
    <w:p>
      <w:r>
        <w:rPr>
          <w:b/>
        </w:rPr>
        <w:t xml:space="preserve">Ergebnis: </w:t>
      </w:r>
      <w:r>
        <w:t>Jeder zusätzliche Hitzewelle-Tag pro Jahr erhöhte Demenz-Risiko um 11% (HR 1,11; 95%-KI 1,02–1,20). ApoE-ε4-Träger: HR 1,23. Keine signifikante Interaktion (p=0,296).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ähnliche Temperaturprofile wie Südeuropa, methodisch übertragbar auf deutsche Altenpopulation</w:t>
      </w:r>
    </w:p>
    <w:p>
      <w:r>
        <w:rPr>
          <w:color w:val="5A7D3A"/>
          <w:sz w:val="18"/>
        </w:rPr>
        <w:t>https://pubmed.ncbi.nlm.nih.gov/42763184/</w:t>
      </w:r>
    </w:p>
    <w:p>
      <w:pPr>
        <w:pStyle w:val="Heading2"/>
      </w:pPr>
      <w:r>
        <w:t>Klimawandel und Kindergesundheit in Kanada: systematische Übersicht</w:t>
      </w:r>
    </w:p>
    <w:p>
      <w:r>
        <w:rPr>
          <w:i/>
          <w:color w:val="666666"/>
          <w:sz w:val="18"/>
        </w:rPr>
        <w:t>Helldén D et al.  ·  BMJ Paediatr Open  ·  19.09.2026  ·  PMID 42763105</w:t>
      </w:r>
    </w:p>
    <w:p>
      <w:r>
        <w:t>Systematische Review zur Dokumentation von Klimafolgen auf Kindergesundheit in Kanada mit Frameworks für lokal relevante Gefahren.</w:t>
      </w:r>
    </w:p>
    <w:p>
      <w:r>
        <w:rPr>
          <w:b/>
        </w:rPr>
        <w:t xml:space="preserve">Ergebnis: </w:t>
      </w:r>
      <w:r>
        <w:t>54 Primärstudien zeigen Hitze, veränderte Niederschläge, Waldbrände und vektorübertragene Krankheiten als Hauptfolgen. Bestehende Gesundheitsungleichheiten werden verstärkt.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- gemäßigte Klimazone, hochentwickeltes Gesundheitssystem, übertragbares Rahmenwerk auf Deutschland</w:t>
      </w:r>
    </w:p>
    <w:p>
      <w:r>
        <w:rPr>
          <w:color w:val="5A7D3A"/>
          <w:sz w:val="18"/>
        </w:rPr>
        <w:t>https://pubmed.ncbi.nlm.nih.gov/42763105/</w:t>
      </w:r>
    </w:p>
    <w:p>
      <w:pPr>
        <w:pStyle w:val="Heading2"/>
      </w:pPr>
      <w:r>
        <w:t>Klimawandel, Atemwegserkrankungen und Krankenhausresilience</w:t>
      </w:r>
    </w:p>
    <w:p>
      <w:r>
        <w:rPr>
          <w:i/>
          <w:color w:val="666666"/>
          <w:sz w:val="18"/>
        </w:rPr>
        <w:t>Huang PH et al.  ·  Front Public Health  ·  04.09.2026  ·  PMID 42761844</w:t>
      </w:r>
    </w:p>
    <w:p>
      <w:r>
        <w:t>Narrative Review zu Auswirkungen von Klimawandel auf Transmission atemwegs- und tröpfchengebundener Krankheiten in Kliniken.</w:t>
      </w:r>
    </w:p>
    <w:p>
      <w:r>
        <w:rPr>
          <w:b/>
        </w:rPr>
        <w:t xml:space="preserve">Ergebnis: </w:t>
      </w:r>
      <w:r>
        <w:t>Flutexposition erhöht Atemwegs-Hospitalisierungen um 30%, infektiöse Erkrankungen um 26%, Effekte 60–90 Tage persistierend. Hitze +1°C über Schwelle: +1,47% COPD-Risiko.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 - methodisches Konzept klimaintegrierter Infektionsprävention für deutsche Kliniken anwendbar</w:t>
      </w:r>
    </w:p>
    <w:p>
      <w:r>
        <w:rPr>
          <w:color w:val="5A7D3A"/>
          <w:sz w:val="18"/>
        </w:rPr>
        <w:t>https://pubmed.ncbi.nlm.nih.gov/42761844/</w:t>
      </w:r>
    </w:p>
    <w:p>
      <w:pPr>
        <w:pStyle w:val="Heading2"/>
      </w:pPr>
      <w:r>
        <w:t>Deploybare Klinikinfrastruktur für Klimakatastrophen</w:t>
      </w:r>
    </w:p>
    <w:p>
      <w:r>
        <w:rPr>
          <w:i/>
          <w:color w:val="666666"/>
          <w:sz w:val="18"/>
        </w:rPr>
        <w:t>Bitterman N et al.  ·  Front Public Health  ·  04.09.2026  ·  PMID 42761565</w:t>
      </w:r>
    </w:p>
    <w:p>
      <w:r>
        <w:t>Expertise-Analyse zu Anforderungen an mobile Krankenheitseinrichtungen in extremen Klimabedingungen mit Gestaltungsempfehlungen.</w:t>
      </w:r>
    </w:p>
    <w:p>
      <w:r>
        <w:rPr>
          <w:b/>
        </w:rPr>
        <w:t xml:space="preserve">Ergebnis: </w:t>
      </w:r>
      <w:r>
        <w:t>Kernfindung: Konventionelle Katastrophenmodelle reichen nicht aus; modular, nachhaltig und altersgerecht ausgestattete Einrichtungen mit Dauerpräsenz über die akute Phase hinaus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Expertise - architektonisch-medizinisch-technische Lösungen übertragen auf deutsche Katastrophenplanung</w:t>
      </w:r>
    </w:p>
    <w:p>
      <w:r>
        <w:rPr>
          <w:color w:val="5A7D3A"/>
          <w:sz w:val="18"/>
        </w:rPr>
        <w:t>https://pubmed.ncbi.nlm.nih.gov/42761565/</w:t>
      </w:r>
    </w:p>
    <w:p>
      <w:pPr>
        <w:pStyle w:val="Heading2"/>
      </w:pPr>
      <w:r>
        <w:t>PM2.5- und NO2-Reduktion senkt Herz-Kreislauf-Erkrankungen um 15%</w:t>
      </w:r>
    </w:p>
    <w:p>
      <w:r>
        <w:rPr>
          <w:i/>
          <w:color w:val="666666"/>
          <w:sz w:val="18"/>
        </w:rPr>
        <w:t>Kakhaia S et al.  ·  Environ Int  ·  03.08.2026  ·  PMID 42585725</w:t>
      </w:r>
    </w:p>
    <w:p>
      <w:r>
        <w:t>Studie quantifizierte kausale Effekte von Luftschadstoff-Reduktion auf kardiovaskuläre Morbidität in UK Biobank über 10 Jahre.</w:t>
      </w:r>
    </w:p>
    <w:p>
      <w:r>
        <w:rPr>
          <w:b/>
        </w:rPr>
        <w:t xml:space="preserve">Ergebnis: </w:t>
      </w:r>
      <w:r>
        <w:t>25% Reduktion von PM2.5 und NO2 führte zu 10% niedrigerer CVD-Inzidenz (RR 0,90). Projizierte net-zero-Politiken würden Inzidenz um 15% senken (RR 0,85).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gemäßigte Klimazone, europäisches Gesundheitssystem</w:t>
      </w:r>
    </w:p>
    <w:p>
      <w:r>
        <w:rPr>
          <w:color w:val="5A7D3A"/>
          <w:sz w:val="18"/>
        </w:rPr>
        <w:t>https://pubmed.ncbi.nlm.nih.gov/42585725/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