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Hitze, Klima und Gesundheit</w:t>
      </w:r>
    </w:p>
    <w:p>
      <w:r>
        <w:rPr>
          <w:i/>
          <w:color w:val="666666"/>
          <w:sz w:val="18"/>
        </w:rPr>
        <w:t>Stand: 15.10.2026  |  6 Studien  |  klima.m-vf.de</w:t>
      </w:r>
    </w:p>
    <w:p>
      <w:pPr>
        <w:pStyle w:val="Heading1"/>
      </w:pPr>
      <w:r>
        <w:t>Aufgenommen am 15.10.2026</w:t>
      </w:r>
    </w:p>
    <w:p>
      <w:pPr>
        <w:pStyle w:val="Heading2"/>
      </w:pPr>
      <w:r>
        <w:t>Laktat als Marker für Gerinnungskomplikationen bei Hitzschlag</w:t>
      </w:r>
    </w:p>
    <w:p>
      <w:r>
        <w:rPr>
          <w:i/>
          <w:color w:val="666666"/>
          <w:sz w:val="18"/>
        </w:rPr>
        <w:t>Liu F et al.  ·  Zhonghua Wei Zhong Bing Ji Jiu Yi Xue  ·  Sept. 2026  ·  PMID 42875244</w:t>
      </w:r>
    </w:p>
    <w:p>
      <w:r>
        <w:t>Multicenter-Kohortenstudie mit 305 Hitzschlag-Patienten untersuchte die Beziehung zwischen Serumlaktat und disseminierter intravaskulärer Gerinnung (DIC).</w:t>
      </w:r>
    </w:p>
    <w:p>
      <w:r>
        <w:rPr>
          <w:b/>
        </w:rPr>
        <w:t xml:space="preserve">Ergebnis: </w:t>
      </w:r>
      <w:r>
        <w:t>Erhöhte Laktatspiegel waren unabhängig mit erhöhtem DIC-Risiko assoziiert (OR 1,815; 95%-KI 1,494–2,203; p &lt; 0,001). Das Laktat-basierte Vorhersagemodell zeigte exzellente Diskriminationsfähigkeit (AUC 0,901; 95%-KI 0,860–0,941) mit Sensitivität 85,6 % und Spezifität 81,6 %. Laktat vermittelte 16,29 % der Beziehung zwischen Körpertemperatur und DIC.</w:t>
      </w:r>
    </w:p>
    <w:p>
      <w:r>
        <w:rPr>
          <w:b/>
          <w:sz w:val="19"/>
        </w:rPr>
        <w:t xml:space="preserve">Übertragbarkeit: </w:t>
      </w:r>
      <w:r>
        <w:rPr>
          <w:sz w:val="19"/>
        </w:rPr>
        <w:t>China; klinisch-intensivmedizinische Perspektive auf Hitzeschlag-Pathophysiologie übertragbar</w:t>
      </w:r>
    </w:p>
    <w:p>
      <w:r>
        <w:rPr>
          <w:color w:val="5A7D3A"/>
          <w:sz w:val="18"/>
        </w:rPr>
        <w:t>https://pubmed.ncbi.nlm.nih.gov/42875244/</w:t>
      </w:r>
    </w:p>
    <w:p>
      <w:pPr>
        <w:pStyle w:val="Heading2"/>
      </w:pPr>
      <w:r>
        <w:t>Von Fledermäusen übertragene Zoonosen: Klimawandel und Spillover-Risiken</w:t>
      </w:r>
    </w:p>
    <w:p>
      <w:r>
        <w:rPr>
          <w:i/>
          <w:color w:val="666666"/>
          <w:sz w:val="18"/>
        </w:rPr>
        <w:t>Stanhope J et al.  ·  BMJ  ·  14.10.2026  ·  PMID 42875048</w:t>
      </w:r>
    </w:p>
    <w:p>
      <w:r>
        <w:t>Narrative Review der evidenzgestützten Übertragungswege, klinischen Auswirkungen und Präventionsstrategien für Fledermaus-assoziierte Pathogene (Ebola, Marburg, Nipah, Hendra, Tollwut, australisches Lyssavirus, Histoplasma).</w:t>
      </w:r>
    </w:p>
    <w:p>
      <w:r>
        <w:rPr>
          <w:b/>
        </w:rPr>
        <w:t xml:space="preserve">Ergebnis: </w:t>
      </w:r>
      <w:r>
        <w:t>Klimawandel und Biodiversitätsverlust treiben das Spillover-Risiko von sieben bedeutenden human-pathogenen Erregern. Überlebende berichten anhaltende neurologische und neuropsychiatrische Langzeitfolgen. Präventionsstrategien umfassen ökologische Stewardship, Reduktion der Exposition von Mensch und Haustieren, Isolation Infizierter und Vakzination; für Histoplasma und Ebolavirus sind nun spezifische Therapeutika verfügbar.</w:t>
      </w:r>
    </w:p>
    <w:p>
      <w:r>
        <w:rPr>
          <w:b/>
          <w:sz w:val="19"/>
        </w:rPr>
        <w:t xml:space="preserve">Übertragbarkeit: </w:t>
      </w:r>
      <w:r>
        <w:rPr>
          <w:sz w:val="19"/>
        </w:rPr>
        <w:t>Review; Prinzipien der Zoonose-Prävention und Klimaadaptation klimazonenübergreifend relevant</w:t>
      </w:r>
    </w:p>
    <w:p>
      <w:r>
        <w:rPr>
          <w:color w:val="5A7D3A"/>
          <w:sz w:val="18"/>
        </w:rPr>
        <w:t>https://pubmed.ncbi.nlm.nih.gov/42875048/</w:t>
      </w:r>
    </w:p>
    <w:p>
      <w:pPr>
        <w:pStyle w:val="Heading2"/>
      </w:pPr>
      <w:r>
        <w:t>Globale Coexposition gegenüber Hitzewellen und Waldbrandrauch nimmt zu</w:t>
      </w:r>
    </w:p>
    <w:p>
      <w:r>
        <w:rPr>
          <w:i/>
          <w:color w:val="666666"/>
          <w:sz w:val="18"/>
        </w:rPr>
        <w:t>Wu Y et al.  ·  Sci Adv  ·  16.10.2026  ·  PMID 42873846</w:t>
      </w:r>
    </w:p>
    <w:p>
      <w:r>
        <w:t>Die Studie quantifiziert die weltweite Bevölkerung, die gleichzeitig Hitzewellen und Luftverschmutzung aus Waldbränden ausgesetzt ist, über den Zeitraum 2000–2019.</w:t>
      </w:r>
    </w:p>
    <w:p>
      <w:r>
        <w:rPr>
          <w:b/>
        </w:rPr>
        <w:t xml:space="preserve">Ergebnis: </w:t>
      </w:r>
      <w:r>
        <w:t>52,4 % der bevölkerten Gebiete und 55,9 % der Weltbevölkerung erlebten steigende Coexposition. Im Durchschnitt waren 916 Millionen Menschen pro Jahr mindestens einen Tag betroffen, mit Anstieg um 287 Millionen pro Jahrzehnt. Die durchschnittliche Expositionsdauer pro Person stieg von 1,0 Tagen (2000–2009) auf 1,7 Tage (2010–2019). Länder mit niedrigem Entwicklungsindex waren am stärksten betroffen.</w:t>
      </w:r>
    </w:p>
    <w:p>
      <w:r>
        <w:rPr>
          <w:b/>
          <w:sz w:val="19"/>
        </w:rPr>
        <w:t xml:space="preserve">Übertragbarkeit: </w:t>
      </w:r>
      <w:r>
        <w:rPr>
          <w:sz w:val="19"/>
        </w:rPr>
        <w:t>Methodik zur Quantifizierung kombinierter Extremwetter-Expositionen; globale Trends übertragbar auf Risikomodellierung</w:t>
      </w:r>
    </w:p>
    <w:p>
      <w:r>
        <w:rPr>
          <w:color w:val="5A7D3A"/>
          <w:sz w:val="18"/>
        </w:rPr>
        <w:t>https://pubmed.ncbi.nlm.nih.gov/42873846/</w:t>
      </w:r>
    </w:p>
    <w:p>
      <w:pPr>
        <w:pStyle w:val="Heading2"/>
      </w:pPr>
      <w:r>
        <w:t>Klimakrise und psychische Gesundheit: Unsicherheit als Treiber von Angststörungen</w:t>
      </w:r>
    </w:p>
    <w:p>
      <w:r>
        <w:rPr>
          <w:i/>
          <w:color w:val="666666"/>
          <w:sz w:val="18"/>
        </w:rPr>
        <w:t>Zysset A et al.  ·  Front Public Health  ·  29.09.2026  ·  PMID 42871219</w:t>
      </w:r>
    </w:p>
    <w:p>
      <w:r>
        <w:t>Längsschnitt-Studie an Schweizer Studierenden (N = 1.001) untersuchte die Assoziation zwischen Unsicherheit (persönlich und klimabezogen) und Angstsymptomen post-COVID.</w:t>
      </w:r>
    </w:p>
    <w:p>
      <w:r>
        <w:rPr>
          <w:b/>
        </w:rPr>
        <w:t xml:space="preserve">Ergebnis: </w:t>
      </w:r>
      <w:r>
        <w:t>Unsicherheit war positiv mit Angstsymptomen assoziiert (β = 0,50; 95%-KI 0,44–0,56). Selbstwirksamkeit (β = −0,22; 95%-KI −0,29, −0,15) und Resilienz (β = −0,08; 95%-KI −0,29, −0,03) waren negativ assoziiert. Das Modell erklärte 39 % der Angstsymptome. Angstniveaus zeigten post-COVID Plateau, nicht Rückgang.</w:t>
      </w:r>
    </w:p>
    <w:p>
      <w:r>
        <w:rPr>
          <w:b/>
          <w:sz w:val="19"/>
        </w:rPr>
        <w:t xml:space="preserve">Übertragbarkeit: </w:t>
      </w:r>
      <w:r>
        <w:rPr>
          <w:sz w:val="19"/>
        </w:rPr>
        <w:t>Schweiz; gemäßigte Klimazone; Unsicherheit als psychischer Klima-Krankheitsmechanismus</w:t>
      </w:r>
    </w:p>
    <w:p>
      <w:r>
        <w:rPr>
          <w:color w:val="5A7D3A"/>
          <w:sz w:val="18"/>
        </w:rPr>
        <w:t>https://pubmed.ncbi.nlm.nih.gov/42871219/</w:t>
      </w:r>
    </w:p>
    <w:p>
      <w:pPr>
        <w:pStyle w:val="Heading2"/>
      </w:pPr>
      <w:r>
        <w:t>Automatisierte Pollenüberwachung für Asthma-Vorhersage</w:t>
      </w:r>
    </w:p>
    <w:p>
      <w:r>
        <w:rPr>
          <w:i/>
          <w:color w:val="666666"/>
          <w:sz w:val="18"/>
        </w:rPr>
        <w:t>Lampugnani ER et al.  ·  Environ Monit Assess  ·  13.10.2026  ·  PMID 42870105</w:t>
      </w:r>
    </w:p>
    <w:p>
      <w:r>
        <w:t>Validierungsstudie der automatisierten Pollenmesskammer SwisensPoleno Mars gegen manuelle Burkard-Methode in Melbourne zur Vorhersage von Gewitter-assoziiertem Asthma.</w:t>
      </w:r>
    </w:p>
    <w:p>
      <w:r>
        <w:rPr>
          <w:b/>
        </w:rPr>
        <w:t xml:space="preserve">Ergebnis: </w:t>
      </w:r>
      <w:r>
        <w:t>Starke Korrelation für Gesamtpollen (R² = 0,92), Gräser (R² = 0,92) und Zypresse (R² = 0,86). Gräserpollen, zentral für Gewitter-Asthma-Prognosen, zeigten besonders hohe Übereinstimmung und konsistente Klassifizierung in operative Risikoschwellen. Das automatisierte System reproduzierte erwartete Tagesrhythmen.</w:t>
      </w:r>
    </w:p>
    <w:p>
      <w:r>
        <w:rPr>
          <w:b/>
          <w:sz w:val="19"/>
        </w:rPr>
        <w:t xml:space="preserve">Übertragbarkeit: </w:t>
      </w:r>
      <w:r>
        <w:rPr>
          <w:sz w:val="19"/>
        </w:rPr>
        <w:t>Australien; Methodik und Schwellwerte nicht auf gemäßigte Zone übertragbar, aber Technik relevant</w:t>
      </w:r>
    </w:p>
    <w:p>
      <w:r>
        <w:rPr>
          <w:color w:val="5A7D3A"/>
          <w:sz w:val="18"/>
        </w:rPr>
        <w:t>https://pubmed.ncbi.nlm.nih.gov/42870105/</w:t>
      </w:r>
    </w:p>
    <w:p>
      <w:pPr>
        <w:pStyle w:val="Heading2"/>
      </w:pPr>
      <w:r>
        <w:t>Luftgestützte Mikroplastik: Exposition, Quellen und Gesundheitsrisiken</w:t>
      </w:r>
    </w:p>
    <w:p>
      <w:r>
        <w:rPr>
          <w:i/>
          <w:color w:val="666666"/>
          <w:sz w:val="18"/>
        </w:rPr>
        <w:t>Cao L et al.  ·  Environ Monit Assess  ·  07.10.2026  ·  PMID 42844460</w:t>
      </w:r>
    </w:p>
    <w:p>
      <w:r>
        <w:t>Systematische Review von 161 Publikationen (2021–2025) zur physikalischen Charakterisierung, Verteilung, menschlichen Exposition und Toxikologie von atmosphärischen Mikroplastiken.</w:t>
      </w:r>
    </w:p>
    <w:p>
      <w:r>
        <w:rPr>
          <w:b/>
        </w:rPr>
        <w:t xml:space="preserve">Ergebnis: </w:t>
      </w:r>
      <w:r>
        <w:t>Inhalation und dermale Exposition als Hauptaufnahmepfade; Partikel &lt; 10 μm penetrieren Atemwegsbarrieren. Systematische Diskrepanz von Faktor 10–100 zwischen aktiver und passiver Probenahme. Indoorkonzentrationen stark abhängig von Lüftung und lokalisierten Punktquellen. Molekulare Wirkmechanismen: oxidativer Stress und Entzündungsantwort; Langzeitvergiftungsmechanismen noch unklar.</w:t>
      </w:r>
    </w:p>
    <w:p>
      <w:r>
        <w:rPr>
          <w:b/>
          <w:sz w:val="19"/>
        </w:rPr>
        <w:t xml:space="preserve">Übertragbarkeit: </w:t>
      </w:r>
      <w:r>
        <w:rPr>
          <w:sz w:val="19"/>
        </w:rPr>
        <w:t>Klimaunabhängige Umweltexposition; Methodik-Standardisierung global relevant</w:t>
      </w:r>
    </w:p>
    <w:p>
      <w:r>
        <w:rPr>
          <w:color w:val="5A7D3A"/>
          <w:sz w:val="18"/>
        </w:rPr>
        <w:t>https://pubmed.ncbi.nlm.nih.gov/42844460/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Hitze, Klima und Gesundheit</dc:title>
  <dc:subject/>
  <dc:creator>Monitor Versorgungsforschung</dc:creator>
  <cp:keywords/>
  <dc:description>generated by python-docx</dc:description>
  <cp:lastModifiedBy/>
  <cp:revision>1</cp:revision>
  <dcterms:created xsi:type="dcterms:W3CDTF">2026-10-15T06:00:00Z</dcterms:created>
  <dcterms:modified xsi:type="dcterms:W3CDTF">2026-10-15T06:00:00Z</dcterms:modified>
  <cp:category/>
</cp:coreProperties>
</file>