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Neueste Studien - Hitze, Klima und Gesundheit</w:t>
      </w:r>
    </w:p>
    <w:p>
      <w:r>
        <w:rPr>
          <w:i/>
          <w:color w:val="666666"/>
          <w:sz w:val="18"/>
        </w:rPr>
        <w:t>Stand: 22.10.2026  |  6 Studien  |  klima.m-vf.de</w:t>
      </w:r>
    </w:p>
    <w:p>
      <w:pPr>
        <w:pStyle w:val="Heading1"/>
      </w:pPr>
      <w:r>
        <w:t>Aufgenommen am 22.10.2026</w:t>
      </w:r>
    </w:p>
    <w:p>
      <w:pPr>
        <w:pStyle w:val="Heading2"/>
      </w:pPr>
      <w:r>
        <w:t>Extremtemperaturen und Barrierefunktion: Mechanismen der Krankheitsentstehung</w:t>
      </w:r>
    </w:p>
    <w:p>
      <w:r>
        <w:rPr>
          <w:i/>
          <w:color w:val="666666"/>
          <w:sz w:val="18"/>
        </w:rPr>
        <w:t>Ogulur I et al.  ·  Semin Immunopathol  ·  20.10.2026  ·  PMID 42902042</w:t>
      </w:r>
    </w:p>
    <w:p>
      <w:r>
        <w:t>Narrative Übersichtsarbeit über die Mechanismen, durch die Hitze und Kälte die Epithelbarriere schädigen und über veränderte Barrierefunktion zu nichtübertragbaren Erkrankungen führen.</w:t>
      </w:r>
    </w:p>
    <w:p>
      <w:r>
        <w:rPr>
          <w:b/>
        </w:rPr>
        <w:t xml:space="preserve">Ergebnis: </w:t>
      </w:r>
      <w:r>
        <w:t>Extreme Temperaturen beeinträchtigen die Tight-Junction-Regulation, verursachen oxidativen Stress, Apoptose und Entzündung sowie Mikrobiom-Dysbiose – Effekte, die durch Luftverschmutzung, UV-Strahlung und Waldbrände verstärkt werden. Epidemiologische Evidenz zeigt Assoziationen zwischen Hitzewellen und Krankheitsexazerbationen sowie zwischen Kälteexposition und Infektions- oder Allergiereaktionen.</w:t>
      </w:r>
    </w:p>
    <w:p>
      <w:r>
        <w:rPr>
          <w:b/>
          <w:sz w:val="19"/>
        </w:rPr>
        <w:t xml:space="preserve">Übertragbarkeit: </w:t>
      </w:r>
      <w:r>
        <w:rPr>
          <w:sz w:val="19"/>
        </w:rPr>
        <w:t>Systematische Pathophysiologie, Klimazone-unabhängig; Grundlage für Verständnis europäischer Hitzefolgen</w:t>
      </w:r>
    </w:p>
    <w:p>
      <w:r>
        <w:rPr>
          <w:color w:val="5A7D3A"/>
          <w:sz w:val="18"/>
        </w:rPr>
        <w:t>https://pubmed.ncbi.nlm.nih.gov/42902042/</w:t>
      </w:r>
    </w:p>
    <w:p>
      <w:pPr>
        <w:pStyle w:val="Heading2"/>
      </w:pPr>
      <w:r>
        <w:t>Neuausrichtung der Public Health angesichts von Klimawandel und Urbanisierung</w:t>
      </w:r>
    </w:p>
    <w:p>
      <w:r>
        <w:rPr>
          <w:i/>
          <w:color w:val="666666"/>
          <w:sz w:val="18"/>
        </w:rPr>
        <w:t>Galea S  ·  Lancet Public Health  ·  Nov. 2026  ·  PMID 42901192</w:t>
      </w:r>
    </w:p>
    <w:p>
      <w:r>
        <w:t>Essay des renommierten Public-Health-Experten über fünf Megatrends – Bevölkerungsalterung, Urbanisierung, Klimawandel, verändernde Institutionenvertrauen, transformative Technologien – und fünf daraus folgende strategische Aspirationen für die Gesundheitspolitik.</w:t>
      </w:r>
    </w:p>
    <w:p>
      <w:r>
        <w:rPr>
          <w:b/>
        </w:rPr>
        <w:t xml:space="preserve">Ergebnis: </w:t>
      </w:r>
      <w:r>
        <w:t>Zentrale Befunde: Klimawandel ist neben Bevölkerungsalterung und Urbanisierung einer der drei Haupttreiber für den Wandel der Krankheitslast (Zunahme nichtübertragbarer Erkrankungen, neurologische Erkrankungen, instabilere Infektionskrankheiten). Public Health muss sich auf Prävention nichtübertragbarer Krankheiten, Gesundheitsgerechtigkeit und Krisenresilienz konzentrieren.</w:t>
      </w:r>
    </w:p>
    <w:p>
      <w:r>
        <w:rPr>
          <w:b/>
          <w:sz w:val="19"/>
        </w:rPr>
        <w:t xml:space="preserve">Übertragbarkeit: </w:t>
      </w:r>
      <w:r>
        <w:rPr>
          <w:sz w:val="19"/>
        </w:rPr>
        <w:t>Globale Public-Health-Strategie; Rahmensetzung für deutsche Gesundheitspolitik</w:t>
      </w:r>
    </w:p>
    <w:p>
      <w:r>
        <w:rPr>
          <w:color w:val="5A7D3A"/>
          <w:sz w:val="18"/>
        </w:rPr>
        <w:t>https://pubmed.ncbi.nlm.nih.gov/42901192/</w:t>
      </w:r>
    </w:p>
    <w:p>
      <w:pPr>
        <w:pStyle w:val="Heading2"/>
      </w:pPr>
      <w:r>
        <w:t>Nachhaltigkeitsschulung in der Notfallmedizin: Effekte auf Wissen und Verhalten</w:t>
      </w:r>
    </w:p>
    <w:p>
      <w:r>
        <w:rPr>
          <w:i/>
          <w:color w:val="666666"/>
          <w:sz w:val="18"/>
        </w:rPr>
        <w:t>Ashkezari AD et al.  ·  West J Emerg Med  ·  10.08.2026  ·  PMID 42900914</w:t>
      </w:r>
    </w:p>
    <w:p>
      <w:r>
        <w:t>Prospektive Vor-Nachher-Studie zur Wirksamkeit eines Kurzvideos über nachhaltige Klinikpraxis bei US-amerikanischen Notfallmedizinern (N=34).</w:t>
      </w:r>
    </w:p>
    <w:p>
      <w:r>
        <w:rPr>
          <w:b/>
        </w:rPr>
        <w:t xml:space="preserve">Ergebnis: </w:t>
      </w:r>
      <w:r>
        <w:t>Wissenswerte stiegen von 55,0% auf 68,0% unmittelbar nach der Intervention (p&lt;0,001) und blieben bei 65,0% nach einem Monat erhöht (p=0,003). Einstellungen verbesserten sich signifikant (p=0,001). Bei Verhaltensänderungen zeigten sich Verbesserungen: bevorzugte Verordnung von Pulverinhalatoren stieg von 12,0% auf 37,0% (p&lt;0,050), Müllvermeidungsbestrebungen von 56,0% auf 87,0% (p&lt;0,050).</w:t>
      </w:r>
    </w:p>
    <w:p>
      <w:r>
        <w:rPr>
          <w:b/>
          <w:sz w:val="19"/>
        </w:rPr>
        <w:t xml:space="preserve">Übertragbarkeit: </w:t>
      </w:r>
      <w:r>
        <w:rPr>
          <w:sz w:val="19"/>
        </w:rPr>
        <w:t>USA-Gesundheitswesen, aber Transfer-Methodik auf deutsches Klinikmanagement anwendbar</w:t>
      </w:r>
    </w:p>
    <w:p>
      <w:r>
        <w:rPr>
          <w:color w:val="5A7D3A"/>
          <w:sz w:val="18"/>
        </w:rPr>
        <w:t>https://pubmed.ncbi.nlm.nih.gov/42900914/</w:t>
      </w:r>
    </w:p>
    <w:p>
      <w:pPr>
        <w:pStyle w:val="Heading2"/>
      </w:pPr>
      <w:r>
        <w:t>Erhitzte Tabakprodukte: Reduktion von Emissionen ohne bewiesene klinische Vorteile</w:t>
      </w:r>
    </w:p>
    <w:p>
      <w:r>
        <w:rPr>
          <w:i/>
          <w:color w:val="666666"/>
          <w:sz w:val="18"/>
        </w:rPr>
        <w:t>Bisht A et al.  ·  Front Public Health  ·  21.09.2026  ·  PMID 42835745</w:t>
      </w:r>
    </w:p>
    <w:p>
      <w:r>
        <w:t>Narrative Übersichtsarbeit zu Zusammensetzung, Exposition und Gesundheitsfolgen erhitzter Tabakprodukte (HTPs) im Vergleich zu Zigaretten auf vier Ebenen: Produktemissionen, Biomarker der Humanexposition, individuelle Krankheitsrisiken und Bevölkerungsgesundheitsfolgen.</w:t>
      </w:r>
    </w:p>
    <w:p>
      <w:r>
        <w:rPr>
          <w:b/>
        </w:rPr>
        <w:t xml:space="preserve">Ergebnis: </w:t>
      </w:r>
      <w:r>
        <w:t>HTPs reduzieren zwar einige Verbrennungstoxine im Vergleich zu Zigaretten, sind aber nicht risikofrei. Reduzierte Emissionen und Biomarker belegen nicht automatisch reduzierte klinische Erkrankungen oder Mortalität. Die Bevölkerungsgesundheitsfolgen hängen ab von: Aufnahmemuster, sozialen Kontexten, Nutzungsfrequenz, exklusiv vs. Dual-Konsum, Vorerkrankungen, regulatorischer Umgebung. Bisher keine ausreichende Langzeitepidemiologie.</w:t>
      </w:r>
    </w:p>
    <w:p>
      <w:r>
        <w:rPr>
          <w:b/>
          <w:sz w:val="19"/>
        </w:rPr>
        <w:t xml:space="preserve">Übertragbarkeit: </w:t>
      </w:r>
      <w:r>
        <w:rPr>
          <w:sz w:val="19"/>
        </w:rPr>
        <w:t>Globale Evidenz, Methodik auf deutsches Tabakkontroll-Setting übertragbar</w:t>
      </w:r>
    </w:p>
    <w:p>
      <w:r>
        <w:rPr>
          <w:color w:val="5A7D3A"/>
          <w:sz w:val="18"/>
        </w:rPr>
        <w:t>https://pubmed.ncbi.nlm.nih.gov/42835745/</w:t>
      </w:r>
    </w:p>
    <w:p>
      <w:pPr>
        <w:pStyle w:val="Heading2"/>
      </w:pPr>
      <w:r>
        <w:t>Social Prescribing: Gemeinderessourcen als Antwort auf Systemlastgrenzen</w:t>
      </w:r>
    </w:p>
    <w:p>
      <w:r>
        <w:rPr>
          <w:i/>
          <w:color w:val="666666"/>
          <w:sz w:val="18"/>
        </w:rPr>
        <w:t>Mulligan K  ·  Healthc Pap  ·  Juni 2026  ·  PMID 42834014</w:t>
      </w:r>
    </w:p>
    <w:p>
      <w:r>
        <w:t>Strategiepapier über Social Prescribing als strukturierte Verbindung von Patient:innen mit Gemeinderessourcen durch Linkworker; Analyse für kanadisches Gesundheitssystem unter Berücksichtigung von Klimawandel-Resilienz und Health Equity.</w:t>
      </w:r>
    </w:p>
    <w:p>
      <w:r>
        <w:rPr>
          <w:b/>
        </w:rPr>
        <w:t xml:space="preserve">Ergebnis: </w:t>
      </w:r>
      <w:r>
        <w:t>Modellierung zeigt potenziellen ROI von 4,43 Dollar pro investiertem Dollar. Kanadas System ist an Grenzen angekommen (400 Mrd. CA$/Jahr, 20% ohne Hausarzt, Notfalloverlauf, persistente Health Inequities). Social Prescribing adressiert Systemlastgrenzen durch Umleitung öffentlicher Investitionen in Gemeindeinfrastruktur und bietet Resilienz gegen Klimawandel, Handelsinstabilität und geopolitische Unsicherheit.</w:t>
      </w:r>
    </w:p>
    <w:p>
      <w:r>
        <w:rPr>
          <w:b/>
          <w:sz w:val="19"/>
        </w:rPr>
        <w:t xml:space="preserve">Übertragbarkeit: </w:t>
      </w:r>
      <w:r>
        <w:rPr>
          <w:sz w:val="19"/>
        </w:rPr>
        <w:t>Kanada (gemäßigte Klimazone, hohe Systemvergleichbarkeit mit Deutschland)</w:t>
      </w:r>
    </w:p>
    <w:p>
      <w:r>
        <w:rPr>
          <w:color w:val="5A7D3A"/>
          <w:sz w:val="18"/>
        </w:rPr>
        <w:t>https://pubmed.ncbi.nlm.nih.gov/42834014/</w:t>
      </w:r>
    </w:p>
    <w:p>
      <w:pPr>
        <w:pStyle w:val="Heading2"/>
      </w:pPr>
      <w:r>
        <w:t>Expertenkonsens für vergleichbare Messung von Passivrauchexposition</w:t>
      </w:r>
    </w:p>
    <w:p>
      <w:r>
        <w:rPr>
          <w:i/>
          <w:color w:val="666666"/>
          <w:sz w:val="18"/>
        </w:rPr>
        <w:t>Teijeiro A et al.  ·  Pulmonology  ·  21.08.2026  ·  PMID 42625490</w:t>
      </w:r>
    </w:p>
    <w:p>
      <w:r>
        <w:t>Zwei-Runden-Delphi-Studie mit Expert:innen aus Portugal und Brasilien zur Standardisierung von Fragebogenkonzepten für Passivrauch-Exposition in epidemiologischen Erhebungen.</w:t>
      </w:r>
    </w:p>
    <w:p>
      <w:r>
        <w:rPr>
          <w:b/>
        </w:rPr>
        <w:t xml:space="preserve">Ergebnis: </w:t>
      </w:r>
      <w:r>
        <w:t>Expert:innen einigten sich auf zentrale Messkonzepte: Exposition sollte in spezifischen Settings erfasst werden (Zuhause, Arbeitsplatz, öffentliche/private Verkehrsmittel, Freizeit); Recall-Fragen sollten Stunden indoors/outdoors an Arbeits- und Nicht-Arbeitstagen im letzten Monat abfragen; Expositionsintensität durch Raucheranteil oder wahrgenommene Rauchbelastung beurteilt werden. Länderunterschiede waren minimal. Standardisierte Fragebogen ermöglichen vergleichbare Datenerhebung für evidenzbasierte Tabakpolitik.</w:t>
      </w:r>
    </w:p>
    <w:p>
      <w:r>
        <w:rPr>
          <w:b/>
          <w:sz w:val="19"/>
        </w:rPr>
        <w:t xml:space="preserve">Übertragbarkeit: </w:t>
      </w:r>
      <w:r>
        <w:rPr>
          <w:sz w:val="19"/>
        </w:rPr>
        <w:t>Portugal (EU-Mitgliedstaat), vergleichbares Gesundheitswesen und Klimazone</w:t>
      </w:r>
    </w:p>
    <w:p>
      <w:r>
        <w:rPr>
          <w:color w:val="5A7D3A"/>
          <w:sz w:val="18"/>
        </w:rPr>
        <w:t>https://pubmed.ncbi.nlm.nih.gov/42625490/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Neueste Studien - Hitze, Klima und Gesundheit</dc:title>
  <dc:subject/>
  <dc:creator>Monitor Versorgungsforschung</dc:creator>
  <cp:keywords/>
  <dc:description>generated by python-docx</dc:description>
  <cp:lastModifiedBy/>
  <cp:revision>1</cp:revision>
  <dcterms:created xsi:type="dcterms:W3CDTF">2026-10-22T06:00:00Z</dcterms:created>
  <dcterms:modified xsi:type="dcterms:W3CDTF">2026-10-22T06:00:00Z</dcterms:modified>
  <cp:category/>
</cp:coreProperties>
</file>