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28.08.2026  |  6 Studien  |  klima.m-vf.de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PM2,5-Exposition und COVID-19-Sterblichkeit bei Patienten mit Begleiterkrankungen</w:t>
      </w:r>
    </w:p>
    <w:p>
      <w:r>
        <w:rPr>
          <w:i/>
          <w:color w:val="666666"/>
          <w:sz w:val="18"/>
        </w:rPr>
        <w:t>Morvan C et al.  ·  Int J Epidemiol  ·  18.08.2026  ·  PMID 42656020</w:t>
      </w:r>
    </w:p>
    <w:p>
      <w:r>
        <w:t>Analyse französischer Daten (2020-2021) zur kausalen Auswirkung von Feinstaubbelastung auf COVID-19-Mortalität unter Berücksichtigung von Vorerkrankungen.</w:t>
      </w:r>
    </w:p>
    <w:p>
      <w:r>
        <w:rPr>
          <w:b/>
        </w:rPr>
        <w:t xml:space="preserve">Ergebnis: </w:t>
      </w:r>
      <w:r>
        <w:t>Bei 10 µg/m³ PM2,5-Anstieg: +1,5 pro 100.000 COVID-Sterbefälle (95%-KI: 0,8-2,2) insgesamt; +0,9 pro 100.000 bei Atemwegserkrankungen (95%-KI: 0,4-1,4); +0,6 pro 100.000 bei kardiovaskulären Erkrankungen (95%-KI: 0,1-1,1). Kein signifikanter Effekt bei Personen ohne Begleiterkrankungen.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gemäßigte Klimazone, vergleichbare Versorgungsstruktur, kausal konzipierte Analyse</w:t>
      </w:r>
    </w:p>
    <w:p>
      <w:r>
        <w:rPr>
          <w:color w:val="5A7D3A"/>
          <w:sz w:val="18"/>
        </w:rPr>
        <w:t>https://pubmed.ncbi.nlm.nih.gov/42656020/</w:t>
      </w:r>
    </w:p>
    <w:p>
      <w:pPr>
        <w:pStyle w:val="Heading2"/>
      </w:pPr>
      <w:r>
        <w:t>Gemeinschaftliche Rekrutierung für Radon-Lungenkrebsforschung in Nordkarolina</w:t>
      </w:r>
    </w:p>
    <w:p>
      <w:r>
        <w:rPr>
          <w:i/>
          <w:color w:val="666666"/>
          <w:sz w:val="18"/>
        </w:rPr>
        <w:t>Srivastava M et al.  ·  Int J Environ Res Public Health  ·  18.08.2026  ·  PMID 42652387</w:t>
      </w:r>
    </w:p>
    <w:p>
      <w:r>
        <w:t>Vergleich von Rekrutierungsstrategien für die CLOVER-Studie zu Radon und Lungenkrebsrisiko: adressbasierte Sampling versus gemeinschaftlich engagierte Strategien.</w:t>
      </w:r>
    </w:p>
    <w:p>
      <w:r>
        <w:rPr>
          <w:b/>
        </w:rPr>
        <w:t xml:space="preserve">Ergebnis: </w:t>
      </w:r>
      <w:r>
        <w:t>Gemeinschaftliche Rekrutierung: 57,3 % NH-schwarze, hispanische und amerikanisch-indianische Teilnehmer versus 41,9 % bei adressbasierter Strategie. Einwilligung: 10,2 % versus 1,3 %. Radon-Kit-Rücklaufquoten: gemeinschaftlich 44,7 % versus 22,1 % adressbasiert. Gemeinschaftliche Strategien erreichten zwei mal höhere Rücklaufquoten, aber niedrigere Umfragevollendung (54,7 % versus 73,3 %).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 (USA), gemäßigte Klimazone, Klimawandelkontext, Radon-Exposition</w:t>
      </w:r>
    </w:p>
    <w:p>
      <w:r>
        <w:rPr>
          <w:color w:val="5A7D3A"/>
          <w:sz w:val="18"/>
        </w:rPr>
        <w:t>https://pubmed.ncbi.nlm.nih.gov/42652387/</w:t>
      </w:r>
    </w:p>
    <w:p>
      <w:pPr>
        <w:pStyle w:val="Heading2"/>
      </w:pPr>
      <w:r>
        <w:t>Hitzealertagen und akute Myokardinfarkte in Ungarn</w:t>
      </w:r>
    </w:p>
    <w:p>
      <w:r>
        <w:rPr>
          <w:i/>
          <w:color w:val="666666"/>
          <w:sz w:val="18"/>
        </w:rPr>
        <w:t>Bálint C et al.  ·  Int J Environ Res Public Health  ·  02.08.2026  ·  PMID 42652325</w:t>
      </w:r>
    </w:p>
    <w:p>
      <w:r>
        <w:t>Nationale Registerstudie zur Assoziation von Hitzealertagen (Temperaturkriterium ≥25 °C) mit Herzinfarkt-Aufnahmen und Sterblichkeit 2018-2021.</w:t>
      </w:r>
    </w:p>
    <w:p>
      <w:r>
        <w:rPr>
          <w:b/>
        </w:rPr>
        <w:t xml:space="preserve">Ergebnis: </w:t>
      </w:r>
      <w:r>
        <w:t>30.883 AMI-Ereignisse analysiert. An Hitzealertagen: adjustierte Inzidenzrate Ratio (aIRR) 0,93 (95%-KI: 0,90-0,97) für AMI-Aufnahmen im Sommer; adjustierte Hazard Ratio (aHR) 0,96 (95%-KI: 0,87-1,05) für Post-AMI-Mortalität. Kein protektiver Effekt der Hitze erkannt, sondern mögliche Verhaltensanpassungen und Verzögerungen bei Inanspruchnahme.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Ungarn, Mitteleuropa, nationales Registersystem, operationelle Hitzedefinition aus Hitzeaktionsplan</w:t>
      </w:r>
    </w:p>
    <w:p>
      <w:r>
        <w:rPr>
          <w:color w:val="5A7D3A"/>
          <w:sz w:val="18"/>
        </w:rPr>
        <w:t>https://pubmed.ncbi.nlm.nih.gov/42652325/</w:t>
      </w:r>
    </w:p>
    <w:p>
      <w:pPr>
        <w:pStyle w:val="Heading2"/>
      </w:pPr>
      <w:r>
        <w:t>Psychische Gesundheitsunterstützung durch Gemeindepfleger in klimavulnerablen Bangladesch-Regionen</w:t>
      </w:r>
    </w:p>
    <w:p>
      <w:r>
        <w:rPr>
          <w:i/>
          <w:color w:val="666666"/>
          <w:sz w:val="18"/>
        </w:rPr>
        <w:t>Lilier K et al.  ·  Sci Rep  ·  08.08.2026  ·  PMID 42570965</w:t>
      </w:r>
    </w:p>
    <w:p>
      <w:r>
        <w:t>Qualitative Studie mit 16 Tiefeninterviews und einer Fokusgruppe zu Erfahrungen von Gemeindepflegern bei der Vermittlung stigmatisierter mentaler Gesundheitsthemen in gefährdeten ländlichen Gemeinden.</w:t>
      </w:r>
    </w:p>
    <w:p>
      <w:r>
        <w:rPr>
          <w:b/>
        </w:rPr>
        <w:t xml:space="preserve">Ergebnis: </w:t>
      </w:r>
      <w:r>
        <w:t>Training verschob Wahrnehmung psychischer Gesundheit; Pfleger entwickelten Strategien zur Stigmareduktion durch kulturgerechte Sprache und Vertrauensaufbau. Sie fungierten als Brücke zwischen lokalen Überzeugungen und formellen Gesundheitsperspektiven. Interventionen wurden durch ihre Positionierung kontextrelevanter und angemessener. Empfehlung: Verstärkung durch fortgesetzte Schulung, materielle Unterstützung und formale Anerkennung.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Bangladesch, Klimavulnerabilität, qualitativ, One-Health-Ansatz für psychische Gesundheit</w:t>
      </w:r>
    </w:p>
    <w:p>
      <w:r>
        <w:rPr>
          <w:color w:val="5A7D3A"/>
          <w:sz w:val="18"/>
        </w:rPr>
        <w:t>https://pubmed.ncbi.nlm.nih.gov/42570965/</w:t>
      </w:r>
    </w:p>
    <w:p>
      <w:pPr>
        <w:pStyle w:val="Heading2"/>
      </w:pPr>
      <w:r>
        <w:t>Zeckenübertragene Krankheiten in urbanen und periurbanen Gebieten Ostfrankreichs</w:t>
      </w:r>
    </w:p>
    <w:p>
      <w:r>
        <w:rPr>
          <w:i/>
          <w:color w:val="666666"/>
          <w:sz w:val="18"/>
        </w:rPr>
        <w:t>Stynen J et al.  ·  Parasite  ·  29.07.2026  ·  PMID 42525861</w:t>
      </w:r>
    </w:p>
    <w:p>
      <w:r>
        <w:t>Felduntersuchung an 8 Standorten in Straßburg zur Prävalenz infizierter Zecken und Risikobewertung entlang eines Urbanisierungsgradienten.</w:t>
      </w:r>
    </w:p>
    <w:p>
      <w:r>
        <w:rPr>
          <w:b/>
        </w:rPr>
        <w:t xml:space="preserve">Ergebnis: </w:t>
      </w:r>
      <w:r>
        <w:t>880 Zecken gesammelt, 657 Nymphen analysiert. Regelmäßig gepflegte Stadtparks: niedriges Infektionsrisiko. Periurbane Auenforste: mittlere Nymphendichte 21,16 pro 100 m² (Spanne 18,25-24,75); mittlere Dichte infizierter Nymphen 7,00 pro 100 m² (Spanne 4,93-10,21) für alle drei Krankheitserreger. Höhere Luftfeuchte und vielfältige Fauna begünstigen Zeckenvorkommen.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Ostfrankreich, gemäßigte Klimazone, endemisches Gebiet, Urban-Heat-Island-relevante Problematik</w:t>
      </w:r>
    </w:p>
    <w:p>
      <w:r>
        <w:rPr>
          <w:color w:val="5A7D3A"/>
          <w:sz w:val="18"/>
        </w:rPr>
        <w:t>https://pubmed.ncbi.nlm.nih.gov/42525861/</w:t>
      </w:r>
    </w:p>
    <w:p>
      <w:pPr>
        <w:pStyle w:val="Heading2"/>
      </w:pPr>
      <w:r>
        <w:t>Ernährung moderiert Auswirkungen von Luftverschmutzung auf Lungenfunktion</w:t>
      </w:r>
    </w:p>
    <w:p>
      <w:r>
        <w:rPr>
          <w:i/>
          <w:color w:val="666666"/>
          <w:sz w:val="18"/>
        </w:rPr>
        <w:t>Kaewsri P et al.  ·  Environ Res  ·  15.09.2026  ·  PMID 42462994</w:t>
      </w:r>
    </w:p>
    <w:p>
      <w:r>
        <w:t>Großbritannien: 260.982 Biobank-Teilnehmer zur Frage, ob gesunde Ernährung die negativen Effekte von NO2 und Feinstaub auf FEV1 und FVC abschwächt.</w:t>
      </w:r>
    </w:p>
    <w:p>
      <w:r>
        <w:rPr>
          <w:b/>
        </w:rPr>
        <w:t xml:space="preserve">Ergebnis: </w:t>
      </w:r>
      <w:r>
        <w:t>Höchste gesunde Ernährungsgruppe hatte höhere FEV1/FVC als niedrigste. Hinweise auf Effektmodifikation von Obstverzehr auf PM2,5-FEV1-Assoziation bei Frauen: Bei niedriger Obstaufnahme -14,4 mL pro 5 µg/m³ PM2,5 (95%-KI: -26,8, -2,2), bei hoher Aufnahme +9,7 mL (95%-KI: -4,1, 23,6). Keine Wechselwirkung mit Gesamternährungsindex.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gemäßigte Klimazone, bevölkerungsbasiert, Protektivfaktor identifiziert</w:t>
      </w:r>
    </w:p>
    <w:p>
      <w:r>
        <w:rPr>
          <w:color w:val="5A7D3A"/>
          <w:sz w:val="18"/>
        </w:rPr>
        <w:t>https://pubmed.ncbi.nlm.nih.gov/42462994/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