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07.10.2026  |  6 Studien  |  klima.m-vf.de</w:t>
      </w:r>
    </w:p>
    <w:p>
      <w:pPr>
        <w:pStyle w:val="Heading1"/>
      </w:pPr>
      <w:r>
        <w:t>Aufgenommen am 07.10.2026</w:t>
      </w:r>
    </w:p>
    <w:p>
      <w:pPr>
        <w:pStyle w:val="Heading2"/>
      </w:pPr>
      <w:r>
        <w:t>West-Nil-Virus-Risiko: Landnutzung, Klimawandel und soziale Vulnerabilität in den USA</w:t>
      </w:r>
    </w:p>
    <w:p>
      <w:r>
        <w:rPr>
          <w:i/>
          <w:color w:val="666666"/>
          <w:sz w:val="18"/>
        </w:rPr>
        <w:t>Sambado SB et al.  ·  Biol Lett  ·  07.10.2026  ·  PMID 42838544</w:t>
      </w:r>
    </w:p>
    <w:p>
      <w:r>
        <w:t>Nationale Studie zur räumlichen Charakterisierung von West-Nil-Virus-Risiken unter Berücksichtigung von Klimavariabilität, Landnutzungswandel und sozialer Vulnerabilität.</w:t>
      </w:r>
    </w:p>
    <w:p>
      <w:r>
        <w:rPr>
          <w:b/>
        </w:rPr>
        <w:t xml:space="preserve">Ergebnis: </w:t>
      </w:r>
      <w:r>
        <w:t>Landnut­zungs­gradienten, temperaturabhängige Transmission und berufliche sowie wohngebiet­liche Exposition korrelieren mit WNV-Inzidenz, besonders in gemischten urban-agrarischen Landschaften. Künftige Szenarien zeigen räumlich variable Verschiebungen des Vektorrisikos durch divergente physiologische Reaktionen der Culex-Arten.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– Methodik der Multi-Faktor-Risikoanalyse übertragbar; absolute Temperaturschwellen und Vektorbiologie klimazonenabhängig.</w:t>
      </w:r>
    </w:p>
    <w:p>
      <w:r>
        <w:rPr>
          <w:color w:val="5A7D3A"/>
          <w:sz w:val="18"/>
        </w:rPr>
        <w:t>https://pubmed.ncbi.nlm.nih.gov/42838544/</w:t>
      </w:r>
    </w:p>
    <w:p>
      <w:pPr>
        <w:pStyle w:val="Heading2"/>
      </w:pPr>
      <w:r>
        <w:t>Atlante Aria e Salute: Gesundheitsbelastung durch Luftverschmutzung in Italien</w:t>
      </w:r>
    </w:p>
    <w:p>
      <w:r>
        <w:rPr>
          <w:i/>
          <w:color w:val="666666"/>
          <w:sz w:val="18"/>
        </w:rPr>
        <w:t>Ranzi A et al.  ·  Epidemiol Prev  ·  Juli 2026  ·  PMID 42836291</w:t>
      </w:r>
    </w:p>
    <w:p>
      <w:r>
        <w:t>Methodische Studie zur Schätzung der Krankheitslast durch PM2,5 und NO2 in Italien mittels Machine Learning und Expositionsmodellierung auf kommunaler Ebene.</w:t>
      </w:r>
    </w:p>
    <w:p>
      <w:r>
        <w:rPr>
          <w:b/>
        </w:rPr>
        <w:t xml:space="preserve">Ergebnis: </w:t>
      </w:r>
      <w:r>
        <w:t>Bei PM2,5 betrug die nationale bevölkerungsgewichtete Exposition 16,0 μg/m³ und die zurechenbare Fraktion 9,9%, bei NO2 21,0 μg/m³ und 5,2%. Die Po-Ebene im Norden war am stärksten belastet. Die Plattform erlaubt Szenarien-Analysen für Politikbewertung.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– vergleichbare Industrieregionen, aber südeuropäische Ausgangswerte höher als in Deutschland.</w:t>
      </w:r>
    </w:p>
    <w:p>
      <w:r>
        <w:rPr>
          <w:color w:val="5A7D3A"/>
          <w:sz w:val="18"/>
        </w:rPr>
        <w:t>https://pubmed.ncbi.nlm.nih.gov/42836291/</w:t>
      </w:r>
    </w:p>
    <w:p>
      <w:pPr>
        <w:pStyle w:val="Heading2"/>
      </w:pPr>
      <w:r>
        <w:t>Co-Kreation des Atlante Aria e Salute: Kommunikation für Entscheidungsträger</w:t>
      </w:r>
    </w:p>
    <w:p>
      <w:r>
        <w:rPr>
          <w:i/>
          <w:color w:val="666666"/>
          <w:sz w:val="18"/>
        </w:rPr>
        <w:t>Davoli E et al.  ·  Epidemiol Prev  ·  Juli 2026  ·  PMID 42836290</w:t>
      </w:r>
    </w:p>
    <w:p>
      <w:r>
        <w:t>Qualitative Studie mit Fokusgruppen und Interviews zur Erhebung von Informationsbedürfnissen und Kommunikationsstrategien für ein luftqualitäts- und gesundheitspolitisches Tool.</w:t>
      </w:r>
    </w:p>
    <w:p>
      <w:r>
        <w:rPr>
          <w:b/>
        </w:rPr>
        <w:t xml:space="preserve">Ergebnis: </w:t>
      </w:r>
      <w:r>
        <w:t>Identifiziert wurden vier Themenfelder: Bewusstsein, Verhalten, Informationsverbreitung, geografischer Maßstab. Experten fordern verständliche Sprache, interpretierbare Karten und Transparenz über vermeidbare Todesfälle unter verschiedenen Szenarien. Die Vermeidung alarmistischer Framing und Hervorhebung von Co-Benefits wurde betont.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– methodisch für Deutschland übertragbar; zeigt, wie Experten und Stakeholder Public-Health-Tools gestalten sollten.</w:t>
      </w:r>
    </w:p>
    <w:p>
      <w:r>
        <w:rPr>
          <w:color w:val="5A7D3A"/>
          <w:sz w:val="18"/>
        </w:rPr>
        <w:t>https://pubmed.ncbi.nlm.nih.gov/42836290/</w:t>
      </w:r>
    </w:p>
    <w:p>
      <w:pPr>
        <w:pStyle w:val="Heading2"/>
      </w:pPr>
      <w:r>
        <w:t>Rauchen und idiopathische Lungenfibrose: Sterblichkeitsrisiken in Großbritannien</w:t>
      </w:r>
    </w:p>
    <w:p>
      <w:r>
        <w:rPr>
          <w:i/>
          <w:color w:val="666666"/>
          <w:sz w:val="18"/>
        </w:rPr>
        <w:t>Tu Q et al.  ·  Front Public Health  ·  16.09.2026  ·  PMID 42819413</w:t>
      </w:r>
    </w:p>
    <w:p>
      <w:r>
        <w:t>Prospektive Kohortenstudie (UK Biobank) zu Assoziation aktiven und passiven Rauchens mit all-cause und atemwegs-spezifischer Mortalität bei IPF.</w:t>
      </w:r>
    </w:p>
    <w:p>
      <w:r>
        <w:rPr>
          <w:b/>
        </w:rPr>
        <w:t xml:space="preserve">Ergebnis: </w:t>
      </w:r>
      <w:r>
        <w:t>IPF-Vorgeschichte: HR 4,26 (95% CI 3,94–4,60). Positive additive Interaktion zwischen mütterlichem Rauchen in der Kindheit und respiratorischer Mortalität (RERI 16,97; AP 0,25). Dosisresponse nicht linear ohne IPF, linear mit IPF.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– gemäßigte Klimazone, strukturell übertragbar; zeigt Rauchen als Klimavulnerabilität in Vulnerable-Population-Kontext.</w:t>
      </w:r>
    </w:p>
    <w:p>
      <w:r>
        <w:rPr>
          <w:color w:val="5A7D3A"/>
          <w:sz w:val="18"/>
        </w:rPr>
        <w:t>https://pubmed.ncbi.nlm.nih.gov/42819413/</w:t>
      </w:r>
    </w:p>
    <w:p>
      <w:pPr>
        <w:pStyle w:val="Heading2"/>
      </w:pPr>
      <w:r>
        <w:t>Novaple​x Tropical Fever Assay: Multiplex-RT-PCR für Arbovirosen</w:t>
      </w:r>
    </w:p>
    <w:p>
      <w:r>
        <w:rPr>
          <w:i/>
          <w:color w:val="666666"/>
          <w:sz w:val="18"/>
        </w:rPr>
        <w:t>Sberna G et al.  ·  Int J Mol Sci  ·  21.09.2026  ·  PMID 42794825</w:t>
      </w:r>
    </w:p>
    <w:p>
      <w:r>
        <w:t>Validierungsstudie eines Multiplex-RT-PCR-Assays (Dengue, Zika, Chikungunya, West-Nil-Virus) für Labordiagnostik bei klimawandelbedingter Vektor-Expansion.</w:t>
      </w:r>
    </w:p>
    <w:p>
      <w:r>
        <w:rPr>
          <w:b/>
        </w:rPr>
        <w:t xml:space="preserve">Ergebnis: </w:t>
      </w:r>
      <w:r>
        <w:t>Nachweisgrenze (LOD) für WNV2 4,41 Log Kopien/mL, DENV2 3,67, ZIKV 2,57, CHIKV 3,43. Keine Kreuzreaktivität mit Usutu-Virus. Retrospektiver Vergleich mit Einzelassays zeigte höchste Übereinstimmung bei WNV, substanziell bei CHIKV, begrenzt bei DENV.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Diagnostisches Verfahren – klimafolgen-relevant, aber nur bedingt für Deutschland; eher Relevanz für Surveillance bei Vektorverschiebung.</w:t>
      </w:r>
    </w:p>
    <w:p>
      <w:r>
        <w:rPr>
          <w:color w:val="5A7D3A"/>
          <w:sz w:val="18"/>
        </w:rPr>
        <w:t>https://pubmed.ncbi.nlm.nih.gov/42794825/</w:t>
      </w:r>
    </w:p>
    <w:p>
      <w:pPr>
        <w:pStyle w:val="Heading2"/>
      </w:pPr>
      <w:r>
        <w:t>Verhaltensänderungen zur Bewältigung von Klimafolgen und SDG 13</w:t>
      </w:r>
    </w:p>
    <w:p>
      <w:r>
        <w:rPr>
          <w:i/>
          <w:color w:val="666666"/>
          <w:sz w:val="18"/>
        </w:rPr>
        <w:t>Filho WL et al.  ·  Appl Psychol Health Well Being  ·  Okt. 2026  ·  PMID 42742570</w:t>
      </w:r>
    </w:p>
    <w:p>
      <w:r>
        <w:t>Narrative Übersichtsarbeit zu Verbindungen zwischen Klimawandel, Gesundheit und Verhaltensänderung sowie deren Beitrag zu nachhaltiger Entwicklung.</w:t>
      </w:r>
    </w:p>
    <w:p>
      <w:r>
        <w:rPr>
          <w:b/>
        </w:rPr>
        <w:t xml:space="preserve">Ergebnis: </w:t>
      </w:r>
      <w:r>
        <w:t>Der Kernbefund ist konzeptuell: Interventionen, die nachhaltige Verhaltensweisen fördern und adaptive Kapazitäten stärken, sind notwendig. Ein multisektoraler Ansatz, der individuelle und kollektive Verhaltensänderungen adressiert und Stakeholder auf allen Ebenen einbezieht, wird als erforderlich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Konzeptuelle Arbeit – prinzipiell global übertragbar; Fokus auf Co-Benefits (Luftqualität, körperliche Aktivität, Ernährung) für Gesundheitskommunikation relevant.</w:t>
      </w:r>
    </w:p>
    <w:p>
      <w:r>
        <w:rPr>
          <w:color w:val="5A7D3A"/>
          <w:sz w:val="18"/>
        </w:rPr>
        <w:t>https://pubmed.ncbi.nlm.nih.gov/42742570/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2026-10-07T06:00:00Z</dcterms:created>
  <dcterms:modified xsi:type="dcterms:W3CDTF">2026-10-07T06:00:00Z</dcterms:modified>
  <cp:category/>
</cp:coreProperties>
</file>