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07.10.2026  |  280 Studien  |  klima.m-vf.de</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Feinstaub und Lebenszufriedenheit: Genetische und Umweltfaktoren in Zwillingspaaren</w:t>
      </w:r>
    </w:p>
    <w:p>
      <w:r>
        <w:rPr>
          <w:i/>
          <w:color w:val="666666"/>
          <w:sz w:val="18"/>
        </w:rPr>
        <w:t>Aretaki MA et al.  ·  Environ Res  ·  01.11.2026  ·  PMID 42705444</w:t>
      </w:r>
    </w:p>
    <w:p>
      <w:r>
        <w:t>Analyse von 4.504 jungen Erwachsenen Zwillingspaaren (TwinLife-Studie 2014–2022) zur Aufteilung der PM2.5/PM10-Effekte auf Lebenszufriedenheit in familiengebundene versus individuelle Faktoren.</w:t>
      </w:r>
    </w:p>
    <w:p>
      <w:r>
        <w:rPr>
          <w:b/>
        </w:rPr>
        <w:t xml:space="preserve">Ergebnis: </w:t>
      </w:r>
      <w:r>
        <w:t>PM2.5- und PM10-Effekt auf Lebenszufriedenheit lief zwischen Familien (b=−0,05 bis −0,06, SE=0,01, p&lt;0,001), nicht innerhalb; deutet auf gemeinsame Faktoren (SES, Nachbarschaft). Effekt von PM10 verstärkte sich mit Alter und Messjahr. Innerhalb monozygotischer Zwillinge marginal signifikant für PM10 (b=−0,09, SE=0,04, p=0,04), nicht für PM2.5.</w:t>
      </w:r>
    </w:p>
    <w:p>
      <w:r>
        <w:rPr>
          <w:b/>
          <w:sz w:val="19"/>
        </w:rPr>
        <w:t xml:space="preserve">Übertragbarkeit: </w:t>
      </w:r>
      <w:r>
        <w:rPr>
          <w:sz w:val="19"/>
        </w:rPr>
        <w:t>Deutschland, TwinLife-Kohorte, gemäßigte Klimazone, psychosoziale Effekte von Luftqualität</w:t>
      </w:r>
    </w:p>
    <w:p>
      <w:r>
        <w:rPr>
          <w:color w:val="5A7D3A"/>
          <w:sz w:val="18"/>
        </w:rPr>
        <w:t>https://pubmed.ncbi.nlm.nih.gov/42705444/</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