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10.10.2026  |  6 Studien  |  longevity.m-vf.de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Aufwärts-Mobilität verzögert funktionalen Decline im Alter</w:t>
      </w:r>
    </w:p>
    <w:p>
      <w:r>
        <w:rPr>
          <w:i/>
          <w:color w:val="666666"/>
          <w:sz w:val="18"/>
        </w:rPr>
        <w:t>Guo L et al.  ·  J Glob Health  ·  09.10.2026  ·  PMID 42852608</w:t>
      </w:r>
    </w:p>
    <w:p>
      <w:r>
        <w:t>Harmonisierte Analyse von 100.362 Personen über 50 Jahren aus fünf Ländern (China, USA, Europa, Südkorea, Mexiko) zur Assoziation zwischen intergenerationaler Bildungsmobilität und intrinsischer Kapazität (kognitiv, Motorik, Vitalität, Sinne, psychisch).</w:t>
      </w:r>
    </w:p>
    <w:p>
      <w:r>
        <w:rPr>
          <w:b/>
        </w:rPr>
        <w:t xml:space="preserve">Ergebnis: </w:t>
      </w:r>
      <w:r>
        <w:t>Aufwärts-Mobilität korreliert mit höherer intrinsischer Kapazität (gepooltes β = 0,25; 95%-KI 0,24–0,26; p &lt; 0,001) und verzögert den altersbedingten Funktionsverlust in China, Europa, Südkorea und Mexiko signifikant. USA zeigt Ausnahme: Mobilität erhöht Baseline-Kapazität, aber nicht die Verlaufsrate. Befund unterstreicht Kontext-Abhängigkeit sozialer Determinanten.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Länder inkludiert, aber Transferbarkeit auf Deutschland durch unterschiedliche Bildungs- und Sozialsysteme begrenzt.</w:t>
      </w:r>
    </w:p>
    <w:p>
      <w:r>
        <w:rPr>
          <w:color w:val="5A7D3A"/>
          <w:sz w:val="18"/>
        </w:rPr>
        <w:t>https://pubmed.ncbi.nlm.nih.gov/42852608/</w:t>
      </w:r>
    </w:p>
    <w:p>
      <w:pPr>
        <w:pStyle w:val="Heading2"/>
      </w:pPr>
      <w:r>
        <w:t>Zahnpflege-Inanspruchnahme und kognitiver Decline im Alter: 14-Jahr-Längsschnitt</w:t>
      </w:r>
    </w:p>
    <w:p>
      <w:r>
        <w:rPr>
          <w:i/>
          <w:color w:val="666666"/>
          <w:sz w:val="18"/>
        </w:rPr>
        <w:t>Jung YS et al.  ·  Front Public Health  ·  24.09.2026  ·  PMID 42851369</w:t>
      </w:r>
    </w:p>
    <w:p>
      <w:r>
        <w:t>Trajektorien-Analyse zahnärztlicher Inanspruchnahme über 14 Jahre (Health and Retirement Study, n = 14.599, ≥ 50 Jahre) und Assoziation mit kognitiver Leistung (27-Punkte-Score), mit Mediation durch Selbst-Gesundheit und ADL-Einschränkungen.</w:t>
      </w:r>
    </w:p>
    <w:p>
      <w:r>
        <w:rPr>
          <w:b/>
        </w:rPr>
        <w:t xml:space="preserve">Ergebnis: </w:t>
      </w:r>
      <w:r>
        <w:t>Drei Trajektorien identifiziert: Persistently High (53,3%), Decreasing (14,5%), Persistent Low (32,2%). Vs. Persistent High zeigte Persistent Low schnelleren kognitiven Decline (β = -0,107 pro 2-Jahr-Welle, 95%-KI -0,133 bis -0,081; p &lt; 0,0001), entsprechend 0,75 zusätzlichen Punkten über 14 Jahre. ADL-Verschlechterung mediiert 9,3–11,6% der Assoziation. Kausale Inferenz nicht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US-Kohorte (Health and Retirement Study), Funktionsverschlechterung als Endpunkt systemunabhängig relevant; deutsche Übertragung mit Vorbehalten zur Gesundheitssystem-spezifität.</w:t>
      </w:r>
    </w:p>
    <w:p>
      <w:r>
        <w:rPr>
          <w:color w:val="5A7D3A"/>
          <w:sz w:val="18"/>
        </w:rPr>
        <w:t>https://pubmed.ncbi.nlm.nih.gov/42851369/</w:t>
      </w:r>
    </w:p>
    <w:p>
      <w:pPr>
        <w:pStyle w:val="Heading2"/>
      </w:pPr>
      <w:r>
        <w:t>Fettmasse-zu-Magermasse-Verhältnis im Alter: Perzentil-Kurven aus kanadischer Längsschnittstudie</w:t>
      </w:r>
    </w:p>
    <w:p>
      <w:r>
        <w:rPr>
          <w:i/>
          <w:color w:val="666666"/>
          <w:sz w:val="18"/>
        </w:rPr>
        <w:t>Kim C et al.  ·  J Cachexia Sarcopenia Muscle  ·  Okt. 2026  ·  PMID 42850807</w:t>
      </w:r>
    </w:p>
    <w:p>
      <w:r>
        <w:t>Entwicklung alters- und geschlechtsspezifischer FM/FFM-Perzentil-Kurven (1. bis 99. Perzentil) aus 28.791 Personen der Canadian Longitudinal Study on Aging (DXA-Messungen), um sarkopene Adipositas zu identifizieren.</w:t>
      </w:r>
    </w:p>
    <w:p>
      <w:r>
        <w:rPr>
          <w:b/>
        </w:rPr>
        <w:t xml:space="preserve">Ergebnis: </w:t>
      </w:r>
      <w:r>
        <w:t>Bei Männern steigen FM/FFM-Perzentile langsam mit Alter bis 70 Jahre, dann Stabilisierung; bei Frauen höhere Ausgangswerte, schnellerer Anstieg bis 68 Jahre (50. Perzentil: 0,71), dann Rückgang. Männer zeigen 50. Perzentil von 0,42 im Alter 86 Jahren. Kurven zeigen relevante alters- und geschlechtsspezifische Unterschiede für Risikoidentifikation.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Kanadische Kohorte, ähnliches Gesundheitssystem; Daten direkt auf Deutschland übertragbar.</w:t>
      </w:r>
    </w:p>
    <w:p>
      <w:r>
        <w:rPr>
          <w:color w:val="5A7D3A"/>
          <w:sz w:val="18"/>
        </w:rPr>
        <w:t>https://pubmed.ncbi.nlm.nih.gov/42850807/</w:t>
      </w:r>
    </w:p>
    <w:p>
      <w:pPr>
        <w:pStyle w:val="Heading2"/>
      </w:pPr>
      <w:r>
        <w:t>Vitamin-D-Mangel und Sterblichkeit im Alter: Kohorten-Follow-up und Supplementierungseffekt</w:t>
      </w:r>
    </w:p>
    <w:p>
      <w:r>
        <w:rPr>
          <w:i/>
          <w:color w:val="666666"/>
          <w:sz w:val="18"/>
        </w:rPr>
        <w:t>Israel A et al.  ·  Aging Cell  ·  Okt. 2026  ·  PMID 42850752</w:t>
      </w:r>
    </w:p>
    <w:p>
      <w:r>
        <w:t>Longitudinale Analyse von über 468.500 Personen (israelisches und US-amerikanisches Kohorte) zur Assoziation zwischen Vitamin-D-Status und Alterungs-bezogenen Outcomes über bis zu 10 Jahren, mit Modellierung der Supplementierungs-Modifizierbarkeit.</w:t>
      </w:r>
    </w:p>
    <w:p>
      <w:r>
        <w:rPr>
          <w:b/>
        </w:rPr>
        <w:t xml:space="preserve">Ergebnis: </w:t>
      </w:r>
      <w:r>
        <w:t>Schwerer Vitamin-D-Mangel (&lt; 10 ng/mL vs. &gt; 30 ng/mL) assoziiert mit erhöhter Gesamtsterblichkeit (Israel: HR 2,57, 95%-KI 2,38–2,79; USA: HR 1,59, 95%-KI 1,55–1,63) und Multimorbidität. Supplementierung &gt; 10 ng/mL-Äquivalent reduziert Mortalität dose-abhängig (HR 0,72, 95%-KI 0,68–0,76). Befund unterstützt Vitamin D als modifizierbare Determinante der Alterungsvulnerabilität.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Israelische Daten vergleichbar mit Deutschland (Gesundheitssystem); US-Ergebnisse mit Vorbehalten; klinische Modifizierbarkeit ist systemunabhängig.</w:t>
      </w:r>
    </w:p>
    <w:p>
      <w:r>
        <w:rPr>
          <w:color w:val="5A7D3A"/>
          <w:sz w:val="18"/>
        </w:rPr>
        <w:t>https://pubmed.ncbi.nlm.nih.gov/42850752/</w:t>
      </w:r>
    </w:p>
    <w:p>
      <w:pPr>
        <w:pStyle w:val="Heading2"/>
      </w:pPr>
      <w:r>
        <w:t>Ernährungsdiversität und Depression bei älteren Landbewohnern in China: dynamische Assoziationen</w:t>
      </w:r>
    </w:p>
    <w:p>
      <w:r>
        <w:rPr>
          <w:i/>
          <w:color w:val="666666"/>
          <w:sz w:val="18"/>
        </w:rPr>
        <w:t>Luohong et al.  ·  BMC Public Health  ·  24.07.2026  ·  PMID 42850599</w:t>
      </w:r>
    </w:p>
    <w:p>
      <w:r>
        <w:t>Latent Class Growth Analysis mit Netzwerk-Analyse (n = 899 ländliche Personen ≥ 60 Jahre, China, 2011–2018) zur Assoziation zwischen Ernährungsdiversitäts-Trajektorien und depressiven Symptomen (CESD-10).</w:t>
      </w:r>
    </w:p>
    <w:p>
      <w:r>
        <w:rPr>
          <w:b/>
        </w:rPr>
        <w:t xml:space="preserve">Ergebnis: </w:t>
      </w:r>
      <w:r>
        <w:t>Zwei Trajektorien: hoch und graduell steigend vs. persistently low. Persistently low-Gruppe zeigte höheres Depressionsrisiko (OR = 0,54, 95%-KI 0,396–0,736), d.h. 46% niedrigeres Risiko bei hoher Diversität. Netzwerk-Intensität unterschied sich signifikant (S = 0,98, p = 0,002). Kernale Symptome variierten zwischen Gruppen. Intervention auf Kernale Symptome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Mechanism (Ernährung–Psyche) ist aber kulturunabhängig; moderate Übertragbarkeit auf Deutschland wegen anderer Ernährungskulturen und Lebensmittel-Verfügbarkeit.</w:t>
      </w:r>
    </w:p>
    <w:p>
      <w:r>
        <w:rPr>
          <w:color w:val="5A7D3A"/>
          <w:sz w:val="18"/>
        </w:rPr>
        <w:t>https://pubmed.ncbi.nlm.nih.gov/42850599/</w:t>
      </w:r>
    </w:p>
    <w:p>
      <w:pPr>
        <w:pStyle w:val="Heading2"/>
      </w:pPr>
      <w:r>
        <w:t>Neurologische Krankheitslast in Italien: Trends 1990–2023</w:t>
      </w:r>
    </w:p>
    <w:p>
      <w:r>
        <w:rPr>
          <w:i/>
          <w:color w:val="666666"/>
          <w:sz w:val="18"/>
        </w:rPr>
        <w:t>Brigo F et al.  ·  Neurol Sci  ·  09.10.2026  ·  PMID 42850460</w:t>
      </w:r>
    </w:p>
    <w:p>
      <w:r>
        <w:t>Analyse der Krankheitslast ausgewählter neurologischer Erkrankungen in Italien über 33 Jahre mittels Global Burden of Disease 2023-Daten (DALY, YLL, YLD).</w:t>
      </w:r>
    </w:p>
    <w:p>
      <w:r>
        <w:rPr>
          <w:b/>
        </w:rPr>
        <w:t xml:space="preserve">Ergebnis: </w:t>
      </w:r>
      <w:r>
        <w:t>Gesamte altersstandardisierte DALY-Raten sanken (EAPC -1,01%, 95%-KI -1,13 bis -0,89). Zerebrovaskuläre und ZNS-Infektionen zeigten größte Reduktionen; Multiple Sklerose, Parkinson, Epilepsie und Motoneuronerkrankung nahmen zu. Geschlechtsspezifische Unterschiede: Migräne, MS, Demenz stärker bei Frauen; Schlaganfall, Parkinson, Hirntumoren bei Männern.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europäisches Gesundheitssystem mit vergleichbarer Datenerfassung; Ergebnisse auf Deutschland gut übertragbar.</w:t>
      </w:r>
    </w:p>
    <w:p>
      <w:r>
        <w:rPr>
          <w:color w:val="5A7D3A"/>
          <w:sz w:val="18"/>
        </w:rPr>
        <w:t>https://pubmed.ncbi.nlm.nih.gov/42850460/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