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20.09.2026  |  7 Studien  |  longevity.m-vf.de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Exergaming mit Widerstandstraining verbessert Selbstwirksamkeit und Aktivität bei kognitiver Gebrechlichkeit</w:t>
      </w:r>
    </w:p>
    <w:p>
      <w:r>
        <w:rPr>
          <w:i/>
          <w:color w:val="666666"/>
          <w:sz w:val="18"/>
        </w:rPr>
        <w:t>Ning H et al.  ·  Zhong Nan Da Xue Xue Bao Yi Xue Ban  ·  28.07.2026  ·  PMID 42763302</w:t>
      </w:r>
    </w:p>
    <w:p>
      <w:r>
        <w:t>Randomisierte Studie zu 12-wöchigem Exergaming mit Elastikband-Training bei 79 älteren Erwachsenen mit kognitiver Frailty zur Verbesserung von Selbstwirksamkeit und körperlicher Aktivität.</w:t>
      </w:r>
    </w:p>
    <w:p>
      <w:r>
        <w:rPr>
          <w:b/>
        </w:rPr>
        <w:t xml:space="preserve">Ergebnis: </w:t>
      </w:r>
      <w:r>
        <w:t>Interventionsgruppe zeigte signifikant höhere Verbesserungen bei IPAQ-SF-Scores (MD=586,1 MET-min/Woche, 95%-KI 454,5–717,7) und Selbsteffektivität (MD=3,3, 95%-KI 2,4–4,2) vs. Kontrolle (beide p&lt;0,001). Trainingsadhärenz 86,5%. Qualitative Analyse identifizierte erhöhte Trainierbarkeit, positive Gesundheitswahrnehmung und verbesserte Sozialinteraktion.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Primar- und sekundäre Datenquellen; Design auf deutschsprachigen Kontext übertragbar.</w:t>
      </w:r>
    </w:p>
    <w:p>
      <w:r>
        <w:rPr>
          <w:color w:val="5A7D3A"/>
          <w:sz w:val="18"/>
        </w:rPr>
        <w:t>https://pubmed.ncbi.nlm.nih.gov/42763302/</w:t>
      </w:r>
    </w:p>
    <w:p>
      <w:pPr>
        <w:pStyle w:val="Heading2"/>
      </w:pPr>
      <w:r>
        <w:t>Luftfeuchte, Frailty und Schlaganfallrisiko im Alter: 7-Jahres-Kohortenstudie China</w:t>
      </w:r>
    </w:p>
    <w:p>
      <w:r>
        <w:rPr>
          <w:i/>
          <w:color w:val="666666"/>
          <w:sz w:val="18"/>
        </w:rPr>
        <w:t>Zhou Y et al.  ·  Zhong Nan Da Xue Xue Bao Yi Xue Ban  ·  28.07.2026  ·  PMID 42763297</w:t>
      </w:r>
    </w:p>
    <w:p>
      <w:r>
        <w:t>Prospektive Kohortenstudie (CHARLS) mit 19.582 chinesischen Älteren zum Zusammenhang zwischen Umgebungsfeuchte und Schlaganfallrisiko mit Frailty als Mediator.</w:t>
      </w:r>
    </w:p>
    <w:p>
      <w:r>
        <w:rPr>
          <w:b/>
        </w:rPr>
        <w:t xml:space="preserve">Ergebnis: </w:t>
      </w:r>
      <w:r>
        <w:t>Gegenüber niedriger Feuchte: mittlere Feuchte HR=1,119 (95%-KI 1,033–1,213), hohe Feuchte HR=1,279 (95%-KI 1,227–1,331) für neuen Schlaganfall (beide p&lt;0,01). Bei Männern ausgeprägter (hohe Feuchte: HR=1,352, 95%-KI 1,268–1,442). Frailty vermittelte 22,0% der Assoziation. Mediane Nachbeobachtung 7 Jahre, 1.235 Schlaganfälle (6,31%).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CHARLS-Langzeitdaten aus China; Umwelt-Gebrechlichkeits-Pathomechanismus übertragbar.</w:t>
      </w:r>
    </w:p>
    <w:p>
      <w:r>
        <w:rPr>
          <w:color w:val="5A7D3A"/>
          <w:sz w:val="18"/>
        </w:rPr>
        <w:t>https://pubmed.ncbi.nlm.nih.gov/42763297/</w:t>
      </w:r>
    </w:p>
    <w:p>
      <w:pPr>
        <w:pStyle w:val="Heading2"/>
      </w:pPr>
      <w:r>
        <w:t>Fragmentierte Sedentarität und kardiovaskuläre Sterblichkeit: Gewonnene Lebensjahre durch Bewegungspausen</w:t>
      </w:r>
    </w:p>
    <w:p>
      <w:r>
        <w:rPr>
          <w:i/>
          <w:color w:val="666666"/>
          <w:sz w:val="18"/>
        </w:rPr>
        <w:t>Xing T et al.  ·  Zhong Nan Da Xue Xue Bao Yi Xue Ban  ·  28.07.2026  ·  PMID 42763296</w:t>
      </w:r>
    </w:p>
    <w:p>
      <w:r>
        <w:t>Prospektive Kohorte mit 89.010 UK-Biobank-Teilnehmern zum Zusammenhang zwischen Sedentärdauer/-fragmentierung und Sterblichkeit sowie Lebenserwartung.</w:t>
      </w:r>
    </w:p>
    <w:p>
      <w:r>
        <w:rPr>
          <w:b/>
        </w:rPr>
        <w:t xml:space="preserve">Ergebnis: </w:t>
      </w:r>
      <w:r>
        <w:t>Gegenüber geringster Sedentarität: ≥10 h/Tag Sitzen + wenig Pausen (Breaks &lt;12/Tag) mit HR=1,515 (95%-KI 1,380–1,663) für Gesamtsterblichkeit und HR=1,553 (95%-KI 1,325–1,820) für kardiovaskuläre Mortalität. Häufige Sitzpausen reduzierten Sterblichkeitsrisiko. Lebenserwartungsverlust im Alter 50: -2,77 Jahre (Männer, 95%-KI -3,39 bis -2,15) und -3,11 Jahre (Frauen, 95%-KI -3,79 bis -2,43) an kardiovaskulär-freien Jahren.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 mit wearables gemessen; Befund zur Bewegungsunterbrechung international anwendbar.</w:t>
      </w:r>
    </w:p>
    <w:p>
      <w:r>
        <w:rPr>
          <w:color w:val="5A7D3A"/>
          <w:sz w:val="18"/>
        </w:rPr>
        <w:t>https://pubmed.ncbi.nlm.nih.gov/42763296/</w:t>
      </w:r>
    </w:p>
    <w:p>
      <w:pPr>
        <w:pStyle w:val="Heading2"/>
      </w:pPr>
      <w:r>
        <w:t>Feinstaub und Frailty: PM₂,₅-Komponenten erhöhen Gebrechlichkeitsrisiko im Alter</w:t>
      </w:r>
    </w:p>
    <w:p>
      <w:r>
        <w:rPr>
          <w:i/>
          <w:color w:val="666666"/>
          <w:sz w:val="18"/>
        </w:rPr>
        <w:t>Liu Q et al.  ·  Zhonghua Liu Xing Bing Xue Za Zhi  ·  10.09.2026  ·  PMID 42763185</w:t>
      </w:r>
    </w:p>
    <w:p>
      <w:r>
        <w:t>Querschnittsstudie mit 1.875 älteren Personen in der Jing-Jin-Ji-Region zum Zusammenhang zwischen PM₂,₅-Exposition und Frailty-Index.</w:t>
      </w:r>
    </w:p>
    <w:p>
      <w:r>
        <w:rPr>
          <w:b/>
        </w:rPr>
        <w:t xml:space="preserve">Ergebnis: </w:t>
      </w:r>
      <w:r>
        <w:t>PM₂,₅ bei 90-Tage-Mittelung (lag090 d) assoziiert mit erhöhtem Frailty-Risiko: +1,30% pro IQR-Anstieg (95%-KI 0,29–2,31). Organische Kohlenstoffe (OC): +3,63% (95%-KI 1,17–6,09%), Elementares Kohlenstoff: +0,83% (95%-KI 0,45–1,21%), Kupfer: +1,50% (95%-KI 0,76–2,24%) pro IQR-Anstieg. Keine signifikanten Unterschiede nach Geschlecht, Alter oder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Luftqualitätsdaten; Umweltbelastung-Gebrechlichkeits-Zusammenhang universal relevant.</w:t>
      </w:r>
    </w:p>
    <w:p>
      <w:r>
        <w:rPr>
          <w:color w:val="5A7D3A"/>
          <w:sz w:val="18"/>
        </w:rPr>
        <w:t>https://pubmed.ncbi.nlm.nih.gov/42763185/</w:t>
      </w:r>
    </w:p>
    <w:p>
      <w:pPr>
        <w:pStyle w:val="Heading2"/>
      </w:pPr>
      <w:r>
        <w:t>Ernährungsqualität und biologisches Alter: Zentrale Adiposität als Vermittler</w:t>
      </w:r>
    </w:p>
    <w:p>
      <w:r>
        <w:rPr>
          <w:i/>
          <w:color w:val="666666"/>
          <w:sz w:val="18"/>
        </w:rPr>
        <w:t>Qian Y  ·  Medicine (Baltimore)  ·  18.09.2026  ·  PMID 42760668</w:t>
      </w:r>
    </w:p>
    <w:p>
      <w:r>
        <w:t>Querschnittsstudie mit 12.511 US-Erwachsenen (≥20 Jahre) aus NHANES 2005–2010 zur Assoziation zwischen Ernährungsqualität und phänotypischer Altersbeschleunigung.</w:t>
      </w:r>
    </w:p>
    <w:p>
      <w:r>
        <w:rPr>
          <w:b/>
        </w:rPr>
        <w:t xml:space="preserve">Ergebnis: </w:t>
      </w:r>
      <w:r>
        <w:t>Pro 1-Punkt-Anstieg Healthy-Eating-Index-2015: OR=0,98 (95%-KI 0,97–0,98, p&lt;0,001) für beschleunigtes biologisches Altern. Waist-to-Height Ratio (WHtR) und Body Roundness Index (BRI) zeigten größte Mediationseffekte (29,23% bzw. 28,90%). Sensitivitätsanalysen bestätigten Robustheit.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NHANES-Daten USA; Ernährungs-Adipositas-Alterungsweg prinzipiell universal.</w:t>
      </w:r>
    </w:p>
    <w:p>
      <w:r>
        <w:rPr>
          <w:color w:val="5A7D3A"/>
          <w:sz w:val="18"/>
        </w:rPr>
        <w:t>https://pubmed.ncbi.nlm.nih.gov/42760668/</w:t>
      </w:r>
    </w:p>
    <w:p>
      <w:pPr>
        <w:pStyle w:val="Heading2"/>
      </w:pPr>
      <w:r>
        <w:t>Risikofaktoren für Frailty bei älteren Krebspatienten: Systematische Übersicht</w:t>
      </w:r>
    </w:p>
    <w:p>
      <w:r>
        <w:rPr>
          <w:i/>
          <w:color w:val="666666"/>
          <w:sz w:val="18"/>
        </w:rPr>
        <w:t>Shubing F et al.  ·  BMC Geriatr  ·  18.09.2026  ·  PMID 42760535</w:t>
      </w:r>
    </w:p>
    <w:p>
      <w:r>
        <w:t>Systematische Übersicht von 30 Studien (2014–2025) zu Determinanten von Frailty bei älteren Krebspatienten, davon 26 Querschnitts- und 4 prospektive Kohortenstudien.</w:t>
      </w:r>
    </w:p>
    <w:p>
      <w:r>
        <w:rPr>
          <w:b/>
        </w:rPr>
        <w:t xml:space="preserve">Ergebnis: </w:t>
      </w:r>
      <w:r>
        <w:t>Risikofaktoren in 6 Kategorien identifiziert: krankheitsbezogen (Krebsart, fortgeschrittenes Stadium), physiologisch (Mangelernährung, Muskelabbau), psychologisch (Depression, kognitiver Verfall), Lebensstil (Bewegungsmangel), soziodemografisch (Isolation), therapiebedingt (Chemotherapie-Toxizität). Prospektive Evidenz limitiert (n=4 Studien); gefordert: stratifizierte Screening- und Interventionsstrategien.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Hocheinkommensländer; Frailty-Krebsinteraktion im älteren Alter universell.</w:t>
      </w:r>
    </w:p>
    <w:p>
      <w:r>
        <w:rPr>
          <w:color w:val="5A7D3A"/>
          <w:sz w:val="18"/>
        </w:rPr>
        <w:t>https://pubmed.ncbi.nlm.nih.gov/42760535/</w:t>
      </w:r>
    </w:p>
    <w:p>
      <w:pPr>
        <w:pStyle w:val="Heading2"/>
      </w:pPr>
      <w:r>
        <w:t>Mesenchymale Stammzelltherapie bei Frailty: Systematische Übersicht mit Fokus auf Sicherheit und Mobilität</w:t>
      </w:r>
    </w:p>
    <w:p>
      <w:r>
        <w:rPr>
          <w:i/>
          <w:color w:val="666666"/>
          <w:sz w:val="18"/>
        </w:rPr>
        <w:t>Poutouri E et al.  ·  Int J Mol Sci  ·  25.08.2026  ·  PMID 42737497</w:t>
      </w:r>
    </w:p>
    <w:p>
      <w:r>
        <w:t>Systematische Übersicht von 3 randomisierten Studien (208 Teilnehmer, älter mit Frailty) zu Sicherheit und Wirksamkeit der intravenösen Stammzelltherapie auf funktionale Ergebnisse.</w:t>
      </w:r>
    </w:p>
    <w:p>
      <w:r>
        <w:rPr>
          <w:b/>
        </w:rPr>
        <w:t xml:space="preserve">Ergebnis: </w:t>
      </w:r>
      <w:r>
        <w:t>Keine schwerwiegenden behandlungsbezogenen Nebenwirkungen berichtet. Signale für Verbesserung: 6-Minuten-Gehtest nach 9 Monaten dosisabhängig erhöht; SPPB-, TUG- und Griffkraft-Verbesserungen in einzelnen Studien. Zirkulating pro-inflammatorische Zytokine reduziert, Lebensqualität verbessert. Heterogenität Stammzellquelle, Dosis und Follow-up; größere adequat-gepowerte Studien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 Staaten und Schweiz; Stammzelltherapie-Sicherheitsdaten relevant für prospektive europäische Studien.</w:t>
      </w:r>
    </w:p>
    <w:p>
      <w:r>
        <w:rPr>
          <w:color w:val="5A7D3A"/>
          <w:sz w:val="18"/>
        </w:rPr>
        <w:t>https://pubmed.ncbi.nlm.nih.gov/42737497/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