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06.10.2026  |  7 Studien  |  longevity.m-vf.de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Frailty als multidimensionales biopsychosoziales Syndrom: Update zu Konzepten und Versorgung</w:t>
      </w:r>
    </w:p>
    <w:p>
      <w:r>
        <w:rPr>
          <w:i/>
          <w:color w:val="666666"/>
          <w:sz w:val="18"/>
        </w:rPr>
        <w:t>Cohen CI et al.  ·  Clin Geriatr Med  ·  Nov. 2026  ·  PMID 42833807</w:t>
      </w:r>
    </w:p>
    <w:p>
      <w:r>
        <w:t>Übersichtsartikel fasst die Entwicklung von Frailty-Konzeptualisierung von primär physisch zu einem komplexen, multidimensionalen biopsychosozialen Syndrom zusammen, unter Einbeziehung von Definition, Diagnose-Tools, Epidemiologie, Pathogenese und Versorgungsansätze.</w:t>
      </w:r>
    </w:p>
    <w:p>
      <w:r>
        <w:rPr>
          <w:b/>
        </w:rPr>
        <w:t xml:space="preserve">Ergebnis: </w:t>
      </w:r>
      <w:r>
        <w:t>Frailty erweitert von physischer zu physischer, kognitiver, sozialer und psychologischer Frailty. Tools und Assessment-Domains aufgelistet; Epidemiologie, Risikofaktoren, Pathogenese, Prävention und Behandlungs-Frameworks skizziert. Ungelöste Versorgungsfragen benannt. Keine spezifischen Zahlenergebnisse, sondern konzeptueller Überblick über den Wandel im Feld.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US-amerikanisches Review; biopsychosoziales Frailty-Modell international etabliert, auf deutsches System direkt anwendbar.</w:t>
      </w:r>
    </w:p>
    <w:p>
      <w:r>
        <w:rPr>
          <w:color w:val="5A7D3A"/>
          <w:sz w:val="18"/>
        </w:rPr>
        <w:t>https://pubmed.ncbi.nlm.nih.gov/42833807/</w:t>
      </w:r>
    </w:p>
    <w:p>
      <w:pPr>
        <w:pStyle w:val="Heading2"/>
      </w:pPr>
      <w:r>
        <w:t>Altersfeindlichkeit als upstream-Determinante: Sturzverhütung durch multilevel Reframing</w:t>
      </w:r>
    </w:p>
    <w:p>
      <w:r>
        <w:rPr>
          <w:i/>
          <w:color w:val="666666"/>
          <w:sz w:val="18"/>
        </w:rPr>
        <w:t>McMahon SK et al.  ·  Clin Geriatr Med  ·  03.09.2026  ·  PMID 42833800</w:t>
      </w:r>
    </w:p>
    <w:p>
      <w:r>
        <w:t>Konzeptuelle Analyse aus USA untersucht, wie strukturelle, interpersonelle und individuelle Ebenen von Altersdiskriminierung die Implementierung, Akzeptanz und Wirksamkeit von Sturz-Prävention bei älteren Menschen beeinträchtigen.</w:t>
      </w:r>
    </w:p>
    <w:p>
      <w:r>
        <w:rPr>
          <w:b/>
        </w:rPr>
        <w:t xml:space="preserve">Ergebnis: </w:t>
      </w:r>
      <w:r>
        <w:t>Lücke zwischen Evidenz (starke Maßnahmen-Effektivität) und Implementierung getrieben durch Ageismus: Untererfassung, Umweltbarrieren, internalisierte Stigma. Empfehlung für ganzheitlichen, mehrebenenigen Ansatz, der soziale Determinanten (besonders Ageismus) integriert; Systemische, klinische und Kommunikations-Änderungen für bessere Prävention, Engagement, sichere Mobilität. Framework ‚Reframing Aging' zitiert.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USA-Perspektive; konzeptueller Rahmen zur Sturzverhütung durch Anti-Ageismus-Ansätze prinzipiell auf deutsches System übertragbar, erfordert aber Systemanpassung.</w:t>
      </w:r>
    </w:p>
    <w:p>
      <w:r>
        <w:rPr>
          <w:color w:val="5A7D3A"/>
          <w:sz w:val="18"/>
        </w:rPr>
        <w:t>https://pubmed.ncbi.nlm.nih.gov/42833800/</w:t>
      </w:r>
    </w:p>
    <w:p>
      <w:pPr>
        <w:pStyle w:val="Heading2"/>
      </w:pPr>
      <w:r>
        <w:t>Aortenstenose im Alter: Weshalb Lebenserwartung keine Indikation zum Verzicht auf Klappenersatz ist</w:t>
      </w:r>
    </w:p>
    <w:p>
      <w:r>
        <w:rPr>
          <w:i/>
          <w:color w:val="666666"/>
          <w:sz w:val="18"/>
        </w:rPr>
        <w:t>Demir OM et al.  ·  Open Heart  ·  05.10.2026  ·  PMID 42833700</w:t>
      </w:r>
    </w:p>
    <w:p>
      <w:r>
        <w:t>Konzeptuelles Argument zur Fehlinterpretation von Lebenserwartung bei älteren Patienten mit symptomatischer schwerer Aortenstenose und der Frage, wann Ventilintervention gerechtfertigt ist.</w:t>
      </w:r>
    </w:p>
    <w:p>
      <w:r>
        <w:rPr>
          <w:b/>
        </w:rPr>
        <w:t xml:space="preserve">Ergebnis: </w:t>
      </w:r>
      <w:r>
        <w:t>Nationale Sterbe- und Überlebenstafeln: 90-Jähriger in England/Wales hat noch 3,9 Jahre Lebenserwartung; 82-Jähriger lebt länger als 72-Jähriger. 'Schlagrisiko ist kardial, nicht chronologisch' — korreliert mit extravalvulärer Herzschädigung, Frailty und konkurrierenden Erkrankungen, nicht mit Kalenderalter. Stadium, nicht Alter, diskriminiert Outcome. Empfehlung: conditional, komorbidität-adjustierte Prognose statt Alters-Nihilismus.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System; medizinisches Konzept zur Patientenauswahl übertragbar auf deutsches Altensystem.</w:t>
      </w:r>
    </w:p>
    <w:p>
      <w:r>
        <w:rPr>
          <w:color w:val="5A7D3A"/>
          <w:sz w:val="18"/>
        </w:rPr>
        <w:t>https://pubmed.ncbi.nlm.nih.gov/42833700/</w:t>
      </w:r>
    </w:p>
    <w:p>
      <w:pPr>
        <w:pStyle w:val="Heading2"/>
      </w:pPr>
      <w:r>
        <w:t>Körperliche Leistung puffert Alterseffekt auf Exekutivfunktion bei Demenzrisiko</w:t>
      </w:r>
    </w:p>
    <w:p>
      <w:r>
        <w:rPr>
          <w:i/>
          <w:color w:val="666666"/>
          <w:sz w:val="18"/>
        </w:rPr>
        <w:t>Reparaz-Escudero I et al.  ·  J Cachexia Sarcopenia Muscle  ·  Okt. 2026  ·  PMID 42833623</w:t>
      </w:r>
    </w:p>
    <w:p>
      <w:r>
        <w:t>Querschnittsstudie an 920 älteren Spaniern (60–85 Jahre) mit erhöhtem Demenzrisiko untersuchte, ob Ganggeschwindigkeit, Handgriffkraft und Beinmuskelpower den Zusammenhang zwischen Alter und Exekutivfunktion moderieren.</w:t>
      </w:r>
    </w:p>
    <w:p>
      <w:r>
        <w:rPr>
          <w:b/>
        </w:rPr>
        <w:t xml:space="preserve">Ergebnis: </w:t>
      </w:r>
      <w:r>
        <w:t>Höhere körperliche Leistung schwächte die Alters-Exekutivfunktion-Assoziation ab. Ganggeschwindigkeit moderierte die Beziehung am konsistentesten; Johnson-Neyman-Analyse zeigte: Alters-Exekutivfunktion-Effekt nur bei Ganggeschwindigkeiten unter 1,68–1,83 m/s messbar (1,0–15,9 % der Teilnehmer). Sex-spezifische Muster: Ganggeschwindigkeit bei TMT-B bei Männern, Stroop-Interferenz bei Frauen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Demenzrisiko-Kohorte; körperliches Training zur Exekutivschutzung übertragbar auf deutsche Altenpopulation.</w:t>
      </w:r>
    </w:p>
    <w:p>
      <w:r>
        <w:rPr>
          <w:color w:val="5A7D3A"/>
          <w:sz w:val="18"/>
        </w:rPr>
        <w:t>https://pubmed.ncbi.nlm.nih.gov/42833623/</w:t>
      </w:r>
    </w:p>
    <w:p>
      <w:pPr>
        <w:pStyle w:val="Heading2"/>
      </w:pPr>
      <w:r>
        <w:t>Elektromyographie beim Gehen identifiziert Gebrechlichkeit bei älteren Patienten mit Herzkrankheit</w:t>
      </w:r>
    </w:p>
    <w:p>
      <w:r>
        <w:rPr>
          <w:i/>
          <w:color w:val="666666"/>
          <w:sz w:val="18"/>
        </w:rPr>
        <w:t>Huang P et al.  ·  J Cachexia Sarcopenia Muscle  ·  Okt. 2026  ·  PMID 42830734</w:t>
      </w:r>
    </w:p>
    <w:p>
      <w:r>
        <w:t>Fall-Kontroll-Studie mit 150 älteren Patienten mit Herzkrankheit (75 gebrechlich, 75 nicht-gebrechlich) verglich oberflächliche Elektromyographie (sEMG) der Unterschenkelmuskeln beim Gehen und testete deren Diskriminativwert für Frailty.</w:t>
      </w:r>
    </w:p>
    <w:p>
      <w:r>
        <w:rPr>
          <w:b/>
        </w:rPr>
        <w:t xml:space="preserve">Ergebnis: </w:t>
      </w:r>
      <w:r>
        <w:t>Gebrechliche waren älter (76,04 vs. 68,55 Jahre), benötigten länger für 10-m-Gang (13,34 vs. 9,44 s), niedrigere POMA-Scores (21,51 vs. 27,59). Gebrechliche zeigten höhere integrierte EMG des linken Semitendinosus (534,4 vs. 455,5 μV·s, p=0,0084) und höhere Aktivierungssequenz-Rang des linken Rectus femoris (p=0,0404). Im Frequenzbereich höhere Medianfrequenz (MF) in 6 Muskeln. Multivariates Modell: MF Rectus femoris rechts (OR 1,067, p=0,038), MF Gastrocnemius rechts (OR 1,054, p=0,019), Aktivierungsrang TA rechts (OR 0,640, p=0,014) unabhängig assoziiert. sEMG+Alter-Modell: AUC 0,8418 (Sensitivität 0,8933, Spezifität 0,6400), Vollmodell mit POMA: AUC 0,8740.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Klinik-Kohorte; sEMG-Methode und Frailty-Assessments international vergleichbar.</w:t>
      </w:r>
    </w:p>
    <w:p>
      <w:r>
        <w:rPr>
          <w:color w:val="5A7D3A"/>
          <w:sz w:val="18"/>
        </w:rPr>
        <w:t>https://pubmed.ncbi.nlm.nih.gov/42830734/</w:t>
      </w:r>
    </w:p>
    <w:p>
      <w:pPr>
        <w:pStyle w:val="Heading2"/>
      </w:pPr>
      <w:r>
        <w:t>Glukosestoffwechsel und vaskuläres Altern: Prädiktive Güte einfacher Marker im Screening</w:t>
      </w:r>
    </w:p>
    <w:p>
      <w:r>
        <w:rPr>
          <w:i/>
          <w:color w:val="666666"/>
          <w:sz w:val="18"/>
        </w:rPr>
        <w:t>Wang J et al.  ·  Front Endocrinol (Lausanne)  ·  18.09.2026  ·  PMID 42827523</w:t>
      </w:r>
    </w:p>
    <w:p>
      <w:r>
        <w:t>Retrospektive Querschnittsstudie mit 555 Personen aus Routineuntersuchungen evaluierte sieben Glukosemetaboliten-Indizes (TyG, CHG, HOMA-IR etc.) und deren Assoziationen mit frühem vaskulärem Altern (EVA, baPWV).</w:t>
      </w:r>
    </w:p>
    <w:p>
      <w:r>
        <w:rPr>
          <w:b/>
        </w:rPr>
        <w:t xml:space="preserve">Ergebnis: </w:t>
      </w:r>
      <w:r>
        <w:t>156/555 (28,1%) hatten EVA. Alle sieben Marker unabhängig mit EVA assoziiert nach Confounding-Kontrolle. CHG-Index stärkste Korrelation mit baPWV-Mittelwert (r=0,402, p&lt;0,001). ROC-Analysen: HbA1c höchste AUC (0,690), TyG-Index höchste Sensitivität (70,51%). Bescheidene Diskriminanzleistung über alle Marker. Schluss: TyG und HbA1c als potenzielle kostengünstige Hilfsmarker für EVA-Screening; interne Bootstrap- und externe prospektive Validierung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Gesundheitsuntersuchungskohorte; Biomarker-Interpretation übertragbar, aber lokale Altersstruktur verschieden.</w:t>
      </w:r>
    </w:p>
    <w:p>
      <w:r>
        <w:rPr>
          <w:color w:val="5A7D3A"/>
          <w:sz w:val="18"/>
        </w:rPr>
        <w:t>https://pubmed.ncbi.nlm.nih.gov/42827523/</w:t>
      </w:r>
    </w:p>
    <w:p>
      <w:pPr>
        <w:pStyle w:val="Heading2"/>
      </w:pPr>
      <w:r>
        <w:t>Arteriosklerose und Sarkopenie: biologisches Alter als Mediator, Gebrechlichkeit als Modifikator</w:t>
      </w:r>
    </w:p>
    <w:p>
      <w:r>
        <w:rPr>
          <w:i/>
          <w:color w:val="666666"/>
          <w:sz w:val="18"/>
        </w:rPr>
        <w:t>Sun A et al.  ·  Front Public Health  ·  14.09.2026  ·  PMID 42807006</w:t>
      </w:r>
    </w:p>
    <w:p>
      <w:r>
        <w:t>Prospektive UK-Biobank-Kohortenstudie mit 32.451 Teilnehmern untersuchte, ob Arteriensteifigkeit (ASI) mit Sarkopenie-Risiko assoziiert ist und welche Rolle biologisches Alter und Frailty spielen.</w:t>
      </w:r>
    </w:p>
    <w:p>
      <w:r>
        <w:rPr>
          <w:b/>
        </w:rPr>
        <w:t xml:space="preserve">Ergebnis: </w:t>
      </w:r>
      <w:r>
        <w:t>Höchstes vs. niedriges ASI-Tertil: HR 1,38 (95%-KI 1,22–1,55) für wahrscheinliche Sarkopenie, HR 1,56 (95%-KI 1,11–2,18) für Sarkopenie. Biologisches Alter mediierte 8,66 % und 18,85 % dieser Assoziationen. Frailty modifizierte die Magnitude erheblich; Assoziationen überwiegend bei nicht-Gebrechlichen. Erkannter nichtlinearer Zusammenhang bei wahrscheinlicher Sarkopenie, linear bei manifester Sarkopenie.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Biobank; methodische Validierbarkeit aber Altersdurchschnitt und Sozialstruktur unterscheiden sich von Deutschland.</w:t>
      </w:r>
    </w:p>
    <w:p>
      <w:r>
        <w:rPr>
          <w:color w:val="5A7D3A"/>
          <w:sz w:val="18"/>
        </w:rPr>
        <w:t>https://pubmed.ncbi.nlm.nih.gov/42807006/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