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Gesundes Altern und Longevity</w:t>
      </w:r>
    </w:p>
    <w:p>
      <w:r>
        <w:rPr>
          <w:i/>
          <w:color w:val="666666"/>
          <w:sz w:val="18"/>
        </w:rPr>
        <w:t>Stand: 13.10.2026  |  317 Studien  |  longevity.m-vf.de</w:t>
      </w:r>
    </w:p>
    <w:p>
      <w:pPr>
        <w:pStyle w:val="Heading1"/>
      </w:pPr>
      <w:r>
        <w:t>Aufgenommen am 13.10.2026</w:t>
      </w:r>
    </w:p>
    <w:p>
      <w:pPr>
        <w:pStyle w:val="Heading2"/>
      </w:pPr>
      <w:r>
        <w:t>Muskelabbau im Alter: Sozioökonomie, Ernährung und körperliche Aktivität beeinflussen Muskelmasse über 17 Jahre</w:t>
      </w:r>
    </w:p>
    <w:p>
      <w:r>
        <w:rPr>
          <w:i/>
          <w:color w:val="666666"/>
          <w:sz w:val="18"/>
        </w:rPr>
        <w:t>Suleiman A et al.  ·  Australas J Ageing  ·  Dez. 2026  ·  PMID 42861734</w:t>
      </w:r>
    </w:p>
    <w:p>
      <w:r>
        <w:t>Eine 17-jährige prospektive Kohortenstudie mit 3033 Teilnehmern identifizierte Faktoren, die die Muskelmasse im Alter beeinflussen.</w:t>
      </w:r>
    </w:p>
    <w:p>
      <w:r>
        <w:rPr>
          <w:b/>
        </w:rPr>
        <w:t xml:space="preserve">Ergebnis: </w:t>
      </w:r>
      <w:r>
        <w:t>Höheres Alter und weibliches Geschlecht waren mit niedrigerer appendikulärer Muskelmasse assoziiert (β = −0,07 pro Jahr; 95%-KI −0,08 bis −0,06). Positive Prädiktoren waren Sozialstatus (β = 0,33), Kalziumaufnahme (β = 0,46), Knochenmineraldichte (β = 0,38) und Schilddrüsenhormontherapie (β = 0,52). Körperliche Inaktivität (β = −0,48), Rauchen (β = −0,24) und Schlaganfall-Vorgeschichte (β = −0,51) waren mit geringerer Muskelmasse assoziiert. Die Ergebnisse zeigen modifizierbare Faktoren für den Erhalt der Muskelmasse in der Alterung.</w:t>
      </w:r>
    </w:p>
    <w:p>
      <w:r>
        <w:rPr>
          <w:b/>
          <w:sz w:val="19"/>
        </w:rPr>
        <w:t xml:space="preserve">Übertragbarkeit: </w:t>
      </w:r>
      <w:r>
        <w:rPr>
          <w:sz w:val="19"/>
        </w:rPr>
        <w:t>Australische prospektive Kohortendaten, vergleichbar mit europäischen Versorgungssettings</w:t>
      </w:r>
    </w:p>
    <w:p>
      <w:r>
        <w:rPr>
          <w:color w:val="5A7D3A"/>
          <w:sz w:val="18"/>
        </w:rPr>
        <w:t>https://pubmed.ncbi.nlm.nih.gov/42861734/</w:t>
      </w:r>
    </w:p>
    <w:p>
      <w:pPr>
        <w:pStyle w:val="Heading2"/>
      </w:pPr>
      <w:r>
        <w:t>Widerstandstraining bei älteren Männern: weniger Muskelaufbau trotz gleicher Trainingsbelastung</w:t>
      </w:r>
    </w:p>
    <w:p>
      <w:r>
        <w:rPr>
          <w:i/>
          <w:color w:val="666666"/>
          <w:sz w:val="18"/>
        </w:rPr>
        <w:t>Lewis DT et al.  ·  Physiol Rep  ·  Okt. 2026  ·  PMID 42860700</w:t>
      </w:r>
    </w:p>
    <w:p>
      <w:r>
        <w:t>Eine Studie mit 17 jüngeren und 15 älteren untrainierten Männern verglich Muskelaufbau und Proteinveränderungen nach 10–12 Wochen Widerstandstraining.</w:t>
      </w:r>
    </w:p>
    <w:p>
      <w:r>
        <w:rPr>
          <w:b/>
        </w:rPr>
        <w:t xml:space="preserve">Ergebnis: </w:t>
      </w:r>
      <w:r>
        <w:t>Trotz vergleichbarer Trainingsvolumina gewannen jüngere Männer mehr Muskelmasse (+2,73 kg vs. +1,18 kg; p = 0,009) und zeigten größere Zuwächse der Unterschenkeldicke (+0,49 cm vs. +0,20 cm; p = 0,002). Bei jüngeren Erwachsenen veränderte das Training 135 Proteine (FDR &lt; 0,05), bei älteren jedoch null. Die Proteom-Plastizität war bei älteren Männern komprimiert statt qualitativ verändert, was erklärt, warum der Muskelaufbau trotz Training geringer ausfällt.</w:t>
      </w:r>
    </w:p>
    <w:p>
      <w:r>
        <w:rPr>
          <w:b/>
          <w:sz w:val="19"/>
        </w:rPr>
        <w:t xml:space="preserve">Übertragbarkeit: </w:t>
      </w:r>
      <w:r>
        <w:rPr>
          <w:sz w:val="19"/>
        </w:rPr>
        <w:t>USA-Universitätsdaten zur Trainingsphysiologie, Befund zum Altern universell übertragbar</w:t>
      </w:r>
    </w:p>
    <w:p>
      <w:r>
        <w:rPr>
          <w:color w:val="5A7D3A"/>
          <w:sz w:val="18"/>
        </w:rPr>
        <w:t>https://pubmed.ncbi.nlm.nih.gov/42860700/</w:t>
      </w:r>
    </w:p>
    <w:p>
      <w:pPr>
        <w:pStyle w:val="Heading2"/>
      </w:pPr>
      <w:r>
        <w:t>Frailty-Screening bei Hämodialysepatienten: XGBoost-Modell mit AUC 0,917 identifiziert 48,6 % der Patienten</w:t>
      </w:r>
    </w:p>
    <w:p>
      <w:r>
        <w:rPr>
          <w:i/>
          <w:color w:val="666666"/>
          <w:sz w:val="18"/>
        </w:rPr>
        <w:t>Wang J et al.  ·  Ann Med  ·  11.10.2026  ·  PMID 42860582</w:t>
      </w:r>
    </w:p>
    <w:p>
      <w:r>
        <w:t>Eine retrospektive Studie mit 626 Hämodialysepatienten aus vier Kliniken entwickelte ein Machine-Learning-Modell zur Frailty-Erkennung.</w:t>
      </w:r>
    </w:p>
    <w:p>
      <w:r>
        <w:rPr>
          <w:b/>
        </w:rPr>
        <w:t xml:space="preserve">Ergebnis: </w:t>
      </w:r>
      <w:r>
        <w:t>Frailty-Prävalenz lag bei 48,6 %. Das XGBoost-Modell zeigte beste externe Validierungsleistung: AUC = 0,917 (95%-KI 0,867–0,967), Genauigkeit 84,7 %, Sensitivität 85,0 %, Spezifität 84,4 %. Sechs Prädiktoren wurden identifiziert: Alter, Griffstärke, Komorbiditäten, Charlson-Index, Albumin und Pro-BNP. Das Modell unterstützt systematisches Frailty-Screening in der Nierenfachversorgung.</w:t>
      </w:r>
    </w:p>
    <w:p>
      <w:r>
        <w:rPr>
          <w:b/>
          <w:sz w:val="19"/>
        </w:rPr>
        <w:t xml:space="preserve">Übertragbarkeit: </w:t>
      </w:r>
      <w:r>
        <w:rPr>
          <w:sz w:val="19"/>
        </w:rPr>
        <w:t>Chinesische Klinikstudie; Frailty-Screening und Prognose universal relevant</w:t>
      </w:r>
    </w:p>
    <w:p>
      <w:r>
        <w:rPr>
          <w:color w:val="5A7D3A"/>
          <w:sz w:val="18"/>
        </w:rPr>
        <w:t>https://pubmed.ncbi.nlm.nih.gov/42860582/</w:t>
      </w:r>
    </w:p>
    <w:p>
      <w:pPr>
        <w:pStyle w:val="Heading2"/>
      </w:pPr>
      <w:r>
        <w:t>KI-gestützte Assessment-Tools für intrinsische Kapazität: 161 Studien zeigen Schwerpunkte bei Kognition und Mobilität, Lücken bei Sinnesfunktion</w:t>
      </w:r>
    </w:p>
    <w:p>
      <w:r>
        <w:rPr>
          <w:i/>
          <w:color w:val="666666"/>
          <w:sz w:val="18"/>
        </w:rPr>
        <w:t>Yu C et al.  ·  J Med Internet Res  ·  05.10.2026  ·  PMID 42832757</w:t>
      </w:r>
    </w:p>
    <w:p>
      <w:r>
        <w:t>Ein systematisches Scoping-Review (161 Studien, 2016–2026) charakterisierte KI-basierte digitale Messtools zur Erfassung intrinsischer Kapazität bei älteren Menschen nach WHO-Domänen und Technologie.</w:t>
      </w:r>
    </w:p>
    <w:p>
      <w:r>
        <w:rPr>
          <w:b/>
        </w:rPr>
        <w:t xml:space="preserve">Ergebnis: </w:t>
      </w:r>
      <w:r>
        <w:t>Forschung seit 2016 exponentiell gestiegen; 28 Länder vertreten (USA, China dominant). 11 Kategorien KI-gestützter Geräte identifiziert: Multimodal-Erfassungsgeräte, Computer-Vision-Systeme, KI-Plattformen führend. 21 Typen digitaler Biomarker: Gangparameter, digitale Aufgabenleistung, körperliche Aktivität, Sprache, Gesichtszüge häufigst. Machine Learning und Deep Learning dominieren; Computer Vision und NLP zentral für multimodale Interpretation. Kognition und Lokomotion am weitesten entwickelt; Vitalität, Hörvermögen und Multi-Domain-Assessment unterrepräsentiert. KI-Tools könnten klinische Assessment ergänzen, benötigen aber robuste Validierung und Implementierungsforschung.</w:t>
      </w:r>
    </w:p>
    <w:p>
      <w:r>
        <w:rPr>
          <w:b/>
          <w:sz w:val="19"/>
        </w:rPr>
        <w:t xml:space="preserve">Übertragbarkeit: </w:t>
      </w:r>
      <w:r>
        <w:rPr>
          <w:sz w:val="19"/>
        </w:rPr>
        <w:t>Globale Übersicht; Lücken in der Standardisierung und externen Validierung überall manifest</w:t>
      </w:r>
    </w:p>
    <w:p>
      <w:r>
        <w:rPr>
          <w:color w:val="5A7D3A"/>
          <w:sz w:val="18"/>
        </w:rPr>
        <w:t>https://pubmed.ncbi.nlm.nih.gov/42832757/</w:t>
      </w:r>
    </w:p>
    <w:p>
      <w:pPr>
        <w:pStyle w:val="Heading2"/>
      </w:pPr>
      <w:r>
        <w:t>Mundmikrobiom und Kognition: Nitratverstoffwechselnde Bakterien assoziiert mit besserer kognitiver Leistung</w:t>
      </w:r>
    </w:p>
    <w:p>
      <w:r>
        <w:rPr>
          <w:i/>
          <w:color w:val="666666"/>
          <w:sz w:val="18"/>
        </w:rPr>
        <w:t>L'Heureux JE et al.  ·  PLoS One  ·  05.10.2026  ·  PMID 42832417</w:t>
      </w:r>
    </w:p>
    <w:p>
      <w:r>
        <w:t>Eine Studie mit 60 gesunden Teilnehmern (je 15 junge und 15 ältere Erwachsene aus UK und Belgien) untersuchte Zusammenhänge zwischen Mundmikrobiom, Stickstoffmonoxid-Biomarker und kognitiver Funktion.</w:t>
      </w:r>
    </w:p>
    <w:p>
      <w:r>
        <w:rPr>
          <w:b/>
        </w:rPr>
        <w:t xml:space="preserve">Ergebnis: </w:t>
      </w:r>
      <w:r>
        <w:t>Trotz geografischer Unterschiede in der Mikrobiomzusammensetzung waren altersbedingte mikrobielle Verschiebungen konsistent über Kohorten hinweg, mit Anreicherung von Treponema und Tannerella bei älteren Erwachsenen. Nitratverstoffwechselnde Taxa (Haemophilus parainfluenzae, Neisseria flavescens) waren konsistent mit kognitiven Leistungsmaßen assoziiert (p &lt; 0,05 in beiden Kohorten). Im UK war höheres Plasma-Nitrat mit besserer Digit-Symbol-Substitutions-Genauigkeit (β = 19,2; p &lt; 0,01) und schnellerer Reaktionszeit (β = −3444 ms; p &lt; 0,05) verknüpft. Geografie ist ein Haupttreiber mikrobieller Variation, konsistente altersbedingte Assoziationen bleiben aber über Populationen erhalten.</w:t>
      </w:r>
    </w:p>
    <w:p>
      <w:r>
        <w:rPr>
          <w:b/>
          <w:sz w:val="19"/>
        </w:rPr>
        <w:t xml:space="preserve">Übertragbarkeit: </w:t>
      </w:r>
      <w:r>
        <w:rPr>
          <w:sz w:val="19"/>
        </w:rPr>
        <w:t>UK und Belgien; europäische Grundlagenforschung mit klinischem Bezug zur Kognitionsförderung</w:t>
      </w:r>
    </w:p>
    <w:p>
      <w:r>
        <w:rPr>
          <w:color w:val="5A7D3A"/>
          <w:sz w:val="18"/>
        </w:rPr>
        <w:t>https://pubmed.ncbi.nlm.nih.gov/42832417/</w:t>
      </w:r>
    </w:p>
    <w:p>
      <w:pPr>
        <w:pStyle w:val="Heading2"/>
      </w:pPr>
      <w:r>
        <w:t>Migration im späten Alter: Identität und Zugehörigkeit bleiben zentral, alltägliche Integration folgt eigenem Weg</w:t>
      </w:r>
    </w:p>
    <w:p>
      <w:r>
        <w:rPr>
          <w:i/>
          <w:color w:val="666666"/>
          <w:sz w:val="18"/>
        </w:rPr>
        <w:t>Adad J et al.  ·  J Cross Cult Gerontol  ·  12.09.2026  ·  PMID 42730791</w:t>
      </w:r>
    </w:p>
    <w:p>
      <w:r>
        <w:t>Eine qualitative Studie mit 12 älteren Französinnen und Franzosen (≥ 70 Jahre), die nach Israel migrierten, untersuchte die Bedeutung dieser Erfahrung für Identität und Wohlbefinden.</w:t>
      </w:r>
    </w:p>
    <w:p>
      <w:r>
        <w:rPr>
          <w:b/>
        </w:rPr>
        <w:t xml:space="preserve">Ergebnis: </w:t>
      </w:r>
      <w:r>
        <w:t>Die Analyse zeigte ein ambivalentes Muster: Migration verursachte Unterbrechungen vertrauter sozialer Welten, wurde aber konsistent als Erfüllung eines Lebensprojekts um Familie, jüdische Identität und Zugehörigkeit interpretiert. Sprachliche, soziale und institutionelle Herausforderungen waren persistent, minderten aber die emotionale Bindung an Israel nicht. Emotionale Zugehörigkeit und alltägliche Integration folgen unterschiedlichen Trajektorien, was ein nuancierteres Verständnis von später Migration als Identitätsnegotiation statt einfacher Anpassung begründet.</w:t>
      </w:r>
    </w:p>
    <w:p>
      <w:r>
        <w:rPr>
          <w:b/>
          <w:sz w:val="19"/>
        </w:rPr>
        <w:t xml:space="preserve">Übertragbarkeit: </w:t>
      </w:r>
      <w:r>
        <w:rPr>
          <w:sz w:val="19"/>
        </w:rPr>
        <w:t>Qualitative Daten aus Israel und Frankreich; Erkenntnisse zu Identität und Wohlbefinden im Migrationsalter übertragbar</w:t>
      </w:r>
    </w:p>
    <w:p>
      <w:r>
        <w:rPr>
          <w:color w:val="5A7D3A"/>
          <w:sz w:val="18"/>
        </w:rPr>
        <w:t>https://pubmed.ncbi.nlm.nih.gov/42730791/</w:t>
      </w:r>
    </w:p>
    <w:p>
      <w:pPr>
        <w:pStyle w:val="Heading2"/>
      </w:pPr>
      <w:r>
        <w:t>Fettleber und Insulinresistenz: Triglycerid-Glukose-Index mit HR bis 8,27 für Lebererkrankung, biologisches Altern mediert 3–12 %</w:t>
      </w:r>
    </w:p>
    <w:p>
      <w:r>
        <w:rPr>
          <w:i/>
          <w:color w:val="666666"/>
          <w:sz w:val="18"/>
        </w:rPr>
        <w:t>Wang K et al.  ·  Front Endocrinol (Lausanne)  ·  11.08.2026  ·  PMID 42643580</w:t>
      </w:r>
    </w:p>
    <w:p>
      <w:r>
        <w:t>Eine prospektive Kohortenstudie mit 426.831 UK-Biobank-Teilnehmern ohne Fettleber zu Beginn untersuchte Triglycerid-Glukose-Indizes und Leberkrankheitsrisiko über 13,72 Jahre Nachbeobachtung.</w:t>
      </w:r>
    </w:p>
    <w:p>
      <w:r>
        <w:rPr>
          <w:b/>
        </w:rPr>
        <w:t xml:space="preserve">Ergebnis: </w:t>
      </w:r>
      <w:r>
        <w:t>Über den Nachbeobachtungszeitraum traten 6.308 neue Fettleberfälle auf. Alle sechs Triglycerid-Glukose-Adiposität-Composite-Indizes waren signifikant mit erhöhtem Fettleberrisiko assoziiert. Hazard Ratios für höchstes vs. niedrigstes Quartil: TyG-Taillenumfang 8,27 (95%-KI 7,34–9,30), TyG-Taille-Größe-Verhältnis 8,18 (7,24–9,23), TyG-BMI 6,28 (5,62–7,02), TyG-Body-Roundness-Index 7,79 (6,91–8,78). Biologisches Altern (KDM-BA, PhenoAge) vermittelte 3–12 % dieser Assoziationen. Nicht-lineare Beziehungen waren vorhanden (alle p &lt; 0,001).</w:t>
      </w:r>
    </w:p>
    <w:p>
      <w:r>
        <w:rPr>
          <w:b/>
          <w:sz w:val="19"/>
        </w:rPr>
        <w:t xml:space="preserve">Übertragbarkeit: </w:t>
      </w:r>
      <w:r>
        <w:rPr>
          <w:sz w:val="19"/>
        </w:rPr>
        <w:t>UK Biobank mit 426.831 Teilnehmern; Indexe zur Insulinresistenz und Lebererkrankung universal relevant</w:t>
      </w:r>
    </w:p>
    <w:p>
      <w:r>
        <w:rPr>
          <w:color w:val="5A7D3A"/>
          <w:sz w:val="18"/>
        </w:rPr>
        <w:t>https://pubmed.ncbi.nlm.nih.gov/42643580/</w:t>
      </w:r>
    </w:p>
    <w:p>
      <w:pPr>
        <w:pStyle w:val="Heading1"/>
      </w:pPr>
      <w:r>
        <w:t>Aufgenommen am 12.10.2026</w:t>
      </w:r>
    </w:p>
    <w:p>
      <w:pPr>
        <w:pStyle w:val="Heading2"/>
      </w:pPr>
      <w:r>
        <w:t>Motivation, Fähigkeit und Gelegenheit steuern Teilnahme an Altersprogrammen</w:t>
      </w:r>
    </w:p>
    <w:p>
      <w:r>
        <w:rPr>
          <w:i/>
          <w:color w:val="666666"/>
          <w:sz w:val="18"/>
        </w:rPr>
        <w:t>Faizal NA et al.  ·  Front Public Health  ·  25.09.2026  ·  PMID 42857060</w:t>
      </w:r>
    </w:p>
    <w:p>
      <w:r>
        <w:t>Qualitative Analyse mittels Theoretical Domains Framework und COM-B-Modell der Barrieren und Förderfaktoren für die Teilnahme an Active-Ageing-Programmen bei Älteren (50+) in Singapur, basierend auf 28 Interviews.</w:t>
      </w:r>
    </w:p>
    <w:p>
      <w:r>
        <w:rPr>
          <w:b/>
        </w:rPr>
        <w:t xml:space="preserve">Ergebnis: </w:t>
      </w:r>
      <w:r>
        <w:t>Motivation (Wissen, Wohlbefinden, digitale Fähigkeiten) war zentral, wurde aber durch Gesundheitsbedenken und körperliche Beschwerden, Technologie-Ängstlichkeit, Gedächtnisprobleme und sprachliche Barrieren gehemmt. Umweltfaktoren (Zeitverfügbarkeit, geografische Erreichbarkeit) und soziale Unterstützung (Familienermutigung) waren entscheidend. Ansatz zeigt, wie TDF und COM-B Intervention gestalten können.</w:t>
      </w:r>
    </w:p>
    <w:p>
      <w:r>
        <w:rPr>
          <w:b/>
          <w:sz w:val="19"/>
        </w:rPr>
        <w:t xml:space="preserve">Übertragbarkeit: </w:t>
      </w:r>
      <w:r>
        <w:rPr>
          <w:sz w:val="19"/>
        </w:rPr>
        <w:t>Singapur, Sozialdemokratie, digitale Versorgung, teilweise auf Deutschland übertragbar</w:t>
      </w:r>
    </w:p>
    <w:p>
      <w:r>
        <w:rPr>
          <w:color w:val="5A7D3A"/>
          <w:sz w:val="18"/>
        </w:rPr>
        <w:t>https://pubmed.ncbi.nlm.nih.gov/42857060/</w:t>
      </w:r>
    </w:p>
    <w:p>
      <w:pPr>
        <w:pStyle w:val="Heading2"/>
      </w:pPr>
      <w:r>
        <w:t>WHO-ICOPE-Ansatz für altersgerechte Primärversorgung in Portugal</w:t>
      </w:r>
    </w:p>
    <w:p>
      <w:r>
        <w:rPr>
          <w:i/>
          <w:color w:val="666666"/>
          <w:sz w:val="18"/>
        </w:rPr>
        <w:t>Vidinha Pereira AL et al.  ·  Front Public Health  ·  25.09.2026  ·  PMID 42856688</w:t>
      </w:r>
    </w:p>
    <w:p>
      <w:r>
        <w:t>Qualitative Analyse der Anpassungsfähigkeit des portugiesischen Gesundheitssystems an die alternde Bevölkerung und des Potenzials des WHO-ICOPE-Rahmens (Integrated Care for Older People) für die Primärversorgung.</w:t>
      </w:r>
    </w:p>
    <w:p>
      <w:r>
        <w:rPr>
          <w:b/>
        </w:rPr>
        <w:t xml:space="preserve">Ergebnis: </w:t>
      </w:r>
      <w:r>
        <w:t>Das portugiesische Gesundheitssystem, ursprünglich auf Mutter-Kind-Gesundheit ausgerichtet, zeigt Schwächen bei der Versorgung älterer Menschen mit Multimorbidität und Gebrechlichkeit. Der WHO-ICOPE-Ansatz wird als adaptierbar und skalierbar beschrieben, birgt aber Implementierungshürden durch Zeitmangel und mangelnde personelle und finanzielle Ressourcen. Pilot-Feldarbeit läuft zur Bewertung der Machbarkeit im portugiesischen Kontext.</w:t>
      </w:r>
    </w:p>
    <w:p>
      <w:r>
        <w:rPr>
          <w:b/>
          <w:sz w:val="19"/>
        </w:rPr>
        <w:t xml:space="preserve">Übertragbarkeit: </w:t>
      </w:r>
      <w:r>
        <w:rPr>
          <w:sz w:val="19"/>
        </w:rPr>
        <w:t>Portugal, südeuropäisches Sozialversicherungssystem, vergleichbare geriatrische Versorgungsfragen</w:t>
      </w:r>
    </w:p>
    <w:p>
      <w:r>
        <w:rPr>
          <w:color w:val="5A7D3A"/>
          <w:sz w:val="18"/>
        </w:rPr>
        <w:t>https://pubmed.ncbi.nlm.nih.gov/42856688/</w:t>
      </w:r>
    </w:p>
    <w:p>
      <w:pPr>
        <w:pStyle w:val="Heading2"/>
      </w:pPr>
      <w:r>
        <w:t>Markov-Modelle vorhersagen qualitätsadjustierte Lebenserwartung nach Strahlentherapie</w:t>
      </w:r>
    </w:p>
    <w:p>
      <w:r>
        <w:rPr>
          <w:i/>
          <w:color w:val="666666"/>
          <w:sz w:val="18"/>
        </w:rPr>
        <w:t>Tattenberg S et al.  ·  Med Phys  ·  Okt. 2026  ·  PMID 42837329</w:t>
      </w:r>
    </w:p>
    <w:p>
      <w:r>
        <w:t>Klinische Validierungsstudie eines Markov-Modells zur Simulation der lebenslangen qualitätsadjustierten Lebenserwartung (QALE) bei 148 Kopf-Hals-Krebspatienten nach Radiotherapie, inklusiv Tumorrezidiv, Toxizität, Fernmetastasen, Sekundärkarzinome und Sterblichkeit.</w:t>
      </w:r>
    </w:p>
    <w:p>
      <w:r>
        <w:rPr>
          <w:b/>
        </w:rPr>
        <w:t xml:space="preserve">Ergebnis: </w:t>
      </w:r>
      <w:r>
        <w:t>Lokoregionale Kontrolle in 94,4% der Simulationen vs. 89,9% klinisch (gute Übereinstimmung). Sterblichkeit mit Lokoregionalversagen 4,9% vs. 5,4% klinisch. Sekundärkarzinomrate 13,5%. Simulierte Lebenserwartung 76,5 ± 11,6 Jahre, qualitätsadjustiert 74,3 ± 11,0 QALY. Modell validiert für prospektive Vorhersagen und Vergleiche zwischen Patientenpopulationen.</w:t>
      </w:r>
    </w:p>
    <w:p>
      <w:r>
        <w:rPr>
          <w:b/>
          <w:sz w:val="19"/>
        </w:rPr>
        <w:t xml:space="preserve">Übertragbarkeit: </w:t>
      </w:r>
      <w:r>
        <w:rPr>
          <w:sz w:val="19"/>
        </w:rPr>
        <w:t>Methodische Innovation, Kohortendaten USA, QALE-Ansatz auf europäische Versorgung übertragbar</w:t>
      </w:r>
    </w:p>
    <w:p>
      <w:r>
        <w:rPr>
          <w:color w:val="5A7D3A"/>
          <w:sz w:val="18"/>
        </w:rPr>
        <w:t>https://pubmed.ncbi.nlm.nih.gov/42837329/</w:t>
      </w:r>
    </w:p>
    <w:p>
      <w:pPr>
        <w:pStyle w:val="Heading2"/>
      </w:pPr>
      <w:r>
        <w:t>Gebrechlichkeit und Depression lähmen Kognition bei Paaren langfristig</w:t>
      </w:r>
    </w:p>
    <w:p>
      <w:r>
        <w:rPr>
          <w:i/>
          <w:color w:val="666666"/>
          <w:sz w:val="18"/>
        </w:rPr>
        <w:t>Wu H et al.  ·  Psychiatry Res  ·  18.09.2026  ·  PMID 42828818</w:t>
      </w:r>
    </w:p>
    <w:p>
      <w:r>
        <w:t>Kohortenstudie an 5.828 Ehepaaren aus der China Health and Retirement Longitudinal Study (2011–2020) zur Analyse gemeinsamer Frailty- und Depressions-Trajektorien und ihrer Assoziation mit kognitiver Leistung über Zeit.</w:t>
      </w:r>
    </w:p>
    <w:p>
      <w:r>
        <w:rPr>
          <w:b/>
        </w:rPr>
        <w:t xml:space="preserve">Ergebnis: </w:t>
      </w:r>
      <w:r>
        <w:t>Vier distinct Multitrajectory-Gruppen identifiziert. Innerhalb von Paaren korrelierte kognitiver Verfall (r = 0,567, p &lt; 0,001). Alle Trajektoriengruppen außer der stabilen (G1) zeigten deutlich schlechtere beidseitige Kognition (p &lt; 0,001). Frauen in progressiver Frailty-Depression-Gruppe (G3) zeigten jährlichen kognitiven Rückgang von 0,125 Einheiten extra (p &lt; 0,001), Männer in G4 von 0,288 Einheiten/Jahr (p &lt; 0,001).</w:t>
      </w:r>
    </w:p>
    <w:p>
      <w:r>
        <w:rPr>
          <w:b/>
          <w:sz w:val="19"/>
        </w:rPr>
        <w:t xml:space="preserve">Übertragbarkeit: </w:t>
      </w:r>
      <w:r>
        <w:rPr>
          <w:sz w:val="19"/>
        </w:rPr>
        <w:t>China, Sozialversicherungssystem unterscheidet sich, Ergebnis zu Gebrechlichkeit-Depression-Kognition-Triaden übertragbar</w:t>
      </w:r>
    </w:p>
    <w:p>
      <w:r>
        <w:rPr>
          <w:color w:val="5A7D3A"/>
          <w:sz w:val="18"/>
        </w:rPr>
        <w:t>https://pubmed.ncbi.nlm.nih.gov/42828818/</w:t>
      </w:r>
    </w:p>
    <w:p>
      <w:pPr>
        <w:pStyle w:val="Heading2"/>
      </w:pPr>
      <w:r>
        <w:t>Räumliche Versorgungsgerechtigkeit für Altenpflege muss optimiert werden</w:t>
      </w:r>
    </w:p>
    <w:p>
      <w:r>
        <w:rPr>
          <w:i/>
          <w:color w:val="666666"/>
          <w:sz w:val="18"/>
        </w:rPr>
        <w:t>Chen X et al.  ·  Front Public Health  ·  18.09.2026  ·  PMID 42827439</w:t>
      </w:r>
    </w:p>
    <w:p>
      <w:r>
        <w:t>Raumanalytische Studie der Verteilung von Altenpflegeeinrichtungen in Guangzhou (China) unter Verwendung von Nearest-Neighbor-Index, Kernel-Density-Analyse, Netzwerk-Erreichbarkeit und Angebots-Nachfrage-Matching-Modellen.</w:t>
      </w:r>
    </w:p>
    <w:p>
      <w:r>
        <w:rPr>
          <w:b/>
        </w:rPr>
        <w:t xml:space="preserve">Ergebnis: </w:t>
      </w:r>
      <w:r>
        <w:t>Nachfrage und Angebot an Altenpflegefazilitäten zeigen starke räumliche Clusterung mit zentralem Versorgungskern. Gesamterreichbarkeit relativ hoch, aber mit Zentrum-Peripherie-Gefälle. Ressourcenallokation insgesamt angemessen, aber regionale Disparitäten bleiben. Empfehlung: Weiterer Ausbau zur Ausbalancierung der Zugänglichkeit.</w:t>
      </w:r>
    </w:p>
    <w:p>
      <w:r>
        <w:rPr>
          <w:b/>
          <w:sz w:val="19"/>
        </w:rPr>
        <w:t xml:space="preserve">Übertragbarkeit: </w:t>
      </w:r>
      <w:r>
        <w:rPr>
          <w:sz w:val="19"/>
        </w:rPr>
        <w:t>China, andere Finanzierungsstruktur, Methoden zur Disparitätenmessung übertragbar</w:t>
      </w:r>
    </w:p>
    <w:p>
      <w:r>
        <w:rPr>
          <w:color w:val="5A7D3A"/>
          <w:sz w:val="18"/>
        </w:rPr>
        <w:t>https://pubmed.ncbi.nlm.nih.gov/42827439/</w:t>
      </w:r>
    </w:p>
    <w:p>
      <w:pPr>
        <w:pStyle w:val="Heading2"/>
      </w:pPr>
      <w:r>
        <w:t>Langzeitverläufe von Gedächtnis und Einsamkeit prägen Wahrnehmung des Alterns</w:t>
      </w:r>
    </w:p>
    <w:p>
      <w:r>
        <w:rPr>
          <w:i/>
          <w:color w:val="666666"/>
          <w:sz w:val="18"/>
        </w:rPr>
        <w:t>Koch J et al.  ·  J Gerontol B Psychol Sci Soc Sci  ·  07.10.2026  ·  PMID 42625387</w:t>
      </w:r>
    </w:p>
    <w:p>
      <w:r>
        <w:t>Longitudinale Studie über 9 Jahre an 753 Berliner Älteren (61–81 Jahre zu Baseline), in der körperliche Gesundheit, Kognition und Einsamkeit als Prädiktoren für die subjektive Wahrnehmung altersbezogener Veränderungen untersucht wurden.</w:t>
      </w:r>
    </w:p>
    <w:p>
      <w:r>
        <w:rPr>
          <w:b/>
        </w:rPr>
        <w:t xml:space="preserve">Ergebnis: </w:t>
      </w:r>
      <w:r>
        <w:t>Bessere Baseline-Gedächtnisleistung (Recall) war mit weniger wahrgenommenen Altersverlusten assoziiert. Steilere Gedächtnisverschlechterung und höhere Morbidität korrelierte mit stärkerer Wahrnehmung von Verlusten. Höhere Einsamkeit war mit mehr wahrgenommenen Verlusten und weniger wahrgenommenen Gewinnen verbunden. Verarbeitungsgeschwindigkeit, Arbeitsgedächtnis, Hör- und Sehvermögen zeigten keine signifikanten Assoziationen.</w:t>
      </w:r>
    </w:p>
    <w:p>
      <w:r>
        <w:rPr>
          <w:b/>
          <w:sz w:val="19"/>
        </w:rPr>
        <w:t xml:space="preserve">Übertragbarkeit: </w:t>
      </w:r>
      <w:r>
        <w:rPr>
          <w:sz w:val="19"/>
        </w:rPr>
        <w:t>Deutsche Studie mit Berliner Probanden, vergleichbare Dokumentation und Messinstrumente</w:t>
      </w:r>
    </w:p>
    <w:p>
      <w:r>
        <w:rPr>
          <w:color w:val="5A7D3A"/>
          <w:sz w:val="18"/>
        </w:rPr>
        <w:t>https://pubmed.ncbi.nlm.nih.gov/42625387/</w:t>
      </w:r>
    </w:p>
    <w:p>
      <w:pPr>
        <w:pStyle w:val="Heading1"/>
      </w:pPr>
      <w:r>
        <w:t>Aufgenommen am 11.10.2026</w:t>
      </w:r>
    </w:p>
    <w:p>
      <w:pPr>
        <w:pStyle w:val="Heading2"/>
      </w:pPr>
      <w:r>
        <w:t>Frailty-Assessment verbessert Risikostratifizierung bei rekonstruktiver Kopf-Hals-Chirurgie</w:t>
      </w:r>
    </w:p>
    <w:p>
      <w:r>
        <w:rPr>
          <w:i/>
          <w:color w:val="666666"/>
          <w:sz w:val="18"/>
        </w:rPr>
        <w:t>Tee JW et al.  ·  Microsurgery  ·  Okt. 2026  ·  PMID 42855949</w:t>
      </w:r>
    </w:p>
    <w:p>
      <w:r>
        <w:t>Retrospektive Kohortenstudie mit 406 Patienten, die sich einer Fibula-Free-Flap-Rekonstruktion unterzogen, untersuchte den Wert des modifizierten Frailty-Index (mFI-5) zur Vorhersage perioperativer Komplikationen.</w:t>
      </w:r>
    </w:p>
    <w:p>
      <w:r>
        <w:rPr>
          <w:b/>
        </w:rPr>
        <w:t xml:space="preserve">Ergebnis: </w:t>
      </w:r>
      <w:r>
        <w:t>Der mFI-5 war ein stärkerer Prädiktor für Morbidität als das chronologische Alter. Patienten mit mFI-5=1 (adjustierte Odds Ratio 1,84; 95%-KI 1,01–3,47) und mFI-5=2 (aOR 3,45; 95%-KI 1,38–8,57) zeigten signifikant erhöhtes Risiko für medizinische Komplikationen. Ein mFI-5=2 war auch unabhängiger Prädiktor für chirurgische Komplikationen (aOR 2,27; 95%-KI 1,00–5,43).</w:t>
      </w:r>
    </w:p>
    <w:p>
      <w:r>
        <w:rPr>
          <w:b/>
          <w:sz w:val="19"/>
        </w:rPr>
        <w:t xml:space="preserve">Übertragbarkeit: </w:t>
      </w:r>
      <w:r>
        <w:rPr>
          <w:sz w:val="19"/>
        </w:rPr>
        <w:t>Deutschland – Klinikdaten (ACS-NSQIP), Frailty-Assessment etabliert im deutschsprachigen Raum.</w:t>
      </w:r>
    </w:p>
    <w:p>
      <w:r>
        <w:rPr>
          <w:color w:val="5A7D3A"/>
          <w:sz w:val="18"/>
        </w:rPr>
        <w:t>https://pubmed.ncbi.nlm.nih.gov/42855949/</w:t>
      </w:r>
    </w:p>
    <w:p>
      <w:pPr>
        <w:pStyle w:val="Heading2"/>
      </w:pPr>
      <w:r>
        <w:t>Gesundheitskompetenz fördert erfolgreiches Altern bei älteren Ägyptern</w:t>
      </w:r>
    </w:p>
    <w:p>
      <w:r>
        <w:rPr>
          <w:i/>
          <w:color w:val="666666"/>
          <w:sz w:val="18"/>
        </w:rPr>
        <w:t>Ibrahim HS et al.  ·  BMC Public Health  ·  09.10.2026  ·  PMID 42855688</w:t>
      </w:r>
    </w:p>
    <w:p>
      <w:r>
        <w:t>Querschnittvergleichsstudie mit 246 Teilnehmern (123 mit chronischen Erkrankungen, 123 gesund), alle ≥65 Jahre, untersuchte den Zusammenhang zwischen Gesundheitskompetenz (Health Literacy) und erfolgreichem Altern (Successful Aging).</w:t>
      </w:r>
    </w:p>
    <w:p>
      <w:r>
        <w:rPr>
          <w:b/>
        </w:rPr>
        <w:t xml:space="preserve">Ergebnis: </w:t>
      </w:r>
      <w:r>
        <w:t>Patienten zeigten signifikant niedrigere Gesundheitskompetenz- und Erfolgreiches-Altern-Scores als Kontrollen (p&lt;0,001). Gesundheitskompetenz war positiv mit erfolgreichem Altern korreliert (r=0,612, p&lt;0,001) und blieb der stärkste unabhängige Prädiktor in der Regressionsanalyse. Höhere Bildung und Einkommen verbesserten erfolgreiches Altern; Alter, ländliche Wohnorte und Rauchen beeinträchtigten es.</w:t>
      </w:r>
    </w:p>
    <w:p>
      <w:r>
        <w:rPr>
          <w:b/>
          <w:sz w:val="19"/>
        </w:rPr>
        <w:t xml:space="preserve">Übertragbarkeit: </w:t>
      </w:r>
      <w:r>
        <w:rPr>
          <w:sz w:val="19"/>
        </w:rPr>
        <w:t>Ägypten – Übertragbarkeit begrenzt durch unterschiedliche Gesundheitssysteme und Sozialversicherung.</w:t>
      </w:r>
    </w:p>
    <w:p>
      <w:r>
        <w:rPr>
          <w:color w:val="5A7D3A"/>
          <w:sz w:val="18"/>
        </w:rPr>
        <w:t>https://pubmed.ncbi.nlm.nih.gov/42855688/</w:t>
      </w:r>
    </w:p>
    <w:p>
      <w:pPr>
        <w:pStyle w:val="Heading2"/>
      </w:pPr>
      <w:r>
        <w:t>Altersgerechte Versorgung und Wellness in Zhejiang: räumlich-zeitliche Entwicklung</w:t>
      </w:r>
    </w:p>
    <w:p>
      <w:r>
        <w:rPr>
          <w:i/>
          <w:color w:val="666666"/>
          <w:sz w:val="18"/>
        </w:rPr>
        <w:t>Qin S et al.  ·  Inquiry  ·  09.10.2026  ·  PMID 42853239</w:t>
      </w:r>
    </w:p>
    <w:p>
      <w:r>
        <w:t>Bewertungsstudie mit Entropie-Gewichtungsmethode analysierte räumlich-zeitliche Muster der Eignung älterenbezogener Versorgung und Wellness (SECW) in 11 Präfekturen Zhejangs 2014–2023 anhand von natürlichen Ressourcen, sozialen Ressourcen und sozialem Unterstützungsindex.</w:t>
      </w:r>
    </w:p>
    <w:p>
      <w:r>
        <w:rPr>
          <w:b/>
        </w:rPr>
        <w:t xml:space="preserve">Ergebnis: </w:t>
      </w:r>
      <w:r>
        <w:t>Gesamttrend der SECW in Zhejiang war aufsteigend, regionale Disparitäten bestanden fort. Ein Drei-Ebenen-Muster entstand: Hangzhou und Ningbo als Hochwertzentren; Küsten- und Zentralstädte als dynamische mittlere Ebene; Südwestregionen als relativ rückständige dritte Ebene. Moran's I-Analysen offenbarten negative räumliche Autokorrelation, dominiert von "High-Low"- und "Low-High"-Mustern; keine signifikanten Hochwertagglomerationen.</w:t>
      </w:r>
    </w:p>
    <w:p>
      <w:r>
        <w:rPr>
          <w:b/>
          <w:sz w:val="19"/>
        </w:rPr>
        <w:t xml:space="preserve">Übertragbarkeit: </w:t>
      </w:r>
      <w:r>
        <w:rPr>
          <w:sz w:val="19"/>
        </w:rPr>
        <w:t>China – Gesundheitssystem und Regionalstruktur unterscheiden sich von Deutschland; Konzept der Versorgungsgerechtigkeit aber relevant.</w:t>
      </w:r>
    </w:p>
    <w:p>
      <w:r>
        <w:rPr>
          <w:color w:val="5A7D3A"/>
          <w:sz w:val="18"/>
        </w:rPr>
        <w:t>https://pubmed.ncbi.nlm.nih.gov/42853239/</w:t>
      </w:r>
    </w:p>
    <w:p>
      <w:pPr>
        <w:pStyle w:val="Heading2"/>
      </w:pPr>
      <w:r>
        <w:t>Grünflächen schützen vor beschleunigter biologischer Alterung trotz Luftverschmutzung</w:t>
      </w:r>
    </w:p>
    <w:p>
      <w:r>
        <w:rPr>
          <w:i/>
          <w:color w:val="666666"/>
          <w:sz w:val="18"/>
        </w:rPr>
        <w:t>Ma G et al.  ·  Environ Health Perspect  ·  06.10.2026  ·  PMID 42852352</w:t>
      </w:r>
    </w:p>
    <w:p>
      <w:r>
        <w:t>Längsschnittstudie mit 11.760 Erwachsenen (20–65 Jahre) in chinesischer Hochverschmutzungsstadt untersuchte die Auswirkungen von Grünflächen und Luftschadstoffmischung auf biologische Alterungsmuster mittels Klemera-Doubal-Methode.</w:t>
      </w:r>
    </w:p>
    <w:p>
      <w:r>
        <w:rPr>
          <w:b/>
        </w:rPr>
        <w:t xml:space="preserve">Ergebnis: </w:t>
      </w:r>
      <w:r>
        <w:t>Höhere Grünflächenexposition (NDVI 500 m) war mit niedrigeren Chancen für Zugehörigkeit zur beschleunigten Alterungstrajektorie verbunden (OR 0,84; 95%-KI 0,75–0,95). Höhere PM₂,₅-, PM₁₀-, SO₂- und O₃-Expositionen waren mit höheren Chancen für beschleunigte Alterung assoziiert. Die Schadstoffmischung zeigte konsistente positive Assoziation (OR 1,16; 95%-KI 1,08–1,24), dominiert durch O₃ und PM₁₀. Grünflächen-Schutzeffekt wurde zu 25% durch reduzierte Schadstoffexposition vermittelt.</w:t>
      </w:r>
    </w:p>
    <w:p>
      <w:r>
        <w:rPr>
          <w:b/>
          <w:sz w:val="19"/>
        </w:rPr>
        <w:t xml:space="preserve">Übertragbarkeit: </w:t>
      </w:r>
      <w:r>
        <w:rPr>
          <w:sz w:val="19"/>
        </w:rPr>
        <w:t>China – Luftqualität und Grünflächenverfügbarkeit unterscheiden sich von Deutschland; Konzept aber auf deutsche Städte übertragbar.</w:t>
      </w:r>
    </w:p>
    <w:p>
      <w:r>
        <w:rPr>
          <w:color w:val="5A7D3A"/>
          <w:sz w:val="18"/>
        </w:rPr>
        <w:t>https://pubmed.ncbi.nlm.nih.gov/42852352/</w:t>
      </w:r>
    </w:p>
    <w:p>
      <w:pPr>
        <w:pStyle w:val="Heading2"/>
      </w:pPr>
      <w:r>
        <w:t>Regionale Disparitäten zwischen Bevölkerungsalterung und Gesundheitsressourcen in China</w:t>
      </w:r>
    </w:p>
    <w:p>
      <w:r>
        <w:rPr>
          <w:i/>
          <w:color w:val="666666"/>
          <w:sz w:val="18"/>
        </w:rPr>
        <w:t>Liu Q et al.  ·  Front Public Health  ·  23.09.2026  ·  PMID 42845648</w:t>
      </w:r>
    </w:p>
    <w:p>
      <w:r>
        <w:t>Provinziale Analyse (31 Regionen, 2000–2023) untersuchte die zeitlich-räumliche Koordination zwischen Alterungscharakteristiken der Bevölkerung und Kapazität des Gesundheitswesens mittels gekoppelter Koordinationsgradmodelle.</w:t>
      </w:r>
    </w:p>
    <w:p>
      <w:r>
        <w:rPr>
          <w:b/>
        </w:rPr>
        <w:t xml:space="preserve">Ergebnis: </w:t>
      </w:r>
      <w:r>
        <w:t>Chinas Alterungskoeffizient stieg von 7,0% (2000) auf 14,9% (2023). Die nationale Koordination verbesserte sich über den Zeitraum. Regionale Disparitäten blieben jedoch stark: Shandong und Jiangsu erreichten höchste Koordinationsklasse (D≥0,60), während Tibet und Qinghai in der niedrigsten Klasse blieben (D&lt;0,20). Der Variationskoeffizient der provinzialen Alterungskoeffizienten sank nur von 0,41 auf 0,38.</w:t>
      </w:r>
    </w:p>
    <w:p>
      <w:r>
        <w:rPr>
          <w:b/>
          <w:sz w:val="19"/>
        </w:rPr>
        <w:t xml:space="preserve">Übertragbarkeit: </w:t>
      </w:r>
      <w:r>
        <w:rPr>
          <w:sz w:val="19"/>
        </w:rPr>
        <w:t>China – Systeme und Ressourcenlage unterscheiden sich erheblich von Deutschland, Einsichten für Versorgungsplanung begrenzt übertragbar.</w:t>
      </w:r>
    </w:p>
    <w:p>
      <w:r>
        <w:rPr>
          <w:color w:val="5A7D3A"/>
          <w:sz w:val="18"/>
        </w:rPr>
        <w:t>https://pubmed.ncbi.nlm.nih.gov/42845648/</w:t>
      </w:r>
    </w:p>
    <w:p>
      <w:pPr>
        <w:pStyle w:val="Heading2"/>
      </w:pPr>
      <w:r>
        <w:t>Add CAPS-Protokoll: kognitives, physisches und Hörvermögen in der Midlife-Phase</w:t>
      </w:r>
    </w:p>
    <w:p>
      <w:r>
        <w:rPr>
          <w:i/>
          <w:color w:val="666666"/>
          <w:sz w:val="18"/>
        </w:rPr>
        <w:t>Aiello AE et al.  ·  J Gerontol B Psychol Sci Soc Sci  ·  01.10.2026  ·  PMID 42837504</w:t>
      </w:r>
    </w:p>
    <w:p>
      <w:r>
        <w:t>Methodenstudie zur Implementierung umfassender kognitiver, physischer und sensorischer Funktionstests (Add CAPS) bei 6.073 Personen durchschnittlich 44 Jahre alt in der Wave VI der Add Health Longitudinalstudie.</w:t>
      </w:r>
    </w:p>
    <w:p>
      <w:r>
        <w:rPr>
          <w:b/>
        </w:rPr>
        <w:t xml:space="preserve">Ergebnis: </w:t>
      </w:r>
      <w:r>
        <w:t>Antwortquoten betrugen ~85% für digitale kognitive Tests und ~94% für persönlich durchgeführte Tests. Jüngere Teilnehmende und solche mit höherer Bildung zeigten bessere kognitive Leistung. Männliche, ältere und weniger gebildete Teilnehmende hatten schlechteres Hörvermögen. Keine Altersunterschiede in der Handgriffstärke, aber Variation nach Bildung. Selbstberichtete kognitive und physische Schwierigkeiten waren häufig.</w:t>
      </w:r>
    </w:p>
    <w:p>
      <w:r>
        <w:rPr>
          <w:b/>
          <w:sz w:val="19"/>
        </w:rPr>
        <w:t xml:space="preserve">Übertragbarkeit: </w:t>
      </w:r>
      <w:r>
        <w:rPr>
          <w:sz w:val="19"/>
        </w:rPr>
        <w:t>USA – Add Health ist US-Kohortenstudie; Übertragung auf Deutschland eingeschränkt durch andere Altersstruktur und Versicherungssystem.</w:t>
      </w:r>
    </w:p>
    <w:p>
      <w:r>
        <w:rPr>
          <w:color w:val="5A7D3A"/>
          <w:sz w:val="18"/>
        </w:rPr>
        <w:t>https://pubmed.ncbi.nlm.nih.gov/42837504/</w:t>
      </w:r>
    </w:p>
    <w:p>
      <w:pPr>
        <w:pStyle w:val="Heading1"/>
      </w:pPr>
      <w:r>
        <w:t>Aufgenommen am 10.10.2026</w:t>
      </w:r>
    </w:p>
    <w:p>
      <w:pPr>
        <w:pStyle w:val="Heading2"/>
      </w:pPr>
      <w:r>
        <w:t>Aufwärts-Mobilität verzögert funktionalen Decline im Alter</w:t>
      </w:r>
    </w:p>
    <w:p>
      <w:r>
        <w:rPr>
          <w:i/>
          <w:color w:val="666666"/>
          <w:sz w:val="18"/>
        </w:rPr>
        <w:t>Guo L et al.  ·  J Glob Health  ·  09.10.2026  ·  PMID 42852608</w:t>
      </w:r>
    </w:p>
    <w:p>
      <w:r>
        <w:t>Harmonisierte Analyse von 100.362 Personen über 50 Jahren aus fünf Ländern (China, USA, Europa, Südkorea, Mexiko) zur Assoziation zwischen intergenerationaler Bildungsmobilität und intrinsischer Kapazität (kognitiv, Motorik, Vitalität, Sinne, psychisch).</w:t>
      </w:r>
    </w:p>
    <w:p>
      <w:r>
        <w:rPr>
          <w:b/>
        </w:rPr>
        <w:t xml:space="preserve">Ergebnis: </w:t>
      </w:r>
      <w:r>
        <w:t>Aufwärts-Mobilität korreliert mit höherer intrinsischer Kapazität (gepooltes β = 0,25; 95%-KI 0,24–0,26; p &lt; 0,001) und verzögert den altersbedingten Funktionsverlust in China, Europa, Südkorea und Mexiko signifikant. USA zeigt Ausnahme: Mobilität erhöht Baseline-Kapazität, aber nicht die Verlaufsrate. Befund unterstreicht Kontext-Abhängigkeit sozialer Determinanten.</w:t>
      </w:r>
    </w:p>
    <w:p>
      <w:r>
        <w:rPr>
          <w:b/>
          <w:sz w:val="19"/>
        </w:rPr>
        <w:t xml:space="preserve">Übertragbarkeit: </w:t>
      </w:r>
      <w:r>
        <w:rPr>
          <w:sz w:val="19"/>
        </w:rPr>
        <w:t>Europäische Länder inkludiert, aber Transferbarkeit auf Deutschland durch unterschiedliche Bildungs- und Sozialsysteme begrenzt.</w:t>
      </w:r>
    </w:p>
    <w:p>
      <w:r>
        <w:rPr>
          <w:color w:val="5A7D3A"/>
          <w:sz w:val="18"/>
        </w:rPr>
        <w:t>https://pubmed.ncbi.nlm.nih.gov/42852608/</w:t>
      </w:r>
    </w:p>
    <w:p>
      <w:pPr>
        <w:pStyle w:val="Heading2"/>
      </w:pPr>
      <w:r>
        <w:t>Zahnpflege-Inanspruchnahme und kognitiver Decline im Alter: 14-Jahr-Längsschnitt</w:t>
      </w:r>
    </w:p>
    <w:p>
      <w:r>
        <w:rPr>
          <w:i/>
          <w:color w:val="666666"/>
          <w:sz w:val="18"/>
        </w:rPr>
        <w:t>Jung YS et al.  ·  Front Public Health  ·  24.09.2026  ·  PMID 42851369</w:t>
      </w:r>
    </w:p>
    <w:p>
      <w:r>
        <w:t>Trajektorien-Analyse zahnärztlicher Inanspruchnahme über 14 Jahre (Health and Retirement Study, n = 14.599, ≥ 50 Jahre) und Assoziation mit kognitiver Leistung (27-Punkte-Score), mit Mediation durch Selbst-Gesundheit und ADL-Einschränkungen.</w:t>
      </w:r>
    </w:p>
    <w:p>
      <w:r>
        <w:rPr>
          <w:b/>
        </w:rPr>
        <w:t xml:space="preserve">Ergebnis: </w:t>
      </w:r>
      <w:r>
        <w:t>Drei Trajektorien identifiziert: Persistently High (53,3%), Decreasing (14,5%), Persistent Low (32,2%). Vs. Persistent High zeigte Persistent Low schnelleren kognitiven Decline (β = -0,107 pro 2-Jahr-Welle, 95%-KI -0,133 bis -0,081; p &lt; 0,0001), entsprechend 0,75 zusätzlichen Punkten über 14 Jahre. ADL-Verschlechterung mediiert 9,3–11,6% der Assoziation. Kausale Inferenz nicht möglich.</w:t>
      </w:r>
    </w:p>
    <w:p>
      <w:r>
        <w:rPr>
          <w:b/>
          <w:sz w:val="19"/>
        </w:rPr>
        <w:t xml:space="preserve">Übertragbarkeit: </w:t>
      </w:r>
      <w:r>
        <w:rPr>
          <w:sz w:val="19"/>
        </w:rPr>
        <w:t>US-Kohorte (Health and Retirement Study), Funktionsverschlechterung als Endpunkt systemunabhängig relevant; deutsche Übertragung mit Vorbehalten zur Gesundheitssystem-spezifität.</w:t>
      </w:r>
    </w:p>
    <w:p>
      <w:r>
        <w:rPr>
          <w:color w:val="5A7D3A"/>
          <w:sz w:val="18"/>
        </w:rPr>
        <w:t>https://pubmed.ncbi.nlm.nih.gov/42851369/</w:t>
      </w:r>
    </w:p>
    <w:p>
      <w:pPr>
        <w:pStyle w:val="Heading2"/>
      </w:pPr>
      <w:r>
        <w:t>Fettmasse-zu-Magermasse-Verhältnis im Alter: Perzentil-Kurven aus kanadischer Längsschnittstudie</w:t>
      </w:r>
    </w:p>
    <w:p>
      <w:r>
        <w:rPr>
          <w:i/>
          <w:color w:val="666666"/>
          <w:sz w:val="18"/>
        </w:rPr>
        <w:t>Kim C et al.  ·  J Cachexia Sarcopenia Muscle  ·  Okt. 2026  ·  PMID 42850807</w:t>
      </w:r>
    </w:p>
    <w:p>
      <w:r>
        <w:t>Entwicklung alters- und geschlechtsspezifischer FM/FFM-Perzentil-Kurven (1. bis 99. Perzentil) aus 28.791 Personen der Canadian Longitudinal Study on Aging (DXA-Messungen), um sarkopene Adipositas zu identifizieren.</w:t>
      </w:r>
    </w:p>
    <w:p>
      <w:r>
        <w:rPr>
          <w:b/>
        </w:rPr>
        <w:t xml:space="preserve">Ergebnis: </w:t>
      </w:r>
      <w:r>
        <w:t>Bei Männern steigen FM/FFM-Perzentile langsam mit Alter bis 70 Jahre, dann Stabilisierung; bei Frauen höhere Ausgangswerte, schnellerer Anstieg bis 68 Jahre (50. Perzentil: 0,71), dann Rückgang. Männer zeigen 50. Perzentil von 0,42 im Alter 86 Jahren. Kurven zeigen relevante alters- und geschlechtsspezifische Unterschiede für Risikoidentifikation.</w:t>
      </w:r>
    </w:p>
    <w:p>
      <w:r>
        <w:rPr>
          <w:b/>
          <w:sz w:val="19"/>
        </w:rPr>
        <w:t xml:space="preserve">Übertragbarkeit: </w:t>
      </w:r>
      <w:r>
        <w:rPr>
          <w:sz w:val="19"/>
        </w:rPr>
        <w:t>Kanadische Kohorte, ähnliches Gesundheitssystem; Daten direkt auf Deutschland übertragbar.</w:t>
      </w:r>
    </w:p>
    <w:p>
      <w:r>
        <w:rPr>
          <w:color w:val="5A7D3A"/>
          <w:sz w:val="18"/>
        </w:rPr>
        <w:t>https://pubmed.ncbi.nlm.nih.gov/42850807/</w:t>
      </w:r>
    </w:p>
    <w:p>
      <w:pPr>
        <w:pStyle w:val="Heading2"/>
      </w:pPr>
      <w:r>
        <w:t>Vitamin-D-Mangel und Sterblichkeit im Alter: Kohorten-Follow-up und Supplementierungseffekt</w:t>
      </w:r>
    </w:p>
    <w:p>
      <w:r>
        <w:rPr>
          <w:i/>
          <w:color w:val="666666"/>
          <w:sz w:val="18"/>
        </w:rPr>
        <w:t>Israel A et al.  ·  Aging Cell  ·  Okt. 2026  ·  PMID 42850752</w:t>
      </w:r>
    </w:p>
    <w:p>
      <w:r>
        <w:t>Longitudinale Analyse von über 468.500 Personen (israelisches und US-amerikanisches Kohorte) zur Assoziation zwischen Vitamin-D-Status und Alterungs-bezogenen Outcomes über bis zu 10 Jahren, mit Modellierung der Supplementierungs-Modifizierbarkeit.</w:t>
      </w:r>
    </w:p>
    <w:p>
      <w:r>
        <w:rPr>
          <w:b/>
        </w:rPr>
        <w:t xml:space="preserve">Ergebnis: </w:t>
      </w:r>
      <w:r>
        <w:t>Schwerer Vitamin-D-Mangel (&lt; 10 ng/mL vs. &gt; 30 ng/mL) assoziiert mit erhöhter Gesamtsterblichkeit (Israel: HR 2,57, 95%-KI 2,38–2,79; USA: HR 1,59, 95%-KI 1,55–1,63) und Multimorbidität. Supplementierung &gt; 10 ng/mL-Äquivalent reduziert Mortalität dose-abhängig (HR 0,72, 95%-KI 0,68–0,76). Befund unterstützt Vitamin D als modifizierbare Determinante der Alterungsvulnerabilität.</w:t>
      </w:r>
    </w:p>
    <w:p>
      <w:r>
        <w:rPr>
          <w:b/>
          <w:sz w:val="19"/>
        </w:rPr>
        <w:t xml:space="preserve">Übertragbarkeit: </w:t>
      </w:r>
      <w:r>
        <w:rPr>
          <w:sz w:val="19"/>
        </w:rPr>
        <w:t>Israelische Daten vergleichbar mit Deutschland (Gesundheitssystem); US-Ergebnisse mit Vorbehalten; klinische Modifizierbarkeit ist systemunabhängig.</w:t>
      </w:r>
    </w:p>
    <w:p>
      <w:r>
        <w:rPr>
          <w:color w:val="5A7D3A"/>
          <w:sz w:val="18"/>
        </w:rPr>
        <w:t>https://pubmed.ncbi.nlm.nih.gov/42850752/</w:t>
      </w:r>
    </w:p>
    <w:p>
      <w:pPr>
        <w:pStyle w:val="Heading2"/>
      </w:pPr>
      <w:r>
        <w:t>Ernährungsdiversität und Depression bei älteren Landbewohnern in China: dynamische Assoziationen</w:t>
      </w:r>
    </w:p>
    <w:p>
      <w:r>
        <w:rPr>
          <w:i/>
          <w:color w:val="666666"/>
          <w:sz w:val="18"/>
        </w:rPr>
        <w:t>Luohong et al.  ·  BMC Public Health  ·  24.07.2026  ·  PMID 42850599</w:t>
      </w:r>
    </w:p>
    <w:p>
      <w:r>
        <w:t>Latent Class Growth Analysis mit Netzwerk-Analyse (n = 899 ländliche Personen ≥ 60 Jahre, China, 2011–2018) zur Assoziation zwischen Ernährungsdiversitäts-Trajektorien und depressiven Symptomen (CESD-10).</w:t>
      </w:r>
    </w:p>
    <w:p>
      <w:r>
        <w:rPr>
          <w:b/>
        </w:rPr>
        <w:t xml:space="preserve">Ergebnis: </w:t>
      </w:r>
      <w:r>
        <w:t>Zwei Trajektorien: hoch und graduell steigend vs. persistently low. Persistently low-Gruppe zeigte höheres Depressionsrisiko (OR = 0,54, 95%-KI 0,396–0,736), d.h. 46% niedrigeres Risiko bei hoher Diversität. Netzwerk-Intensität unterschied sich signifikant (S = 0,98, p = 0,002). Kernale Symptome variierten zwischen Gruppen. Intervention auf Kernale Symptome empfohlen.</w:t>
      </w:r>
    </w:p>
    <w:p>
      <w:r>
        <w:rPr>
          <w:b/>
          <w:sz w:val="19"/>
        </w:rPr>
        <w:t xml:space="preserve">Übertragbarkeit: </w:t>
      </w:r>
      <w:r>
        <w:rPr>
          <w:sz w:val="19"/>
        </w:rPr>
        <w:t>China; Mechanism (Ernährung–Psyche) ist aber kulturunabhängig; moderate Übertragbarkeit auf Deutschland wegen anderer Ernährungskulturen und Lebensmittel-Verfügbarkeit.</w:t>
      </w:r>
    </w:p>
    <w:p>
      <w:r>
        <w:rPr>
          <w:color w:val="5A7D3A"/>
          <w:sz w:val="18"/>
        </w:rPr>
        <w:t>https://pubmed.ncbi.nlm.nih.gov/42850599/</w:t>
      </w:r>
    </w:p>
    <w:p>
      <w:pPr>
        <w:pStyle w:val="Heading2"/>
      </w:pPr>
      <w:r>
        <w:t>Neurologische Krankheitslast in Italien: Trends 1990–2023</w:t>
      </w:r>
    </w:p>
    <w:p>
      <w:r>
        <w:rPr>
          <w:i/>
          <w:color w:val="666666"/>
          <w:sz w:val="18"/>
        </w:rPr>
        <w:t>Brigo F et al.  ·  Neurol Sci  ·  09.10.2026  ·  PMID 42850460</w:t>
      </w:r>
    </w:p>
    <w:p>
      <w:r>
        <w:t>Analyse der Krankheitslast ausgewählter neurologischer Erkrankungen in Italien über 33 Jahre mittels Global Burden of Disease 2023-Daten (DALY, YLL, YLD).</w:t>
      </w:r>
    </w:p>
    <w:p>
      <w:r>
        <w:rPr>
          <w:b/>
        </w:rPr>
        <w:t xml:space="preserve">Ergebnis: </w:t>
      </w:r>
      <w:r>
        <w:t>Gesamte altersstandardisierte DALY-Raten sanken (EAPC -1,01%, 95%-KI -1,13 bis -0,89). Zerebrovaskuläre und ZNS-Infektionen zeigten größte Reduktionen; Multiple Sklerose, Parkinson, Epilepsie und Motoneuronerkrankung nahmen zu. Geschlechtsspezifische Unterschiede: Migräne, MS, Demenz stärker bei Frauen; Schlaganfall, Parkinson, Hirntumoren bei Männern.</w:t>
      </w:r>
    </w:p>
    <w:p>
      <w:r>
        <w:rPr>
          <w:b/>
          <w:sz w:val="19"/>
        </w:rPr>
        <w:t xml:space="preserve">Übertragbarkeit: </w:t>
      </w:r>
      <w:r>
        <w:rPr>
          <w:sz w:val="19"/>
        </w:rPr>
        <w:t>Italien, europäisches Gesundheitssystem mit vergleichbarer Datenerfassung; Ergebnisse auf Deutschland gut übertragbar.</w:t>
      </w:r>
    </w:p>
    <w:p>
      <w:r>
        <w:rPr>
          <w:color w:val="5A7D3A"/>
          <w:sz w:val="18"/>
        </w:rPr>
        <w:t>https://pubmed.ncbi.nlm.nih.gov/42850460/</w:t>
      </w:r>
    </w:p>
    <w:p>
      <w:pPr>
        <w:pStyle w:val="Heading1"/>
      </w:pPr>
      <w:r>
        <w:t>Aufgenommen am 09.10.2026</w:t>
      </w:r>
    </w:p>
    <w:p>
      <w:pPr>
        <w:pStyle w:val="Heading2"/>
      </w:pPr>
      <w:r>
        <w:t>Pflege-gestützte Intervention für aktives Altern bei migrierten älteren Menschen: Cluster-RCT-Protokoll</w:t>
      </w:r>
    </w:p>
    <w:p>
      <w:r>
        <w:rPr>
          <w:i/>
          <w:color w:val="666666"/>
          <w:sz w:val="18"/>
        </w:rPr>
        <w:t>Chen Z et al.  ·  J Eval Clin Pract  ·  Okt. 2026  ·  PMID 42848871</w:t>
      </w:r>
    </w:p>
    <w:p>
      <w:r>
        <w:t>Cluster-randomisierte Kontrollierte Studie plant Evaluation einer 22-Tage-Pflegeleiter-Intervention (TSAAIP-MOA) bei älteren Migranten mit Kindern in China zur Förderung aktiven Alterns.</w:t>
      </w:r>
    </w:p>
    <w:p>
      <w:r>
        <w:rPr>
          <w:b/>
        </w:rPr>
        <w:t xml:space="preserve">Ergebnis: </w:t>
      </w:r>
      <w:r>
        <w:t>Studienprotokoll: Primäroutcome ist Level aktiven Alterns; Sekundäroutcomes sind Änderungen in intrinsischer Kapazität, Gesundheitskompetenz und sozialer Teilhabe. Datensammlung an T0 (Baseline), T1 (Post-Intervention) und T2 (1 Monat nach Beginn); wiederholte ANOVA geplant. Programm kombiniert Familien- und Gemeinde-Unterstützung mit klinischer Betreuung.</w:t>
      </w:r>
    </w:p>
    <w:p>
      <w:r>
        <w:rPr>
          <w:b/>
          <w:sz w:val="19"/>
        </w:rPr>
        <w:t xml:space="preserve">Übertragbarkeit: </w:t>
      </w:r>
      <w:r>
        <w:rPr>
          <w:sz w:val="19"/>
        </w:rPr>
        <w:t>China-Studie, Protokoll noch nicht abgeschlossen; Konzept sozialer Integration und intrinsischer Kapazität in Versorgung relevant.</w:t>
      </w:r>
    </w:p>
    <w:p>
      <w:r>
        <w:rPr>
          <w:color w:val="5A7D3A"/>
          <w:sz w:val="18"/>
        </w:rPr>
        <w:t>https://pubmed.ncbi.nlm.nih.gov/42848871/</w:t>
      </w:r>
    </w:p>
    <w:p>
      <w:pPr>
        <w:pStyle w:val="Heading2"/>
      </w:pPr>
      <w:r>
        <w:t>Hypertonie-Verlaufsmuster und Gebrechlichkeit: Progressive Hypertonie verstärkt Frailty</w:t>
      </w:r>
    </w:p>
    <w:p>
      <w:r>
        <w:rPr>
          <w:i/>
          <w:color w:val="666666"/>
          <w:sz w:val="18"/>
        </w:rPr>
        <w:t>Pi Y et al.  ·  Geriatr Gerontol Int  ·  Okt. 2026  ·  PMID 42844672</w:t>
      </w:r>
    </w:p>
    <w:p>
      <w:r>
        <w:t>Longitudinale Kohortenstudie an 6.770 Älteren (CHARLS) untersuchte, ob unterschiedliche Hypertonie-Entwicklungsmuster mit späterer Gebrechlichkeit assoziiert sind.</w:t>
      </w:r>
    </w:p>
    <w:p>
      <w:r>
        <w:rPr>
          <w:b/>
        </w:rPr>
        <w:t xml:space="preserve">Ergebnis: </w:t>
      </w:r>
      <w:r>
        <w:t>Gegenüber anhaltend normaler Blutdruck zeigten progressive Hypertonie (β = 0,013; 95 %-KI: 0,006–0,020), remittierende/fluktuierende Hypertonie (β = 0,009; 95 %-KI: 0,003–0,015) und anhaltende Hypertonie (β = 0,008; 95 %-KI: 0,002–0,014) höhere Frailty-Indizes. Systolischer Druck zeigte nichtlineare Assoziation. Cystatin C und CRP vermittelten teilweise den Effekt persistenter Hypertonie auf Gebrechlichkeit.</w:t>
      </w:r>
    </w:p>
    <w:p>
      <w:r>
        <w:rPr>
          <w:b/>
          <w:sz w:val="19"/>
        </w:rPr>
        <w:t xml:space="preserve">Übertragbarkeit: </w:t>
      </w:r>
      <w:r>
        <w:rPr>
          <w:sz w:val="19"/>
        </w:rPr>
        <w:t>Chinesische Kohortenstudie, aber Hypertonie-Gebrechlichkeit-Assoziation mechanistisch universell.</w:t>
      </w:r>
    </w:p>
    <w:p>
      <w:r>
        <w:rPr>
          <w:color w:val="5A7D3A"/>
          <w:sz w:val="18"/>
        </w:rPr>
        <w:t>https://pubmed.ncbi.nlm.nih.gov/42844672/</w:t>
      </w:r>
    </w:p>
    <w:p>
      <w:pPr>
        <w:pStyle w:val="Heading2"/>
      </w:pPr>
      <w:r>
        <w:t>Mikrobiota-Zusammensetzung vorhersagt Entzündung besser als chronologisches Alter</w:t>
      </w:r>
    </w:p>
    <w:p>
      <w:r>
        <w:rPr>
          <w:i/>
          <w:color w:val="666666"/>
          <w:sz w:val="18"/>
        </w:rPr>
        <w:t>Eriksen C et al.  ·  Nat Commun  ·  08.09.2026  ·  PMID 42844264</w:t>
      </w:r>
    </w:p>
    <w:p>
      <w:r>
        <w:t>Analyse von 1.199 Erwachsenen (20–72 Jahre) zeigte, dass Darmmikrobiota-Zusammensetzung mehr Varianz in systemischen Entzündungsmarkern erklärt als Alter und mit Erkrankungsrisiko assoziiert ist.</w:t>
      </w:r>
    </w:p>
    <w:p>
      <w:r>
        <w:rPr>
          <w:b/>
        </w:rPr>
        <w:t xml:space="preserve">Ergebnis: </w:t>
      </w:r>
      <w:r>
        <w:t>Mikrobiota erklärte mehr Varianz als Alter für 97 % der Zytokine und 84 % der physiologischen Variablen. Bacteroides-2-Enterotyp zeigte inflammaging-ähnliches Phänotyp bereits in frühem Erwachsenenalter (bis zu 37 Jahre früher) mit erhöhtem Erkrankungsrisiko (Hazard Ratio 1,21; 95 %-KI: 1,18–1,25). High-Diversity-Enterotyp war mit niedriger Entzündung und reduziertem Risiko assoziiert. Mikrobiota ist ein stärkerer Entzündungskorrelat als chronologisches Alter.</w:t>
      </w:r>
    </w:p>
    <w:p>
      <w:r>
        <w:rPr>
          <w:b/>
          <w:sz w:val="19"/>
        </w:rPr>
        <w:t xml:space="preserve">Übertragbarkeit: </w:t>
      </w:r>
      <w:r>
        <w:rPr>
          <w:sz w:val="19"/>
        </w:rPr>
        <w:t>Dänische Bevölkerungsstudie, Mechanismus altersunabhängig, auf Deutschland übertragbar.</w:t>
      </w:r>
    </w:p>
    <w:p>
      <w:r>
        <w:rPr>
          <w:color w:val="5A7D3A"/>
          <w:sz w:val="18"/>
        </w:rPr>
        <w:t>https://pubmed.ncbi.nlm.nih.gov/42844264/</w:t>
      </w:r>
    </w:p>
    <w:p>
      <w:pPr>
        <w:pStyle w:val="Heading2"/>
      </w:pPr>
      <w:r>
        <w:t>Gebrechlichkeit bei älteren COPD-Patienten vorhersagt Exazerbationen und Klinikaufenthalte</w:t>
      </w:r>
    </w:p>
    <w:p>
      <w:r>
        <w:rPr>
          <w:i/>
          <w:color w:val="666666"/>
          <w:sz w:val="18"/>
        </w:rPr>
        <w:t>Bardakci MI et al.  ·  Colomb Med (Cali)  ·  30.03.2026  ·  PMID 42840874</w:t>
      </w:r>
    </w:p>
    <w:p>
      <w:r>
        <w:t>Querschnittstudie an 112 älteren COPD-Patienten (≥65 Jahre) prüfte, ob Gebrechlichkeit mit Krankheitsschwere, Exazerbationen und Hospitalisierungen korreliert.</w:t>
      </w:r>
    </w:p>
    <w:p>
      <w:r>
        <w:rPr>
          <w:b/>
        </w:rPr>
        <w:t xml:space="preserve">Ergebnis: </w:t>
      </w:r>
      <w:r>
        <w:t>Gebrechlichkeit-Prävalenz 49,1 % (55/112). Signifikante negative Korrelation zwischen FRAIL-Score und FEV1 % (rs −0,695; 95 %-KI: −0,782 bis −0,581; p &lt; 0,001). Positive Korrelationen mit CAT (rs 0,840; p &lt; 0,001) und mMRC (rs 0,733; p &lt; 0,001). Patienten mit höheren FRAIL-Scores hatten signifikant mehr Exazerbationen und Klinikaufenthalte (p &lt; 0,001).</w:t>
      </w:r>
    </w:p>
    <w:p>
      <w:r>
        <w:rPr>
          <w:b/>
          <w:sz w:val="19"/>
        </w:rPr>
        <w:t xml:space="preserve">Übertragbarkeit: </w:t>
      </w:r>
      <w:r>
        <w:rPr>
          <w:sz w:val="19"/>
        </w:rPr>
        <w:t>Türkische Studie, aber FRAIL-Score und COPD-Ergebnis international etabliert.</w:t>
      </w:r>
    </w:p>
    <w:p>
      <w:r>
        <w:rPr>
          <w:color w:val="5A7D3A"/>
          <w:sz w:val="18"/>
        </w:rPr>
        <w:t>https://pubmed.ncbi.nlm.nih.gov/42840874/</w:t>
      </w:r>
    </w:p>
    <w:p>
      <w:pPr>
        <w:pStyle w:val="Heading2"/>
      </w:pPr>
      <w:r>
        <w:t>CKM-spezifischer Aging-Index vorhersagt Mortalität besser als universelle biologische Alter</w:t>
      </w:r>
    </w:p>
    <w:p>
      <w:r>
        <w:rPr>
          <w:i/>
          <w:color w:val="666666"/>
          <w:sz w:val="18"/>
        </w:rPr>
        <w:t>Zhu Z et al.  ·  PLoS Med  ·  06.10.2026  ·  PMID 42837317</w:t>
      </w:r>
    </w:p>
    <w:p>
      <w:r>
        <w:t>Maschinelles Lernen an 6.896 NHANES-Teilnehmern entwickelte einen Cardiovascular-Kidney-Metabolic-spezifischen Aging-Index (CKMAI) zur Risikostratifizierung und Mortalitätsprognose.</w:t>
      </w:r>
    </w:p>
    <w:p>
      <w:r>
        <w:rPr>
          <w:b/>
        </w:rPr>
        <w:t xml:space="preserve">Ergebnis: </w:t>
      </w:r>
      <w:r>
        <w:t>CKMAI übertraf PhenoAge, KDM und CMI in allen Outcomes. Zeit-abhängige AUC für Gesamtmortalität: 0,893 (95 %-KI: 0,851–0,925) nach 3 Jahren, 0,907 (95 %-KI: 0,884–0,927) nach 5 Jahren, 0,890 (95 %-KI: 0,868–0,910) nach 10 Jahren. Schwellwertanalyse identifizierte Inflexionspunkte mit steileren Risikoerhöhungen darunter. Sechs Phänotypen-Cluster; Frailty-Cluster zeigte höchstes Mortalitätsrisiko (HR 11,74; 95 %-KI: 7,85–17,57).</w:t>
      </w:r>
    </w:p>
    <w:p>
      <w:r>
        <w:rPr>
          <w:b/>
          <w:sz w:val="19"/>
        </w:rPr>
        <w:t xml:space="preserve">Übertragbarkeit: </w:t>
      </w:r>
      <w:r>
        <w:rPr>
          <w:sz w:val="19"/>
        </w:rPr>
        <w:t>USA-Daten (NHANES), aber metabolische Pathophysiologie universell, externe Validierung in China.</w:t>
      </w:r>
    </w:p>
    <w:p>
      <w:r>
        <w:rPr>
          <w:color w:val="5A7D3A"/>
          <w:sz w:val="18"/>
        </w:rPr>
        <w:t>https://pubmed.ncbi.nlm.nih.gov/42837317/</w:t>
      </w:r>
    </w:p>
    <w:p>
      <w:pPr>
        <w:pStyle w:val="Heading2"/>
      </w:pPr>
      <w:r>
        <w:t>Chronische Krisen und biologisches Altern: Stress beschleunigt Frailty und funktionalen Verfall</w:t>
      </w:r>
    </w:p>
    <w:p>
      <w:r>
        <w:rPr>
          <w:i/>
          <w:color w:val="666666"/>
          <w:sz w:val="18"/>
        </w:rPr>
        <w:t>Lushchak O et al.  ·  Biogerontology  ·  03.09.2026  ·  PMID 42690451</w:t>
      </w:r>
    </w:p>
    <w:p>
      <w:r>
        <w:t>Perspektivarbeit argumentiert, dass prolongierte Krisen (beispielsweise Krieg) chronische biologische Alterungsprozesse durch Stressachsen-Überaktivierung, Schlafstörung, Entzündung und Sarkopenie beschleunigen.</w:t>
      </w:r>
    </w:p>
    <w:p>
      <w:r>
        <w:rPr>
          <w:b/>
        </w:rPr>
        <w:t xml:space="preserve">Ergebnis: </w:t>
      </w:r>
      <w:r>
        <w:t>Konzeptrahmen verbindet HPA-Achsen-Aktivierung, Glukokortikoid-Dysregulation, ROS-Produktion, zelluläre Seneszenz und Mitochondrien-Dysfunktion mit abdominalem Übergewicht, sarkopener Adipositas, Frailty und funktionalem Verfall unter Krisenbedingungen. Psychisches Wohlbefinden, metabolisches Screening, Muskelrehabilitation sollten integriert bewertet werden statt isoliert; funktionale Fähigkeit ist Leitindikator.</w:t>
      </w:r>
    </w:p>
    <w:p>
      <w:r>
        <w:rPr>
          <w:b/>
          <w:sz w:val="19"/>
        </w:rPr>
        <w:t xml:space="preserve">Übertragbarkeit: </w:t>
      </w:r>
      <w:r>
        <w:rPr>
          <w:sz w:val="19"/>
        </w:rPr>
        <w:t>Ukraine-Fallbeispiel; biologische Mechanismen krisen- und kontextabhängig, aber Prinzipien für Vulnerabilität älterer Menschen universal.</w:t>
      </w:r>
    </w:p>
    <w:p>
      <w:r>
        <w:rPr>
          <w:color w:val="5A7D3A"/>
          <w:sz w:val="18"/>
        </w:rPr>
        <w:t>https://pubmed.ncbi.nlm.nih.gov/42690451/</w:t>
      </w:r>
    </w:p>
    <w:p>
      <w:pPr>
        <w:pStyle w:val="Heading2"/>
      </w:pPr>
      <w:r>
        <w:t>Kognitive Reserve und psychisches Wohlbefinden: Leibesaktivitäten schützen vor Stress im Alter</w:t>
      </w:r>
    </w:p>
    <w:p>
      <w:r>
        <w:rPr>
          <w:i/>
          <w:color w:val="666666"/>
          <w:sz w:val="18"/>
        </w:rPr>
        <w:t>Ordin M et al.  ·  Brain Behav  ·  Sept. 2026  ·  PMID 42687444</w:t>
      </w:r>
    </w:p>
    <w:p>
      <w:r>
        <w:t>Querschnittsstudie an 80 Senioren (65–101 Jahre) in Spanien untersuchte Assoziationen zwischen kognitiver Reserve (Freizeit), psychischem Wohlbefinden und kognitiver Leistung.</w:t>
      </w:r>
    </w:p>
    <w:p>
      <w:r>
        <w:rPr>
          <w:b/>
        </w:rPr>
        <w:t xml:space="preserve">Ergebnis: </w:t>
      </w:r>
      <w:r>
        <w:t>Bei Männern: höhere CRS-Scores (kognitive Reserve) assoziiert mit niedrigerem wahrgenommenem Stress und größerer Einsamkeit. CRS-Scores korreliert mit ausgewählten Aufmerksamkeitsmaßen. Keine signifikante Assoziation zwischen CRS und Gedächtnisspanne. Geschlechtsspezifische Befunde unterschiedlich; Frauen zeigten vergleichbare Muster nicht.</w:t>
      </w:r>
    </w:p>
    <w:p>
      <w:r>
        <w:rPr>
          <w:b/>
          <w:sz w:val="19"/>
        </w:rPr>
        <w:t xml:space="preserve">Übertragbarkeit: </w:t>
      </w:r>
      <w:r>
        <w:rPr>
          <w:sz w:val="19"/>
        </w:rPr>
        <w:t>Spanische Gemeindestudie; kognitive Reserve und psychisches Wohlbefinden altersunabhängig relevant.</w:t>
      </w:r>
    </w:p>
    <w:p>
      <w:r>
        <w:rPr>
          <w:color w:val="5A7D3A"/>
          <w:sz w:val="18"/>
        </w:rPr>
        <w:t>https://pubmed.ncbi.nlm.nih.gov/42687444/</w:t>
      </w:r>
    </w:p>
    <w:p>
      <w:pPr>
        <w:pStyle w:val="Heading1"/>
      </w:pPr>
      <w:r>
        <w:t>Aufgenommen am 08.10.2026</w:t>
      </w:r>
    </w:p>
    <w:p>
      <w:pPr>
        <w:pStyle w:val="Heading2"/>
      </w:pPr>
      <w:r>
        <w:t>Hitzewellen gefährden geriatrische Versorgungspfade – Stresstest zeigt Systemfragmentierung</w:t>
      </w:r>
    </w:p>
    <w:p>
      <w:r>
        <w:rPr>
          <w:i/>
          <w:color w:val="666666"/>
          <w:sz w:val="18"/>
        </w:rPr>
        <w:t>Annweiler C et al.  ·  Geriatr Psychol Neuropsychiatr Vieil  ·  01.09.2026  ·  PMID 42842818</w:t>
      </w:r>
    </w:p>
    <w:p>
      <w:r>
        <w:t>Beobachtungsstudie zu Auswirkungen der Hitzewelle Juni/Juli 2026 auf akute geriatrische Stationen und Rehabilitationseinheiten in Frankreich mit Erfassung von Raumtemperaturen, Kapazitätsbelastung und organisatorischen Anpassungen.</w:t>
      </w:r>
    </w:p>
    <w:p>
      <w:r>
        <w:rPr>
          <w:b/>
        </w:rPr>
        <w:t xml:space="preserve">Ergebnis: </w:t>
      </w:r>
      <w:r>
        <w:t>45,5 % der Stationen meldeten zunächst unerträgliche Patientenzimmertemperaturen, 88,4 % Personalermüdung. Eine Woche später besserten sich die Akutsymptome (tolerable Temperaturen 53,6 % → 100 %, p&lt;0,001; Notaufnahmebelastung 91,1 % → 63,3 %, p&lt;0,001), doch die Downstream-Kapazität blieb kritisch: 87,5 % der Stationen meldeten unzureichende Rehabilitationskapazität, die sich nicht verbesserte (86,7 %, p=0,903). Gekürzte Räume und Geräte reduzierten Hitzekomplikationen. Das Hitzeereignis offenbarte ein bereits fragiles System mit persistenter Versorgungsfragmentierung.</w:t>
      </w:r>
    </w:p>
    <w:p>
      <w:r>
        <w:rPr>
          <w:b/>
          <w:sz w:val="19"/>
        </w:rPr>
        <w:t xml:space="preserve">Übertragbarkeit: </w:t>
      </w:r>
      <w:r>
        <w:rPr>
          <w:sz w:val="19"/>
        </w:rPr>
        <w:t>Frankreich, deutsche Versorgung vergleichbar gefährdet; Klimaresilenz Gesundheitswesen zentrale Strategie</w:t>
      </w:r>
    </w:p>
    <w:p>
      <w:r>
        <w:rPr>
          <w:color w:val="5A7D3A"/>
          <w:sz w:val="18"/>
        </w:rPr>
        <w:t>https://pubmed.ncbi.nlm.nih.gov/42842818/</w:t>
      </w:r>
    </w:p>
    <w:p>
      <w:pPr>
        <w:pStyle w:val="Heading2"/>
      </w:pPr>
      <w:r>
        <w:t>Kohlenhydrat-Fett-Verhältnis positiv mit Gebrechlichkeit assoziiert – Ernährungsempfehlung für Ältere</w:t>
      </w:r>
    </w:p>
    <w:p>
      <w:r>
        <w:rPr>
          <w:i/>
          <w:color w:val="666666"/>
          <w:sz w:val="18"/>
        </w:rPr>
        <w:t>Nanri H et al.  ·  Eur J Nutr  ·  07.10.2026  ·  PMID 42841976</w:t>
      </w:r>
    </w:p>
    <w:p>
      <w:r>
        <w:t>Querschnittstudie an 5.679 älteren Japanern (≥65 Jahre) zur Assoziation des Kohlenhydrat-zu-Fett-Energieverh ältnisses (CFr) mit umfassender Gebrechlichkeit (Kihon-Checklist-Score ≥7) über multivariable logistische Regression mit Stratifizierung nach Proteinzufuhr.</w:t>
      </w:r>
    </w:p>
    <w:p>
      <w:r>
        <w:rPr>
          <w:b/>
        </w:rPr>
        <w:t xml:space="preserve">Ergebnis: </w:t>
      </w:r>
      <w:r>
        <w:t>30,0 % (1.705/5.679) zeigten umfassende Gebrechlichkeit. Adjustierte Odds-Ratios für höchstes CFr-Quartil vs. niedrigstes: 1,92 (95%-KI 1,55–2,38, p&lt;0,001). Dose-Wirkung-Beziehung linear über alle Geschlechter und Proteinzufuhr-Tertile, ohne Effektmodifikation. Höhere Kohlenhydrate bei moderater Fettreduktion assoziiert mit erhöhter Gebrechlichkeitsprä valenz, unabhängig von Proteinmenge.</w:t>
      </w:r>
    </w:p>
    <w:p>
      <w:r>
        <w:rPr>
          <w:b/>
          <w:sz w:val="19"/>
        </w:rPr>
        <w:t xml:space="preserve">Übertragbarkeit: </w:t>
      </w:r>
      <w:r>
        <w:rPr>
          <w:sz w:val="19"/>
        </w:rPr>
        <w:t>Japan, Ernährungsepidemiologie; Qualität beschränkt auf Querschnitt ohne Kausalität</w:t>
      </w:r>
    </w:p>
    <w:p>
      <w:r>
        <w:rPr>
          <w:color w:val="5A7D3A"/>
          <w:sz w:val="18"/>
        </w:rPr>
        <w:t>https://pubmed.ncbi.nlm.nih.gov/42841976/</w:t>
      </w:r>
    </w:p>
    <w:p>
      <w:pPr>
        <w:pStyle w:val="Heading2"/>
      </w:pPr>
      <w:r>
        <w:t>Gebrechlichkeit vorhersagt prolongierte Hospitalisierung und schlechtere Outcomes nach Quadrizeps-Sehnenriss</w:t>
      </w:r>
    </w:p>
    <w:p>
      <w:r>
        <w:rPr>
          <w:i/>
          <w:color w:val="666666"/>
          <w:sz w:val="18"/>
        </w:rPr>
        <w:t>Ozdemir E et al.  ·  Ulus Travma Acil Cerrahi Derg  ·  Okt. 2026  ·  PMID 42841891</w:t>
      </w:r>
    </w:p>
    <w:p>
      <w:r>
        <w:t>Retrospektive multizentrische Kohortenstudie an 67 älteren Patienten (Mittelwert 57,5 Jahre) mit akutem Quadrizeps-Sehnenriss, bewertet mit modifiziertem Frailty Index (mFI-5) und Clinical Frailty Scale (CFS) zur Vorhersage von Aufenthaltsdauer und funktionaler Erholung (Lysholm-Score ≥12 Monate).</w:t>
      </w:r>
    </w:p>
    <w:p>
      <w:r>
        <w:rPr>
          <w:b/>
        </w:rPr>
        <w:t xml:space="preserve">Ergebnis: </w:t>
      </w:r>
      <w:r>
        <w:t>Höhere mFI-5-Scores waren mit prolongierter Hospitalisierungsdauer assoziiert (r=0,404, p&lt;0,001); jeder 1-Punkt-Anstieg sagte 1,26 Tage längeren Aufenthalt voraus (95%-KI 0,61–1,90; R²=0,337). CFS war unabhängig mit schlechterer Erholung verbunden: jeder 1-Punkt-Anstieg entsprach 4,32-Punkt-Reduktion im Lysholm-Score (95%-KI –6,98 bis –1,67; R²=0,163). Höchstes Risiko-Quartil zeigte 16,7× erhöhtes Mortalitätsrisiko.</w:t>
      </w:r>
    </w:p>
    <w:p>
      <w:r>
        <w:rPr>
          <w:b/>
          <w:sz w:val="19"/>
        </w:rPr>
        <w:t xml:space="preserve">Übertragbarkeit: </w:t>
      </w:r>
      <w:r>
        <w:rPr>
          <w:sz w:val="19"/>
        </w:rPr>
        <w:t>Türkei, Orthopädie-Versorgung vergleichbar; geriatrisches Assessment umsetzbar</w:t>
      </w:r>
    </w:p>
    <w:p>
      <w:r>
        <w:rPr>
          <w:color w:val="5A7D3A"/>
          <w:sz w:val="18"/>
        </w:rPr>
        <w:t>https://pubmed.ncbi.nlm.nih.gov/42841891/</w:t>
      </w:r>
    </w:p>
    <w:p>
      <w:pPr>
        <w:pStyle w:val="Heading2"/>
      </w:pPr>
      <w:r>
        <w:t>Biofeedback reduziert Schwindel-Beeinträchtigung im Alltag älterer Menschen</w:t>
      </w:r>
    </w:p>
    <w:p>
      <w:r>
        <w:rPr>
          <w:i/>
          <w:color w:val="666666"/>
          <w:sz w:val="18"/>
        </w:rPr>
        <w:t>Chiara B et al.  ·  Curr Aging Sci  ·  2026  ·  PMID 42841459</w:t>
      </w:r>
    </w:p>
    <w:p>
      <w:r>
        <w:t>Randomisierte kontrollierte Studie zur Wirksamkeit von Biofeedback-Training (Procomp Infinity) bei 190 älteren Ambulanzpatienten (&gt;65 Jahre) mit Schwindel über 3 Monate ohne Auffrischungssitzungen.</w:t>
      </w:r>
    </w:p>
    <w:p>
      <w:r>
        <w:rPr>
          <w:b/>
        </w:rPr>
        <w:t xml:space="preserve">Ergebnis: </w:t>
      </w:r>
      <w:r>
        <w:t>Repeated-ANOVA zeigte signifikante Reduktion der Dizziness-Handicap-Inventory(DHI)-Scores nach 3 Monaten in der Biofeedback-Gruppe; Patienten lernten durch Muskelentspannung und Atemkontrolle, die Symptome zu bewältigen und erlangten Selbstwirksamkeit. Die Intervention reduzierte die funktionalen Auswirkungen von Schwindel und Instabilität im alltäglichen Leben substanziell.</w:t>
      </w:r>
    </w:p>
    <w:p>
      <w:r>
        <w:rPr>
          <w:b/>
          <w:sz w:val="19"/>
        </w:rPr>
        <w:t xml:space="preserve">Übertragbarkeit: </w:t>
      </w:r>
      <w:r>
        <w:rPr>
          <w:sz w:val="19"/>
        </w:rPr>
        <w:t>Italien, Methode kulturübergreifend übertragbar; Effektgröße in Abstract nicht quantifiziert</w:t>
      </w:r>
    </w:p>
    <w:p>
      <w:r>
        <w:rPr>
          <w:color w:val="5A7D3A"/>
          <w:sz w:val="18"/>
        </w:rPr>
        <w:t>https://pubmed.ncbi.nlm.nih.gov/42841459/</w:t>
      </w:r>
    </w:p>
    <w:p>
      <w:pPr>
        <w:pStyle w:val="Heading2"/>
      </w:pPr>
      <w:r>
        <w:t>Beschleunigtes Hirnaltern bei psychiatrischen und neurodegenerativen Störungen quantifiziert</w:t>
      </w:r>
    </w:p>
    <w:p>
      <w:r>
        <w:rPr>
          <w:i/>
          <w:color w:val="666666"/>
          <w:sz w:val="18"/>
        </w:rPr>
        <w:t>Gupta Y et al.  ·  Psychol Med  ·  07.10.2026  ·  PMID 42839301</w:t>
      </w:r>
    </w:p>
    <w:p>
      <w:r>
        <w:t>Lifespan-MRT-Studie an 25.425 Gesunden (Alter 2–95 Jahre) und 3.530 Patienten mit Schizophrenie, Depression, bipolarer Störung, ADHS, Substanzabhängigkeit, Alzheimer und FTD zur Bestimmung eines Brain-Predicted-Age-Difference (brain-PAD).</w:t>
      </w:r>
    </w:p>
    <w:p>
      <w:r>
        <w:rPr>
          <w:b/>
        </w:rPr>
        <w:t xml:space="preserve">Ergebnis: </w:t>
      </w:r>
      <w:r>
        <w:t>Modell erreichte mittleren absoluten Fehler von 5–7 Jahren. Signifikante Erhöhung von Δbrain-PAD bei Schizophrenie (+7,64 Jahre), FTD (+7,61), Alzheimer (+3,24), bipolarer Störung (+2,08), Depression (+2,76) und CSUD (+2,91 Jahre), nicht bei ADHS. Regionale Analysen zeigten gemeinsame und störungsspezifische morphometrische Alterationen. Effekt: Quantitativer Rahmen für Hirnaltern über Störungen hinweg, aber mechanistischer Versorgungsbezug fehlt.</w:t>
      </w:r>
    </w:p>
    <w:p>
      <w:r>
        <w:rPr>
          <w:b/>
          <w:sz w:val="19"/>
        </w:rPr>
        <w:t xml:space="preserve">Übertragbarkeit: </w:t>
      </w:r>
      <w:r>
        <w:rPr>
          <w:sz w:val="19"/>
        </w:rPr>
        <w:t>Deutschland, Forschung; Mechanismus-Biomarker ohne Behandlungsendpunkt – begrenzte geriatrische Relevanz</w:t>
      </w:r>
    </w:p>
    <w:p>
      <w:r>
        <w:rPr>
          <w:color w:val="5A7D3A"/>
          <w:sz w:val="18"/>
        </w:rPr>
        <w:t>https://pubmed.ncbi.nlm.nih.gov/42839301/</w:t>
      </w:r>
    </w:p>
    <w:p>
      <w:pPr>
        <w:pStyle w:val="Heading2"/>
      </w:pPr>
      <w:r>
        <w:t>Dehnen verbessert Gelenkbeweglichkeit älterer Menschen, aber nicht isoliert funktionale Leistung</w:t>
      </w:r>
    </w:p>
    <w:p>
      <w:r>
        <w:rPr>
          <w:i/>
          <w:color w:val="666666"/>
          <w:sz w:val="18"/>
        </w:rPr>
        <w:t>Tenace D et al.  ·  Recenti Prog Med  ·  Okt. 2026  ·  PMID 42831708</w:t>
      </w:r>
    </w:p>
    <w:p>
      <w:r>
        <w:t>Narrative Literaturübersicht (PubMed, Scopus, Cochrane) zu Effektivität statischen, dynamischen Dehnens und propriozeptiver neuromuskulärer Fazilitation auf Beweglichkeit, Steifheit, Schmerz und funktionale Autonomie bei älteren Menschen.</w:t>
      </w:r>
    </w:p>
    <w:p>
      <w:r>
        <w:rPr>
          <w:b/>
        </w:rPr>
        <w:t xml:space="preserve">Ergebnis: </w:t>
      </w:r>
      <w:r>
        <w:t>Evidenz für Dehnen zeigt konsistente Gewinne bei Gelenkbeweglichkeit und Flexibilität; einige Studien berichten günstige Effekte auf wahrgenommene Steifheit und muskuloskelettale Schmerzen. Verbesserungen der Gesamtfunktion, Balance und Sturzprävention sind jedoch weniger konsistent. Fazit: Dehnen ist kein Monotherapie-Ansatz, sondern komplementäre Komponente in Multikomponenten-Programmen, am wirksamsten für Mobilitätsgewinne bei Menschen mit Ausgangsfunktionsverlust.</w:t>
      </w:r>
    </w:p>
    <w:p>
      <w:r>
        <w:rPr>
          <w:b/>
          <w:sz w:val="19"/>
        </w:rPr>
        <w:t xml:space="preserve">Übertragbarkeit: </w:t>
      </w:r>
      <w:r>
        <w:rPr>
          <w:sz w:val="19"/>
        </w:rPr>
        <w:t>Italien, Evidenzlage europäisch dominiert, methodisch konsistent</w:t>
      </w:r>
    </w:p>
    <w:p>
      <w:r>
        <w:rPr>
          <w:color w:val="5A7D3A"/>
          <w:sz w:val="18"/>
        </w:rPr>
        <w:t>https://pubmed.ncbi.nlm.nih.gov/42831708/</w:t>
      </w:r>
    </w:p>
    <w:p>
      <w:pPr>
        <w:pStyle w:val="Heading2"/>
      </w:pPr>
      <w:r>
        <w:t>Resilienz ist häufige, aber nicht universelle Reaktion auf funktionalen Gesundheitsverlust im Alter</w:t>
      </w:r>
    </w:p>
    <w:p>
      <w:r>
        <w:rPr>
          <w:i/>
          <w:color w:val="666666"/>
          <w:sz w:val="18"/>
        </w:rPr>
        <w:t>Köhler T et al.  ·  Soc Sci Med  ·  29.08.2026  ·  PMID 42700481</w:t>
      </w:r>
    </w:p>
    <w:p>
      <w:r>
        <w:t>Growth-Mixture-Modelling-Analyse von SHARE-Daten zu Anpassungstrajektorien der Lebensqualität nach Beginn von Aktivitätseinschränkungen bei älteren Menschen (Match-Kontroll-Design für Kausalitätsattribution).</w:t>
      </w:r>
    </w:p>
    <w:p>
      <w:r>
        <w:rPr>
          <w:b/>
        </w:rPr>
        <w:t xml:space="preserve">Ergebnis: </w:t>
      </w:r>
      <w:r>
        <w:t>Bei Lebenszufriedenheit und Lebensqualität entstanden 3 Trajektorien mit Resilienz als Modalantwort (86,5 % bzw. 78,7 %); bei depressiven Symptomen 4 Trajektorien mit gleichen Anteilen resilient und chronisch (je 43,4 %). Stärkere Behinderung sagte Erholungstrajektorie voraus, vorbestehende Limitations und sozioökonomische Benachteiligung waren mit chronischen Pfaden assoziiert. Befund: Resilienz ist verbreitet, aber nicht uniform; multidimensionale Outcomes essentiell.</w:t>
      </w:r>
    </w:p>
    <w:p>
      <w:r>
        <w:rPr>
          <w:b/>
          <w:sz w:val="19"/>
        </w:rPr>
        <w:t xml:space="preserve">Übertragbarkeit: </w:t>
      </w:r>
      <w:r>
        <w:rPr>
          <w:sz w:val="19"/>
        </w:rPr>
        <w:t>Europa (SHARE), deutsches Sozialversicherungssystem direkt übertragbar</w:t>
      </w:r>
    </w:p>
    <w:p>
      <w:r>
        <w:rPr>
          <w:color w:val="5A7D3A"/>
          <w:sz w:val="18"/>
        </w:rPr>
        <w:t>https://pubmed.ncbi.nlm.nih.gov/42700481/</w:t>
      </w:r>
    </w:p>
    <w:p>
      <w:pPr>
        <w:pStyle w:val="Heading1"/>
      </w:pPr>
      <w:r>
        <w:t>Aufgenommen am 07.10.2026</w:t>
      </w:r>
    </w:p>
    <w:p>
      <w:pPr>
        <w:pStyle w:val="Heading2"/>
      </w:pPr>
      <w:r>
        <w:t>Kohorte der Altern-Studie Add Health in mittlerem Alter mit schlechterer Gesundheit als Vorgängergenerationen</w:t>
      </w:r>
    </w:p>
    <w:p>
      <w:r>
        <w:rPr>
          <w:i/>
          <w:color w:val="666666"/>
          <w:sz w:val="18"/>
        </w:rPr>
        <w:t>Gaydosh L et al.  ·  J Gerontol B Psychol Sci Soc Sci  ·  01.10.2026  ·  PMID 42837509</w:t>
      </w:r>
    </w:p>
    <w:p>
      <w:r>
        <w:t>Add Health Welle VI (Durchschnittsalter 44 Jahre, n=11.979) und Vergleich mit NHANES-Kohorten: Analyse von Altersmustern in Allgemeingesundheit, psychischer Gesundheit, Gesundheitsverhalten und chronischen Erkrankungen über Lebensabschnitte.</w:t>
      </w:r>
    </w:p>
    <w:p>
      <w:r>
        <w:rPr>
          <w:b/>
        </w:rPr>
        <w:t xml:space="preserve">Ergebnis: </w:t>
      </w:r>
      <w:r>
        <w:t>Add Health zeigte beim Alterungsübergang in Mittelalter Verschlechterung in Allgemeingesundheit, psychischer Gesundheit und chronischen Erkrankungen, während Gesundheitsverhalten sich verbesserte. Im Vergleich zu NHANES-Kohorten: Add Health-Kohorte hat schlechtere Gesundheit als ältere Kohorten und teilweise schlechter als eigene Geburtskohorte zu früheren Zeitpunkten. Bildungsgradienten sind relativ stabil, mit einigen Anzeichen von Zunahme über Zeit.</w:t>
      </w:r>
    </w:p>
    <w:p>
      <w:r>
        <w:rPr>
          <w:b/>
          <w:sz w:val="19"/>
        </w:rPr>
        <w:t xml:space="preserve">Übertragbarkeit: </w:t>
      </w:r>
      <w:r>
        <w:rPr>
          <w:sz w:val="19"/>
        </w:rPr>
        <w:t>USA, begrenzt auf US-Versorgungskontext; Trends sozioökonomischer Disparitäten aber universal relevant</w:t>
      </w:r>
    </w:p>
    <w:p>
      <w:r>
        <w:rPr>
          <w:color w:val="5A7D3A"/>
          <w:sz w:val="18"/>
        </w:rPr>
        <w:t>https://pubmed.ncbi.nlm.nih.gov/42837509/</w:t>
      </w:r>
    </w:p>
    <w:p>
      <w:pPr>
        <w:pStyle w:val="Heading2"/>
      </w:pPr>
      <w:r>
        <w:t>Soziale Isolation und Einsamkeit vorhersagend für kognitive Verschlechterung von Jugend bis Alter</w:t>
      </w:r>
    </w:p>
    <w:p>
      <w:r>
        <w:rPr>
          <w:i/>
          <w:color w:val="666666"/>
          <w:sz w:val="18"/>
        </w:rPr>
        <w:t>Yang YC et al.  ·  J Gerontol B Psychol Sci Soc Sci  ·  01.10.2026  ·  PMID 42837505</w:t>
      </w:r>
    </w:p>
    <w:p>
      <w:r>
        <w:t>Koordinierte Längsschnittanalyse von drei großen US-Kohorten (Add Health, MIDUS, HRS; n=18.553, Alter 11+), um Zusammenhang zwischen Isolations-/Einsamkeitsmuster und Gedächtnisschwund über Lebensverlauf zu prüfen.</w:t>
      </w:r>
    </w:p>
    <w:p>
      <w:r>
        <w:rPr>
          <w:b/>
        </w:rPr>
        <w:t xml:space="preserve">Ergebnis: </w:t>
      </w:r>
      <w:r>
        <w:t>Starke negative Effekte sozialer Isolation in jungem und älterem Erwachsenenalter, Einsamkeit besonders im Alter auf Gedächtnisfunktion. Persistente (nicht nur transiente) Isolation und Einsamkeit waren mit schlechteren Merkfähigkeitswerten verbunden (p&lt;0,05 nach Adjustierung). Effekte blieben signifikant auch nach Anpassung für soziodemografische und Verhaltensfaktoren, zeigten sich aber weniger konsistent als Niveau-Effekte.</w:t>
      </w:r>
    </w:p>
    <w:p>
      <w:r>
        <w:rPr>
          <w:b/>
          <w:sz w:val="19"/>
        </w:rPr>
        <w:t xml:space="preserve">Übertragbarkeit: </w:t>
      </w:r>
      <w:r>
        <w:rPr>
          <w:sz w:val="19"/>
        </w:rPr>
        <w:t>USA-Kohorten, Mechanismen wahrscheinlich übertragbar; Ausmaß hängt von Sozialstruktur ab</w:t>
      </w:r>
    </w:p>
    <w:p>
      <w:r>
        <w:rPr>
          <w:color w:val="5A7D3A"/>
          <w:sz w:val="18"/>
        </w:rPr>
        <w:t>https://pubmed.ncbi.nlm.nih.gov/42837505/</w:t>
      </w:r>
    </w:p>
    <w:p>
      <w:pPr>
        <w:pStyle w:val="Heading2"/>
      </w:pPr>
      <w:r>
        <w:t>Soziale Teilhabe vor Schlaganfall assoziiert mit physischer Resilienz nach Schlaganfall</w:t>
      </w:r>
    </w:p>
    <w:p>
      <w:r>
        <w:rPr>
          <w:i/>
          <w:color w:val="666666"/>
          <w:sz w:val="18"/>
        </w:rPr>
        <w:t>Zhang Y et al.  ·  PLoS One  ·  06.10.2026  ·  PMID 42837339</w:t>
      </w:r>
    </w:p>
    <w:p>
      <w:r>
        <w:t>Querschnittsstudie an 314 Schlaganfallpatienten (≥45 Jahre) in China, die retrospektive soziale Partizipation vor dem Ereignis mit aktueller physischer Resilienz verknüpfte.</w:t>
      </w:r>
    </w:p>
    <w:p>
      <w:r>
        <w:rPr>
          <w:b/>
        </w:rPr>
        <w:t xml:space="preserve">Ergebnis: </w:t>
      </w:r>
      <w:r>
        <w:t>Schwache positive Korrelation zwischen sozialer Teilhabe und physischer Resilienz (r=0,295, p&lt;0,001). Pro Punkt höherer sozialer Partizipationsscore war physische Resilienz um 0,725 Punkte höher (95%-KI 0,405–1,044, p&lt;0,001), Effekt über alle Frailty-Level konsistent. Belastende retrospektive Erhebung schließt aber kausale Aussagen aus.</w:t>
      </w:r>
    </w:p>
    <w:p>
      <w:r>
        <w:rPr>
          <w:b/>
          <w:sz w:val="19"/>
        </w:rPr>
        <w:t xml:space="preserve">Übertragbarkeit: </w:t>
      </w:r>
      <w:r>
        <w:rPr>
          <w:sz w:val="19"/>
        </w:rPr>
        <w:t>China, begrenzt übertragbar; Mechanismus unterscheidet sich von Deutschland</w:t>
      </w:r>
    </w:p>
    <w:p>
      <w:r>
        <w:rPr>
          <w:color w:val="5A7D3A"/>
          <w:sz w:val="18"/>
        </w:rPr>
        <w:t>https://pubmed.ncbi.nlm.nih.gov/42837339/</w:t>
      </w:r>
    </w:p>
    <w:p>
      <w:pPr>
        <w:pStyle w:val="Heading2"/>
      </w:pPr>
      <w:r>
        <w:t>Gemeinschaftsgaststätten für Senioren fördern Nutzung durch Awareness-Partizipation-Kaufverhalten-Weitersagen-Sequenz</w:t>
      </w:r>
    </w:p>
    <w:p>
      <w:r>
        <w:rPr>
          <w:i/>
          <w:color w:val="666666"/>
          <w:sz w:val="18"/>
        </w:rPr>
        <w:t>Wang S et al.  ·  Front Public Health  ·  21.09.2026  ·  PMID 42836140</w:t>
      </w:r>
    </w:p>
    <w:p>
      <w:r>
        <w:t>Querschnittsstudie in Nanjing (China) mit 1.568 älteren Erwachsenen (≥60 Jahre) zur Nutzung von Seniorengaststätten, strukturelle Gleichungsmodellierung zur Assoziation von Bewusstsein, Interaktion, Kauf und Weitergabe.</w:t>
      </w:r>
    </w:p>
    <w:p>
      <w:r>
        <w:rPr>
          <w:b/>
        </w:rPr>
        <w:t xml:space="preserve">Ergebnis: </w:t>
      </w:r>
      <w:r>
        <w:t>Strukturmodell zeigte signifikante sequenziell positive Assoziationen: Awareness→Interaction (p&lt;0,001), Interaction→Purchase (p&lt;0,001), Purchase→Sharing (p&lt;0,001). Alle Pfade statistisch signifikant, gutes Modellfit. Querschnittdesign erlaubt aber keine Kausalaussagen – hilfreich aber für Serviceoptimierung.</w:t>
      </w:r>
    </w:p>
    <w:p>
      <w:r>
        <w:rPr>
          <w:b/>
          <w:sz w:val="19"/>
        </w:rPr>
        <w:t xml:space="preserve">Übertragbarkeit: </w:t>
      </w:r>
      <w:r>
        <w:rPr>
          <w:sz w:val="19"/>
        </w:rPr>
        <w:t>China, teilweise übertragbar; Versorgungskontext unterscheidet sich von Deutschland</w:t>
      </w:r>
    </w:p>
    <w:p>
      <w:r>
        <w:rPr>
          <w:color w:val="5A7D3A"/>
          <w:sz w:val="18"/>
        </w:rPr>
        <w:t>https://pubmed.ncbi.nlm.nih.gov/42836140/</w:t>
      </w:r>
    </w:p>
    <w:p>
      <w:pPr>
        <w:pStyle w:val="Heading2"/>
      </w:pPr>
      <w:r>
        <w:t>Nierentransplantation verbessert Gebrechlichkeit und kognitive Funktion über zwei Jahre</w:t>
      </w:r>
    </w:p>
    <w:p>
      <w:r>
        <w:rPr>
          <w:i/>
          <w:color w:val="666666"/>
          <w:sz w:val="18"/>
        </w:rPr>
        <w:t>Beerli N et al.  ·  Transpl Int  ·  21.09.2026  ·  PMID 42835482</w:t>
      </w:r>
    </w:p>
    <w:p>
      <w:r>
        <w:t>Prospektive multizentrische Schweizer Kohortenstudie mit 230 Nierentransplantatierten, die Frailty und milde kognitive Beeinträchtigung (MCI) vor und nach Transplantation über bis zu zwei Jahre verfolgten.</w:t>
      </w:r>
    </w:p>
    <w:p>
      <w:r>
        <w:rPr>
          <w:b/>
        </w:rPr>
        <w:t xml:space="preserve">Ergebnis: </w:t>
      </w:r>
      <w:r>
        <w:t>Frailty sank von 8,3% vor Transplantation auf unter 2% im Follow-up, Präfrailty von 54,3% auf 27,6% nach zwei Jahren; MCI-Prävalenz fiel von 42,6% auf 31,3%. Bessere kognitive Funktion vorhersagte niedrigere nachfolgende Frailty, aber nicht umgekehrt. Das Ergebnis zeigt, dass Nierenverpflanzung funktionelle Gebrechlichkeit deutlich reduziert.</w:t>
      </w:r>
    </w:p>
    <w:p>
      <w:r>
        <w:rPr>
          <w:b/>
          <w:sz w:val="19"/>
        </w:rPr>
        <w:t xml:space="preserve">Übertragbarkeit: </w:t>
      </w:r>
      <w:r>
        <w:rPr>
          <w:sz w:val="19"/>
        </w:rPr>
        <w:t>Schweizer Universitätskliniken, vergleichbares deutschsprachiges Versorgungssystem</w:t>
      </w:r>
    </w:p>
    <w:p>
      <w:r>
        <w:rPr>
          <w:color w:val="5A7D3A"/>
          <w:sz w:val="18"/>
        </w:rPr>
        <w:t>https://pubmed.ncbi.nlm.nih.gov/42835482/</w:t>
      </w:r>
    </w:p>
    <w:p>
      <w:pPr>
        <w:pStyle w:val="Heading1"/>
      </w:pPr>
      <w:r>
        <w:t>Aufgenommen am 06.10.2026</w:t>
      </w:r>
    </w:p>
    <w:p>
      <w:pPr>
        <w:pStyle w:val="Heading2"/>
      </w:pPr>
      <w:r>
        <w:t>Frailty als multidimensionales biopsychosoziales Syndrom: Update zu Konzepten und Versorgung</w:t>
      </w:r>
    </w:p>
    <w:p>
      <w:r>
        <w:rPr>
          <w:i/>
          <w:color w:val="666666"/>
          <w:sz w:val="18"/>
        </w:rPr>
        <w:t>Cohen CI et al.  ·  Clin Geriatr Med  ·  Nov. 2026  ·  PMID 42833807</w:t>
      </w:r>
    </w:p>
    <w:p>
      <w:r>
        <w:t>Übersichtsartikel fasst die Entwicklung von Frailty-Konzeptualisierung von primär physisch zu einem komplexen, multidimensionalen biopsychosozialen Syndrom zusammen, unter Einbeziehung von Definition, Diagnose-Tools, Epidemiologie, Pathogenese und Versorgungsansätze.</w:t>
      </w:r>
    </w:p>
    <w:p>
      <w:r>
        <w:rPr>
          <w:b/>
        </w:rPr>
        <w:t xml:space="preserve">Ergebnis: </w:t>
      </w:r>
      <w:r>
        <w:t>Frailty erweitert von physischer zu physischer, kognitiver, sozialer und psychologischer Frailty. Tools und Assessment-Domains aufgelistet; Epidemiologie, Risikofaktoren, Pathogenese, Prävention und Behandlungs-Frameworks skizziert. Ungelöste Versorgungsfragen benannt. Keine spezifischen Zahlenergebnisse, sondern konzeptueller Überblick über den Wandel im Feld.</w:t>
      </w:r>
    </w:p>
    <w:p>
      <w:r>
        <w:rPr>
          <w:b/>
          <w:sz w:val="19"/>
        </w:rPr>
        <w:t xml:space="preserve">Übertragbarkeit: </w:t>
      </w:r>
      <w:r>
        <w:rPr>
          <w:sz w:val="19"/>
        </w:rPr>
        <w:t>US-amerikanisches Review; biopsychosoziales Frailty-Modell international etabliert, auf deutsches System direkt anwendbar.</w:t>
      </w:r>
    </w:p>
    <w:p>
      <w:r>
        <w:rPr>
          <w:color w:val="5A7D3A"/>
          <w:sz w:val="18"/>
        </w:rPr>
        <w:t>https://pubmed.ncbi.nlm.nih.gov/42833807/</w:t>
      </w:r>
    </w:p>
    <w:p>
      <w:pPr>
        <w:pStyle w:val="Heading2"/>
      </w:pPr>
      <w:r>
        <w:t>Altersfeindlichkeit als upstream-Determinante: Sturzverhütung durch multilevel Reframing</w:t>
      </w:r>
    </w:p>
    <w:p>
      <w:r>
        <w:rPr>
          <w:i/>
          <w:color w:val="666666"/>
          <w:sz w:val="18"/>
        </w:rPr>
        <w:t>McMahon SK et al.  ·  Clin Geriatr Med  ·  03.09.2026  ·  PMID 42833800</w:t>
      </w:r>
    </w:p>
    <w:p>
      <w:r>
        <w:t>Konzeptuelle Analyse aus USA untersucht, wie strukturelle, interpersonelle und individuelle Ebenen von Altersdiskriminierung die Implementierung, Akzeptanz und Wirksamkeit von Sturz-Prävention bei älteren Menschen beeinträchtigen.</w:t>
      </w:r>
    </w:p>
    <w:p>
      <w:r>
        <w:rPr>
          <w:b/>
        </w:rPr>
        <w:t xml:space="preserve">Ergebnis: </w:t>
      </w:r>
      <w:r>
        <w:t>Lücke zwischen Evidenz (starke Maßnahmen-Effektivität) und Implementierung getrieben durch Ageismus: Untererfassung, Umweltbarrieren, internalisierte Stigma. Empfehlung für ganzheitlichen, mehrebenenigen Ansatz, der soziale Determinanten (besonders Ageismus) integriert; Systemische, klinische und Kommunikations-Änderungen für bessere Prävention, Engagement, sichere Mobilität. Framework ‚Reframing Aging' zitiert.</w:t>
      </w:r>
    </w:p>
    <w:p>
      <w:r>
        <w:rPr>
          <w:b/>
          <w:sz w:val="19"/>
        </w:rPr>
        <w:t xml:space="preserve">Übertragbarkeit: </w:t>
      </w:r>
      <w:r>
        <w:rPr>
          <w:sz w:val="19"/>
        </w:rPr>
        <w:t>USA-Perspektive; konzeptueller Rahmen zur Sturzverhütung durch Anti-Ageismus-Ansätze prinzipiell auf deutsches System übertragbar, erfordert aber Systemanpassung.</w:t>
      </w:r>
    </w:p>
    <w:p>
      <w:r>
        <w:rPr>
          <w:color w:val="5A7D3A"/>
          <w:sz w:val="18"/>
        </w:rPr>
        <w:t>https://pubmed.ncbi.nlm.nih.gov/42833800/</w:t>
      </w:r>
    </w:p>
    <w:p>
      <w:pPr>
        <w:pStyle w:val="Heading2"/>
      </w:pPr>
      <w:r>
        <w:t>Aortenstenose im Alter: Weshalb Lebenserwartung keine Indikation zum Verzicht auf Klappenersatz ist</w:t>
      </w:r>
    </w:p>
    <w:p>
      <w:r>
        <w:rPr>
          <w:i/>
          <w:color w:val="666666"/>
          <w:sz w:val="18"/>
        </w:rPr>
        <w:t>Demir OM et al.  ·  Open Heart  ·  05.10.2026  ·  PMID 42833700</w:t>
      </w:r>
    </w:p>
    <w:p>
      <w:r>
        <w:t>Konzeptuelles Argument zur Fehlinterpretation von Lebenserwartung bei älteren Patienten mit symptomatischer schwerer Aortenstenose und der Frage, wann Ventilintervention gerechtfertigt ist.</w:t>
      </w:r>
    </w:p>
    <w:p>
      <w:r>
        <w:rPr>
          <w:b/>
        </w:rPr>
        <w:t xml:space="preserve">Ergebnis: </w:t>
      </w:r>
      <w:r>
        <w:t>Nationale Sterbe- und Überlebenstafeln: 90-Jähriger in England/Wales hat noch 3,9 Jahre Lebenserwartung; 82-Jähriger lebt länger als 72-Jähriger. 'Schlagrisiko ist kardial, nicht chronologisch' — korreliert mit extravalvulärer Herzschädigung, Frailty und konkurrierenden Erkrankungen, nicht mit Kalenderalter. Stadium, nicht Alter, diskriminiert Outcome. Empfehlung: conditional, komorbidität-adjustierte Prognose statt Alters-Nihilismus.</w:t>
      </w:r>
    </w:p>
    <w:p>
      <w:r>
        <w:rPr>
          <w:b/>
          <w:sz w:val="19"/>
        </w:rPr>
        <w:t xml:space="preserve">Übertragbarkeit: </w:t>
      </w:r>
      <w:r>
        <w:rPr>
          <w:sz w:val="19"/>
        </w:rPr>
        <w:t>Britisches System; medizinisches Konzept zur Patientenauswahl übertragbar auf deutsches Altensystem.</w:t>
      </w:r>
    </w:p>
    <w:p>
      <w:r>
        <w:rPr>
          <w:color w:val="5A7D3A"/>
          <w:sz w:val="18"/>
        </w:rPr>
        <w:t>https://pubmed.ncbi.nlm.nih.gov/42833700/</w:t>
      </w:r>
    </w:p>
    <w:p>
      <w:pPr>
        <w:pStyle w:val="Heading2"/>
      </w:pPr>
      <w:r>
        <w:t>Körperliche Leistung puffert Alterseffekt auf Exekutivfunktion bei Demenzrisiko</w:t>
      </w:r>
    </w:p>
    <w:p>
      <w:r>
        <w:rPr>
          <w:i/>
          <w:color w:val="666666"/>
          <w:sz w:val="18"/>
        </w:rPr>
        <w:t>Reparaz-Escudero I et al.  ·  J Cachexia Sarcopenia Muscle  ·  Okt. 2026  ·  PMID 42833623</w:t>
      </w:r>
    </w:p>
    <w:p>
      <w:r>
        <w:t>Querschnittsstudie an 920 älteren Spaniern (60–85 Jahre) mit erhöhtem Demenzrisiko untersuchte, ob Ganggeschwindigkeit, Handgriffkraft und Beinmuskelpower den Zusammenhang zwischen Alter und Exekutivfunktion moderieren.</w:t>
      </w:r>
    </w:p>
    <w:p>
      <w:r>
        <w:rPr>
          <w:b/>
        </w:rPr>
        <w:t xml:space="preserve">Ergebnis: </w:t>
      </w:r>
      <w:r>
        <w:t>Höhere körperliche Leistung schwächte die Alters-Exekutivfunktion-Assoziation ab. Ganggeschwindigkeit moderierte die Beziehung am konsistentesten; Johnson-Neyman-Analyse zeigte: Alters-Exekutivfunktion-Effekt nur bei Ganggeschwindigkeiten unter 1,68–1,83 m/s messbar (1,0–15,9 % der Teilnehmer). Sex-spezifische Muster: Ganggeschwindigkeit bei TMT-B bei Männern, Stroop-Interferenz bei Frauen moderat.</w:t>
      </w:r>
    </w:p>
    <w:p>
      <w:r>
        <w:rPr>
          <w:b/>
          <w:sz w:val="19"/>
        </w:rPr>
        <w:t xml:space="preserve">Übertragbarkeit: </w:t>
      </w:r>
      <w:r>
        <w:rPr>
          <w:sz w:val="19"/>
        </w:rPr>
        <w:t>Spanische Demenzrisiko-Kohorte; körperliches Training zur Exekutivschutzung übertragbar auf deutsche Altenpopulation.</w:t>
      </w:r>
    </w:p>
    <w:p>
      <w:r>
        <w:rPr>
          <w:color w:val="5A7D3A"/>
          <w:sz w:val="18"/>
        </w:rPr>
        <w:t>https://pubmed.ncbi.nlm.nih.gov/42833623/</w:t>
      </w:r>
    </w:p>
    <w:p>
      <w:pPr>
        <w:pStyle w:val="Heading2"/>
      </w:pPr>
      <w:r>
        <w:t>Elektromyographie beim Gehen identifiziert Gebrechlichkeit bei älteren Patienten mit Herzkrankheit</w:t>
      </w:r>
    </w:p>
    <w:p>
      <w:r>
        <w:rPr>
          <w:i/>
          <w:color w:val="666666"/>
          <w:sz w:val="18"/>
        </w:rPr>
        <w:t>Huang P et al.  ·  J Cachexia Sarcopenia Muscle  ·  Okt. 2026  ·  PMID 42830734</w:t>
      </w:r>
    </w:p>
    <w:p>
      <w:r>
        <w:t>Fall-Kontroll-Studie mit 150 älteren Patienten mit Herzkrankheit (75 gebrechlich, 75 nicht-gebrechlich) verglich oberflächliche Elektromyographie (sEMG) der Unterschenkelmuskeln beim Gehen und testete deren Diskriminativwert für Frailty.</w:t>
      </w:r>
    </w:p>
    <w:p>
      <w:r>
        <w:rPr>
          <w:b/>
        </w:rPr>
        <w:t xml:space="preserve">Ergebnis: </w:t>
      </w:r>
      <w:r>
        <w:t>Gebrechliche waren älter (76,04 vs. 68,55 Jahre), benötigten länger für 10-m-Gang (13,34 vs. 9,44 s), niedrigere POMA-Scores (21,51 vs. 27,59). Gebrechliche zeigten höhere integrierte EMG des linken Semitendinosus (534,4 vs. 455,5 μV·s, p=0,0084) und höhere Aktivierungssequenz-Rang des linken Rectus femoris (p=0,0404). Im Frequenzbereich höhere Medianfrequenz (MF) in 6 Muskeln. Multivariates Modell: MF Rectus femoris rechts (OR 1,067, p=0,038), MF Gastrocnemius rechts (OR 1,054, p=0,019), Aktivierungsrang TA rechts (OR 0,640, p=0,014) unabhängig assoziiert. sEMG+Alter-Modell: AUC 0,8418 (Sensitivität 0,8933, Spezifität 0,6400), Vollmodell mit POMA: AUC 0,8740.</w:t>
      </w:r>
    </w:p>
    <w:p>
      <w:r>
        <w:rPr>
          <w:b/>
          <w:sz w:val="19"/>
        </w:rPr>
        <w:t xml:space="preserve">Übertragbarkeit: </w:t>
      </w:r>
      <w:r>
        <w:rPr>
          <w:sz w:val="19"/>
        </w:rPr>
        <w:t>Chinesische Klinik-Kohorte; sEMG-Methode und Frailty-Assessments international vergleichbar.</w:t>
      </w:r>
    </w:p>
    <w:p>
      <w:r>
        <w:rPr>
          <w:color w:val="5A7D3A"/>
          <w:sz w:val="18"/>
        </w:rPr>
        <w:t>https://pubmed.ncbi.nlm.nih.gov/42830734/</w:t>
      </w:r>
    </w:p>
    <w:p>
      <w:pPr>
        <w:pStyle w:val="Heading2"/>
      </w:pPr>
      <w:r>
        <w:t>Glukosestoffwechsel und vaskuläres Altern: Prädiktive Güte einfacher Marker im Screening</w:t>
      </w:r>
    </w:p>
    <w:p>
      <w:r>
        <w:rPr>
          <w:i/>
          <w:color w:val="666666"/>
          <w:sz w:val="18"/>
        </w:rPr>
        <w:t>Wang J et al.  ·  Front Endocrinol (Lausanne)  ·  18.09.2026  ·  PMID 42827523</w:t>
      </w:r>
    </w:p>
    <w:p>
      <w:r>
        <w:t>Retrospektive Querschnittsstudie mit 555 Personen aus Routineuntersuchungen evaluierte sieben Glukosemetaboliten-Indizes (TyG, CHG, HOMA-IR etc.) und deren Assoziationen mit frühem vaskulärem Altern (EVA, baPWV).</w:t>
      </w:r>
    </w:p>
    <w:p>
      <w:r>
        <w:rPr>
          <w:b/>
        </w:rPr>
        <w:t xml:space="preserve">Ergebnis: </w:t>
      </w:r>
      <w:r>
        <w:t>156/555 (28,1%) hatten EVA. Alle sieben Marker unabhängig mit EVA assoziiert nach Confounding-Kontrolle. CHG-Index stärkste Korrelation mit baPWV-Mittelwert (r=0,402, p&lt;0,001). ROC-Analysen: HbA1c höchste AUC (0,690), TyG-Index höchste Sensitivität (70,51%). Bescheidene Diskriminanzleistung über alle Marker. Schluss: TyG und HbA1c als potenzielle kostengünstige Hilfsmarker für EVA-Screening; interne Bootstrap- und externe prospektive Validierung erforderlich.</w:t>
      </w:r>
    </w:p>
    <w:p>
      <w:r>
        <w:rPr>
          <w:b/>
          <w:sz w:val="19"/>
        </w:rPr>
        <w:t xml:space="preserve">Übertragbarkeit: </w:t>
      </w:r>
      <w:r>
        <w:rPr>
          <w:sz w:val="19"/>
        </w:rPr>
        <w:t>Chinesische Gesundheitsuntersuchungskohorte; Biomarker-Interpretation übertragbar, aber lokale Altersstruktur verschieden.</w:t>
      </w:r>
    </w:p>
    <w:p>
      <w:r>
        <w:rPr>
          <w:color w:val="5A7D3A"/>
          <w:sz w:val="18"/>
        </w:rPr>
        <w:t>https://pubmed.ncbi.nlm.nih.gov/42827523/</w:t>
      </w:r>
    </w:p>
    <w:p>
      <w:pPr>
        <w:pStyle w:val="Heading2"/>
      </w:pPr>
      <w:r>
        <w:t>Arteriosklerose und Sarkopenie: biologisches Alter als Mediator, Gebrechlichkeit als Modifikator</w:t>
      </w:r>
    </w:p>
    <w:p>
      <w:r>
        <w:rPr>
          <w:i/>
          <w:color w:val="666666"/>
          <w:sz w:val="18"/>
        </w:rPr>
        <w:t>Sun A et al.  ·  Front Public Health  ·  14.09.2026  ·  PMID 42807006</w:t>
      </w:r>
    </w:p>
    <w:p>
      <w:r>
        <w:t>Prospektive UK-Biobank-Kohortenstudie mit 32.451 Teilnehmern untersuchte, ob Arteriensteifigkeit (ASI) mit Sarkopenie-Risiko assoziiert ist und welche Rolle biologisches Alter und Frailty spielen.</w:t>
      </w:r>
    </w:p>
    <w:p>
      <w:r>
        <w:rPr>
          <w:b/>
        </w:rPr>
        <w:t xml:space="preserve">Ergebnis: </w:t>
      </w:r>
      <w:r>
        <w:t>Höchstes vs. niedriges ASI-Tertil: HR 1,38 (95%-KI 1,22–1,55) für wahrscheinliche Sarkopenie, HR 1,56 (95%-KI 1,11–2,18) für Sarkopenie. Biologisches Alter mediierte 8,66 % und 18,85 % dieser Assoziationen. Frailty modifizierte die Magnitude erheblich; Assoziationen überwiegend bei nicht-Gebrechlichen. Erkannter nichtlinearer Zusammenhang bei wahrscheinlicher Sarkopenie, linear bei manifester Sarkopenie.</w:t>
      </w:r>
    </w:p>
    <w:p>
      <w:r>
        <w:rPr>
          <w:b/>
          <w:sz w:val="19"/>
        </w:rPr>
        <w:t xml:space="preserve">Übertragbarkeit: </w:t>
      </w:r>
      <w:r>
        <w:rPr>
          <w:sz w:val="19"/>
        </w:rPr>
        <w:t>UK Biobank; methodische Validierbarkeit aber Altersdurchschnitt und Sozialstruktur unterscheiden sich von Deutschland.</w:t>
      </w:r>
    </w:p>
    <w:p>
      <w:r>
        <w:rPr>
          <w:color w:val="5A7D3A"/>
          <w:sz w:val="18"/>
        </w:rPr>
        <w:t>https://pubmed.ncbi.nlm.nih.gov/42807006/</w:t>
      </w:r>
    </w:p>
    <w:p>
      <w:pPr>
        <w:pStyle w:val="Heading1"/>
      </w:pPr>
      <w:r>
        <w:t>Aufgenommen am 05.10.2026</w:t>
      </w:r>
    </w:p>
    <w:p>
      <w:pPr>
        <w:pStyle w:val="Heading2"/>
      </w:pPr>
      <w:r>
        <w:t>Prävention durch Hausbesuche erfordert sektorenübergreifende Partnerschaften und Unterstützung durch Führungspersonen</w:t>
      </w:r>
    </w:p>
    <w:p>
      <w:r>
        <w:rPr>
          <w:i/>
          <w:color w:val="666666"/>
          <w:sz w:val="18"/>
        </w:rPr>
        <w:t>Nivestam A et al.  ·  Scand J Caring Sci  ·  Dez. 2026  ·  PMID 42828510</w:t>
      </w:r>
    </w:p>
    <w:p>
      <w:r>
        <w:t>Qualitative Studie (Fokusgruppen mit 16 Fachpersonen aus 5 schwedischen Gemeinden) identifiziert, welche Kooperationspartner Hausbesucher für erfolgreiche Prävention und gesundes Altern mobilisieren.</w:t>
      </w:r>
    </w:p>
    <w:p>
      <w:r>
        <w:rPr>
          <w:b/>
        </w:rPr>
        <w:t xml:space="preserve">Ergebnis: </w:t>
      </w:r>
      <w:r>
        <w:t>Hausbesucher arbeiten mit breitem Spektrum von Partnern zusammen: kritisch sind Politiker und Medien; wichtig sind Akteure für sinnvolle Freizeit, Partizipation, lebenslanges Lernen und Gesundheits-/Sozialsektoren. Unterstützung durch Führungspersonen in Schlüsselpositionen steigert Effektivität. Kernempfehlung: gesamtgesellschaftlicher (whole-of-society) Ansatz zur Planung von Präventionsbesuchen.</w:t>
      </w:r>
    </w:p>
    <w:p>
      <w:r>
        <w:rPr>
          <w:b/>
          <w:sz w:val="19"/>
        </w:rPr>
        <w:t xml:space="preserve">Übertragbarkeit: </w:t>
      </w:r>
      <w:r>
        <w:rPr>
          <w:sz w:val="19"/>
        </w:rPr>
        <w:t>Skandinavien vergleichbar, universelles Gesundheitssystem, übertragbar auf Deutschland.</w:t>
      </w:r>
    </w:p>
    <w:p>
      <w:r>
        <w:rPr>
          <w:color w:val="5A7D3A"/>
          <w:sz w:val="18"/>
        </w:rPr>
        <w:t>https://pubmed.ncbi.nlm.nih.gov/42828510/</w:t>
      </w:r>
    </w:p>
    <w:p>
      <w:pPr>
        <w:pStyle w:val="Heading2"/>
      </w:pPr>
      <w:r>
        <w:t>Krankenversicherung für Ernährungstherapie älterer Krebspatienten determiniert Funktionsfähigkeit</w:t>
      </w:r>
    </w:p>
    <w:p>
      <w:r>
        <w:rPr>
          <w:i/>
          <w:color w:val="666666"/>
          <w:sz w:val="18"/>
        </w:rPr>
        <w:t>Yang J  ·  Front Public Health  ·  18.09.2026  ·  PMID 42827769</w:t>
      </w:r>
    </w:p>
    <w:p>
      <w:r>
        <w:t>Narratives Mini-Review analysiert Versicherungsdeckung für medizinische Ernährungstherapie (Medical Nutrition Therapy, MNT) bei älteren Frauen mit Krebs als Politikfrage für Langzeitpflege und Frailty-Equity in USA, Australien und UK.</w:t>
      </w:r>
    </w:p>
    <w:p>
      <w:r>
        <w:rPr>
          <w:b/>
        </w:rPr>
        <w:t xml:space="preserve">Ergebnis: </w:t>
      </w:r>
      <w:r>
        <w:t>Untersucht, wie Versicherungsdesign – Leistungsbeschränkungen, Kostenbeteiligung, fragmentierte Autorisierung – den Zugang zu MNT und damit Risiken für Mangelernährung, Sarkopenie und funktionalen Niedergang lenkt. Empfiehlt MNT als essenzielle, risikostratifizierte Komponente von Onkologie und Langzeitpflege, nicht als optionales Wellness-Angebot, mit kontinuierlichen Übergängen zwischen Klinik, Heimat und Pflege.</w:t>
      </w:r>
    </w:p>
    <w:p>
      <w:r>
        <w:rPr>
          <w:b/>
          <w:sz w:val="19"/>
        </w:rPr>
        <w:t xml:space="preserve">Übertragbarkeit: </w:t>
      </w:r>
      <w:r>
        <w:rPr>
          <w:sz w:val="19"/>
        </w:rPr>
        <w:t>UK-System vergleichbar; Kernaussage zur Finanzierungspolitik auch auf deutsches System übertragbar.</w:t>
      </w:r>
    </w:p>
    <w:p>
      <w:r>
        <w:rPr>
          <w:color w:val="5A7D3A"/>
          <w:sz w:val="18"/>
        </w:rPr>
        <w:t>https://pubmed.ncbi.nlm.nih.gov/42827769/</w:t>
      </w:r>
    </w:p>
    <w:p>
      <w:pPr>
        <w:pStyle w:val="Heading2"/>
      </w:pPr>
      <w:r>
        <w:t>Biologische Organaltern und Proteinprofile vorhersagen Mortalitätsrisiko besser als Standard-Biomarker</w:t>
      </w:r>
    </w:p>
    <w:p>
      <w:r>
        <w:rPr>
          <w:i/>
          <w:color w:val="666666"/>
          <w:sz w:val="18"/>
        </w:rPr>
        <w:t>Pyrgioti M et al.  ·  Aging Cell  ·  Okt. 2026  ·  PMID 42823846</w:t>
      </w:r>
    </w:p>
    <w:p>
      <w:r>
        <w:t>Benchmarking von 11 proteomic organ clocks gegen etablierte Altersmarker (epigenetisches Alter, Telomerlänge, Lungenfunktion, Kognition, Neuroimaging) für 16-Jahres-Gesamtmortalität in einer schottischen Kohorte (n=861; 444 Todesfälle).</w:t>
      </w:r>
    </w:p>
    <w:p>
      <w:r>
        <w:rPr>
          <w:b/>
        </w:rPr>
        <w:t xml:space="preserve">Ergebnis: </w:t>
      </w:r>
      <w:r>
        <w:t>Unter proteomic clocks: beschleunigte Leber-(HR=1,43), Immun-(HR=1,42) und Herzalterung (HR=1,38) waren stärkste Prädiktor:innen. Aber älteres epigenetisches Alter, kleineres Hirnvolumen, reduzierte Atemfunktion und schlechtere Kognition zeigten stärkere Assoziationen (HR=1,44–1,62). Von 9703 Plasma-Proteinen: GDF15 (HR=1,56), WFDC2 (HR=1,47) und TIMP1 (HR=1,45) führend mit Mortalität assoziiert.</w:t>
      </w:r>
    </w:p>
    <w:p>
      <w:r>
        <w:rPr>
          <w:b/>
          <w:sz w:val="19"/>
        </w:rPr>
        <w:t xml:space="preserve">Übertragbarkeit: </w:t>
      </w:r>
      <w:r>
        <w:rPr>
          <w:sz w:val="19"/>
        </w:rPr>
        <w:t>UK-Biobank-Kohorte, europäische Altersstruktur, direkt auf Deutschland übertragbar.</w:t>
      </w:r>
    </w:p>
    <w:p>
      <w:r>
        <w:rPr>
          <w:color w:val="5A7D3A"/>
          <w:sz w:val="18"/>
        </w:rPr>
        <w:t>https://pubmed.ncbi.nlm.nih.gov/42823846/</w:t>
      </w:r>
    </w:p>
    <w:p>
      <w:pPr>
        <w:pStyle w:val="Heading2"/>
      </w:pPr>
      <w:r>
        <w:t>Gesunde Altersverläufe senken kardiovaskuläres Erkrankungsrisiko</w:t>
      </w:r>
    </w:p>
    <w:p>
      <w:r>
        <w:rPr>
          <w:i/>
          <w:color w:val="666666"/>
          <w:sz w:val="18"/>
        </w:rPr>
        <w:t>Du R et al.  ·  J Nutr Health Aging  ·  04.09.2026  ·  PMID 42697165</w:t>
      </w:r>
    </w:p>
    <w:p>
      <w:r>
        <w:t>Studie untersucht die Assoziation zwischen Mustern gesunder Alterung (gemessen mit ATHLOS-Score) und dem Auftreten kardiovaskulärer Erkrankungen in drei europäischen und chinesischen Kohorten.</w:t>
      </w:r>
    </w:p>
    <w:p>
      <w:r>
        <w:rPr>
          <w:b/>
        </w:rPr>
        <w:t xml:space="preserve">Ergebnis: </w:t>
      </w:r>
      <w:r>
        <w:t>Verglichen mit der niedrigsten Altersverlauf-Gruppe zeigte die mittlere Gruppe reduziertes CVD-Risiko (SHARE HR=0,89; ELSA HR=0,66; CHARLS HR=0,67), die höchste Gruppe sogar deutlich gesenkt (SHARE HR=0,61; ELSA HR=0,36; CHARLS HR=0,39). Assoziation war konsistent über SES- und Lebensstil-Schichten. Hochwertige Altersverläufe sind kardioprotektiv.</w:t>
      </w:r>
    </w:p>
    <w:p>
      <w:r>
        <w:rPr>
          <w:b/>
          <w:sz w:val="19"/>
        </w:rPr>
        <w:t xml:space="preserve">Übertragbarkeit: </w:t>
      </w:r>
      <w:r>
        <w:rPr>
          <w:sz w:val="19"/>
        </w:rPr>
        <w:t>SHARE und ELSA europäisch vergleichbar, CHARLS repräsentiert alternatives System.</w:t>
      </w:r>
    </w:p>
    <w:p>
      <w:r>
        <w:rPr>
          <w:color w:val="5A7D3A"/>
          <w:sz w:val="18"/>
        </w:rPr>
        <w:t>https://pubmed.ncbi.nlm.nih.gov/42697165/</w:t>
      </w:r>
    </w:p>
    <w:p>
      <w:pPr>
        <w:pStyle w:val="Heading2"/>
      </w:pPr>
      <w:r>
        <w:t>Spezialisierte Versorgung fragiler Chirurgiepatienten senkt Morbidität und erhält Lebensqualität</w:t>
      </w:r>
    </w:p>
    <w:p>
      <w:r>
        <w:rPr>
          <w:i/>
          <w:color w:val="666666"/>
          <w:sz w:val="18"/>
        </w:rPr>
        <w:t>Castellví Valls J et al.  ·  Cir Esp (Engl Ed)  ·  01.09.2026  ·  PMID 42680087</w:t>
      </w:r>
    </w:p>
    <w:p>
      <w:r>
        <w:t>Evaluiert Effektivität eines integrierten geriatrischen Versorgungsbereichs für fragile Patienten, die operativ behandelt wurden, mit Fokus auf perioperative Morbidität, Mortalität und Funktionsfähigkeit.</w:t>
      </w:r>
    </w:p>
    <w:p>
      <w:r>
        <w:rPr>
          <w:b/>
        </w:rPr>
        <w:t xml:space="preserve">Ergebnis: </w:t>
      </w:r>
      <w:r>
        <w:t>Von 413 Patienten (Alter 80 J., 91,8% ASA III-IV) wurden 288 operiert. Perioperative Komplikationen Clavien-Dindo III-V: 9,7%, 30-Tage-Mortalität 3,1%, Wiederaufnahmen 13,2%. Nach 3 Monaten und 1 Jahr waren 82,5% der operierten Patienten in Funktion gleich oder besser als präoperativ. Von 125 nicht operierten Patienten starben 48,3% im 1. Jahr.</w:t>
      </w:r>
    </w:p>
    <w:p>
      <w:r>
        <w:rPr>
          <w:b/>
          <w:sz w:val="19"/>
        </w:rPr>
        <w:t xml:space="preserve">Übertragbarkeit: </w:t>
      </w:r>
      <w:r>
        <w:rPr>
          <w:sz w:val="19"/>
        </w:rPr>
        <w:t>Spanisch-katalanisches Krankenhaus-System, deutsche Geriatrien vergleichbar organisiert.</w:t>
      </w:r>
    </w:p>
    <w:p>
      <w:r>
        <w:rPr>
          <w:color w:val="5A7D3A"/>
          <w:sz w:val="18"/>
        </w:rPr>
        <w:t>https://pubmed.ncbi.nlm.nih.gov/42680087/</w:t>
      </w:r>
    </w:p>
    <w:p>
      <w:pPr>
        <w:pStyle w:val="Heading2"/>
      </w:pPr>
      <w:r>
        <w:t>Schlaf-Mikrostruktur in der Älterung vorhersagt kognitive Trajektorie über 10 Jahre</w:t>
      </w:r>
    </w:p>
    <w:p>
      <w:r>
        <w:rPr>
          <w:i/>
          <w:color w:val="666666"/>
          <w:sz w:val="18"/>
        </w:rPr>
        <w:t>Urdanibia-Centelles O et al.  ·  Sleep Med  ·  20.08.2026  ·  PMID 42628340</w:t>
      </w:r>
    </w:p>
    <w:p>
      <w:r>
        <w:t>Prospektive Kohortenstudie (n=82 mit ausreichend NREM-Schlaf, Polysomnografie und kognitive Tests 10 Jahre auseinander) untersucht, ob Schlafmerkmale (Spindel, Slow Waves, EEG-Kohärenz) kognitive Alterung und Verfall vorhersagen.</w:t>
      </w:r>
    </w:p>
    <w:p>
      <w:r>
        <w:rPr>
          <w:b/>
        </w:rPr>
        <w:t xml:space="preserve">Ergebnis: </w:t>
      </w:r>
      <w:r>
        <w:t>Über 10 Jahre: Verarbeitungsgeschwindigkeit nahm um 6,1 s zu, symbolische Konversion um 2,3 ab. Höhere Schlafeffizienz → besseres kognitives Halten. Erhöhte Wachphase und erhöhtes Arousal → schlechtere Gedächtnis- und Lernleistung. Höhere Fast-Spindle-Amplitude und -Frequenz, Slow-Wave-Charakteristika und N2/REM-Kohärenz korrelierten mit Verarbeitungsgeschwindigkeit, Aufmerksamkeit und globaler Kognition.</w:t>
      </w:r>
    </w:p>
    <w:p>
      <w:r>
        <w:rPr>
          <w:b/>
          <w:sz w:val="19"/>
        </w:rPr>
        <w:t xml:space="preserve">Übertragbarkeit: </w:t>
      </w:r>
      <w:r>
        <w:rPr>
          <w:sz w:val="19"/>
        </w:rPr>
        <w:t>Dänische Geburtskohorte, nordeuropäisches System vergleichbar.</w:t>
      </w:r>
    </w:p>
    <w:p>
      <w:r>
        <w:rPr>
          <w:color w:val="5A7D3A"/>
          <w:sz w:val="18"/>
        </w:rPr>
        <w:t>https://pubmed.ncbi.nlm.nih.gov/42628340/</w:t>
      </w:r>
    </w:p>
    <w:p>
      <w:pPr>
        <w:pStyle w:val="Heading1"/>
      </w:pPr>
      <w:r>
        <w:t>Aufgenommen am 04.10.2026</w:t>
      </w:r>
    </w:p>
    <w:p>
      <w:pPr>
        <w:pStyle w:val="Heading2"/>
      </w:pPr>
      <w:r>
        <w:t>Ernährungsscreening und Vorrehabilitation reduzieren Komplikationen bei älteren Frauen in der Krebschirurgie</w:t>
      </w:r>
    </w:p>
    <w:p>
      <w:r>
        <w:rPr>
          <w:i/>
          <w:color w:val="666666"/>
          <w:sz w:val="18"/>
        </w:rPr>
        <w:t>Feng Y et al.  ·  Front Public Health  ·  17.09.2026  ·  PMID 42824555</w:t>
      </w:r>
    </w:p>
    <w:p>
      <w:r>
        <w:t>Narrative Review zu Pflegeintervention bei älteren Frauen mit Krebs vor Operation: Frailty- und Ernährungsscreening, Dietitian-Referral, multimodale Prehabilitation und Enhanced Recovery.</w:t>
      </w:r>
    </w:p>
    <w:p>
      <w:r>
        <w:rPr>
          <w:b/>
        </w:rPr>
        <w:t xml:space="preserve">Ergebnis: </w:t>
      </w:r>
      <w:r>
        <w:t>Integrierten zwei-Schritt-Ansatz mit Frailty/Ernährungsscreening plus Multidimensionalem Assessment, Protein-Energie-Support und Mobilisierung in Enhanced-Recovery-Pathways wird empfohlen. Begründung: Ältere Frauen erleben Frailty-Malnutrition-Stress-Achse; Mangelernährung und Muskelabbau persistieren über Adjuvanztherapie hinaus. Wirkevidenz begrenzt auf funktionelle und ernährungsbezogene Outcomes, nicht nur Liegedauer.</w:t>
      </w:r>
    </w:p>
    <w:p>
      <w:r>
        <w:rPr>
          <w:b/>
          <w:sz w:val="19"/>
        </w:rPr>
        <w:t xml:space="preserve">Übertragbarkeit: </w:t>
      </w:r>
      <w:r>
        <w:rPr>
          <w:sz w:val="19"/>
        </w:rPr>
        <w:t>Deutschland: Geriatrisches Assessments- und Ernährungskonzept ist in deutschen Kliniken strukturell etablierbar.</w:t>
      </w:r>
    </w:p>
    <w:p>
      <w:r>
        <w:rPr>
          <w:color w:val="5A7D3A"/>
          <w:sz w:val="18"/>
        </w:rPr>
        <w:t>https://pubmed.ncbi.nlm.nih.gov/42824555/</w:t>
      </w:r>
    </w:p>
    <w:p>
      <w:pPr>
        <w:pStyle w:val="Heading2"/>
      </w:pPr>
      <w:r>
        <w:t>Hitzebelastung verschlechtert funktionale Kapazität bei älteren Erwachsenen in China</w:t>
      </w:r>
    </w:p>
    <w:p>
      <w:r>
        <w:rPr>
          <w:i/>
          <w:color w:val="666666"/>
          <w:sz w:val="18"/>
        </w:rPr>
        <w:t>Huang L et al.  ·  BMC Public Health  ·  26.09.2026  ·  PMID 42823677</w:t>
      </w:r>
    </w:p>
    <w:p>
      <w:r>
        <w:t>Longitudinale Studie an 1.393 Chinesen (45–80 Jahre) über drei Wellen (2011–2015) zur Assoziation von Hitzewellentagen mit Trajektorien der intrinsischen Kapazität (WHO-Indikator für gesundes Altern).</w:t>
      </w:r>
    </w:p>
    <w:p>
      <w:r>
        <w:rPr>
          <w:b/>
        </w:rPr>
        <w:t xml:space="preserve">Ergebnis: </w:t>
      </w:r>
      <w:r>
        <w:t>Jeder zusätzliche Hitzewellentag erhöhte das Risiko der Low-declining-Trajektorie um 3,5 % (adjustierte RRR = 1,035; 95 % KI: 1,012–1,058; p = 0,003). Effekt war ausgeprägter bei geringerer Schulbildung (RRR = 1,07) und in ländlichen Regionen (RRR = 1,05). Kältespells zeigten keinen signifikanten Effekt. Klimawandel gefährdet funktionale Gesundheit sozioökonomisch benachteiligter älterer Menschen.</w:t>
      </w:r>
    </w:p>
    <w:p>
      <w:r>
        <w:rPr>
          <w:b/>
          <w:sz w:val="19"/>
        </w:rPr>
        <w:t xml:space="preserve">Übertragbarkeit: </w:t>
      </w:r>
      <w:r>
        <w:rPr>
          <w:sz w:val="19"/>
        </w:rPr>
        <w:t>China, aber Funktionsfähigkeit als universales Konzept; Effektmodifikation durch Bildung und Wohnort relevant für alle Länder.</w:t>
      </w:r>
    </w:p>
    <w:p>
      <w:r>
        <w:rPr>
          <w:color w:val="5A7D3A"/>
          <w:sz w:val="18"/>
        </w:rPr>
        <w:t>https://pubmed.ncbi.nlm.nih.gov/42823677/</w:t>
      </w:r>
    </w:p>
    <w:p>
      <w:pPr>
        <w:pStyle w:val="Heading2"/>
      </w:pPr>
      <w:r>
        <w:t>Institutionelle Fragmentierung verstärkt Ungleichheit in der Langzeitpflege im asiatisch-pazifischen Raum</w:t>
      </w:r>
    </w:p>
    <w:p>
      <w:r>
        <w:rPr>
          <w:i/>
          <w:color w:val="666666"/>
          <w:sz w:val="18"/>
        </w:rPr>
        <w:t>Bhula-Or R et al.  ·  Australas J Ageing  ·  Dez. 2026  ·  PMID 42820354</w:t>
      </w:r>
    </w:p>
    <w:p>
      <w:r>
        <w:t>Qualitative Partizipative-Beobachtungs-Studie mit reflexiver Thematic Analysis über 107 Stakeholder (Policy, Wissenschaft, Zivilgesellschaft, Anbieter) aus ASEAN-Plus-Three während regionaler Politikdialogs 2025.</w:t>
      </w:r>
    </w:p>
    <w:p>
      <w:r>
        <w:rPr>
          <w:b/>
        </w:rPr>
        <w:t xml:space="preserve">Ergebnis: </w:t>
      </w:r>
      <w:r>
        <w:t>Drei zentrale Befunde: (1) institutionelle Fragmentierung wandelt frühere Benachteiligung in ungleiche Zugänge um; (2) Gemeinschaften fangen Lücken in formaler Pflege auf, verschieben aber nicht öffentliche Verantwortung; (3) Equity hängt von Neuverteilung von Mitsprache und sektorenübergreifender Koordination ab. Kosten fallen disproportional auf Frauen, ländliche und niedrigeinkommens-Ältere. Autorenvorschlag: nationale Koordinierungshubs als Lösungsarchitektur.</w:t>
      </w:r>
    </w:p>
    <w:p>
      <w:r>
        <w:rPr>
          <w:b/>
          <w:sz w:val="19"/>
        </w:rPr>
        <w:t xml:space="preserve">Übertragbarkeit: </w:t>
      </w:r>
      <w:r>
        <w:rPr>
          <w:sz w:val="19"/>
        </w:rPr>
        <w:t>ASEAN-Region: Transferierbar für vergleichbare föderalistische/föderative Systeme; Koordinierungslücke relevant auch für Deutschland.</w:t>
      </w:r>
    </w:p>
    <w:p>
      <w:r>
        <w:rPr>
          <w:color w:val="5A7D3A"/>
          <w:sz w:val="18"/>
        </w:rPr>
        <w:t>https://pubmed.ncbi.nlm.nih.gov/42820354/</w:t>
      </w:r>
    </w:p>
    <w:p>
      <w:pPr>
        <w:pStyle w:val="Heading2"/>
      </w:pPr>
      <w:r>
        <w:t>Zervikale Atrophie übersteigt Alterseffekt bei Multiple Sklerose – besonders in 50ern und 60ern</w:t>
      </w:r>
    </w:p>
    <w:p>
      <w:r>
        <w:rPr>
          <w:i/>
          <w:color w:val="666666"/>
          <w:sz w:val="18"/>
        </w:rPr>
        <w:t>Jain K et al.  ·  Neurology  ·  27.10.2026  ·  PMID 42814910</w:t>
      </w:r>
    </w:p>
    <w:p>
      <w:r>
        <w:t>Cross-sectional Multizenterstudie (3 italienische Zentren) mit 480 gesunden Kontrollen und 1.295 MS-Patienten (18–70 Jahre): Untersuchung, ob MS eine krankheitsspezifische Reduktion der mittleren oberen zervikalen Rückenmarksarea (MUCCA) über Altern hinaus bewirkt, und ob diese durch Geschlecht und Erkrankungsbeginn moduliert wird.</w:t>
      </w:r>
    </w:p>
    <w:p>
      <w:r>
        <w:rPr>
          <w:b/>
        </w:rPr>
        <w:t xml:space="preserve">Ergebnis: </w:t>
      </w:r>
      <w:r>
        <w:t>Bei Kontrollen: MUCCA stieg bis späte 30er Jahre (p ≤ 0,033), sank nach 50 Jahren (p ≤ 0,008). MS-Patienten zeigten Z-Scores &lt; 0 ab 30 Jahren (p ≤ 0,039), besonders in 50ern und 60ern. Markanter früh-erwachsener Decline bis späte 40er, danach Abschwächung. Geschlechtsunterschiede nicht signifikant. Höhere Atrophie korreliert mit stärkerer Behinderung (ρ = 0,196–0,392, alle p &lt; 0,001). Rückenmarksatrophie ist sensitiver MS-Biomarker für Neurodegeneration jenseits reinen Alterns.</w:t>
      </w:r>
    </w:p>
    <w:p>
      <w:r>
        <w:rPr>
          <w:b/>
          <w:sz w:val="19"/>
        </w:rPr>
        <w:t xml:space="preserve">Übertragbarkeit: </w:t>
      </w:r>
      <w:r>
        <w:rPr>
          <w:sz w:val="19"/>
        </w:rPr>
        <w:t>Italien, Deutschland: Neuroimaging-Daten aus europäischen Zentren mit vergleichbarer MS-Diagnostik; Transfer auf deutsche MS-Kohorten möglich.</w:t>
      </w:r>
    </w:p>
    <w:p>
      <w:r>
        <w:rPr>
          <w:color w:val="5A7D3A"/>
          <w:sz w:val="18"/>
        </w:rPr>
        <w:t>https://pubmed.ncbi.nlm.nih.gov/42814910/</w:t>
      </w:r>
    </w:p>
    <w:p>
      <w:pPr>
        <w:pStyle w:val="Heading2"/>
      </w:pPr>
      <w:r>
        <w:t>Kombinierte Bewegungs- und Ernährungsinterventionen beugen Frailty vor</w:t>
      </w:r>
    </w:p>
    <w:p>
      <w:r>
        <w:rPr>
          <w:i/>
          <w:color w:val="666666"/>
          <w:sz w:val="18"/>
        </w:rPr>
        <w:t>Aydin N et al.  ·  Orthop Nurs  ·  22.09.2026  ·  PMID 42809602</w:t>
      </w:r>
    </w:p>
    <w:p>
      <w:r>
        <w:t>Systematischer Review und Metaanalyse von 16 randomisierten Studien zu Frailty-Prävention bei Erwachsenen ab 65 Jahren.</w:t>
      </w:r>
    </w:p>
    <w:p>
      <w:r>
        <w:rPr>
          <w:b/>
        </w:rPr>
        <w:t xml:space="preserve">Ergebnis: </w:t>
      </w:r>
      <w:r>
        <w:t>Gesamteffektgröße: Hedges' g = –0,799 (95 % KI: –1,420 bis 0,179); Heterogenität hoch (I² = 97,32 %). Kombinierte Interventionen (Bewegung + Ernährung + integrierte Versorgung) zeigten größeren Effekt (g = 2,843; 95 % KI: 0,376–6,062) als einzelne Ansätze. Subgruppenunterschiede nicht signifikant (p = 0,080). Dauer und Frequenz von Bewegung sowie nutrizionale Unterstützung entscheidend.</w:t>
      </w:r>
    </w:p>
    <w:p>
      <w:r>
        <w:rPr>
          <w:b/>
          <w:sz w:val="19"/>
        </w:rPr>
        <w:t xml:space="preserve">Übertragbarkeit: </w:t>
      </w:r>
      <w:r>
        <w:rPr>
          <w:sz w:val="19"/>
        </w:rPr>
        <w:t>Deutschland: Multimodale Prävention ist Standard; Metaanalyse belegt Notwendigkeit kombinierter Ansätze.</w:t>
      </w:r>
    </w:p>
    <w:p>
      <w:r>
        <w:rPr>
          <w:color w:val="5A7D3A"/>
          <w:sz w:val="18"/>
        </w:rPr>
        <w:t>https://pubmed.ncbi.nlm.nih.gov/42809602/</w:t>
      </w:r>
    </w:p>
    <w:p>
      <w:pPr>
        <w:pStyle w:val="Heading2"/>
      </w:pPr>
      <w:r>
        <w:t>Enactment-Kodierung verbessert prospektives Gedächtnis über alle Altersgruppen</w:t>
      </w:r>
    </w:p>
    <w:p>
      <w:r>
        <w:rPr>
          <w:i/>
          <w:color w:val="666666"/>
          <w:sz w:val="18"/>
        </w:rPr>
        <w:t>Stelz S et al.  ·  Memory  ·  21.08.2026  ·  PMID 42627881</w:t>
      </w:r>
    </w:p>
    <w:p>
      <w:r>
        <w:t>Randomisierte Studie an 373 Personen (Kinder bis Mittelalter) mit drei Kodierungsbedingungen (episodic future thinking, enactment encoding, Standard) und computerisierter prospektiver Gedächtnisaufgabe.</w:t>
      </w:r>
    </w:p>
    <w:p>
      <w:r>
        <w:rPr>
          <w:b/>
        </w:rPr>
        <w:t xml:space="preserve">Ergebnis: </w:t>
      </w:r>
      <w:r>
        <w:t>Enactment encoding führte zu signifikant besserer Leistung als episodic future thinking und Standard (Haupteffekt p &lt; 0,05). Vorteil war unabhängig von Altersgruppe – kein Alters-mal-Bedingung-Effekt (Erwartung widerlegt). Immediate Memory und Attention waren beste RBANS-Prädiktoren für alltägliche Funktionalität.</w:t>
      </w:r>
    </w:p>
    <w:p>
      <w:r>
        <w:rPr>
          <w:b/>
          <w:sz w:val="19"/>
        </w:rPr>
        <w:t xml:space="preserve">Übertragbarkeit: </w:t>
      </w:r>
      <w:r>
        <w:rPr>
          <w:sz w:val="19"/>
        </w:rPr>
        <w:t>Deutschland: Universelle Kodierungsmethode, unabhängig von kognitiven Ressourcen im Alter anwendbar.</w:t>
      </w:r>
    </w:p>
    <w:p>
      <w:r>
        <w:rPr>
          <w:color w:val="5A7D3A"/>
          <w:sz w:val="18"/>
        </w:rPr>
        <w:t>https://pubmed.ncbi.nlm.nih.gov/42627881/</w:t>
      </w:r>
    </w:p>
    <w:p>
      <w:pPr>
        <w:pStyle w:val="Heading1"/>
      </w:pPr>
      <w:r>
        <w:t>Aufgenommen am 03.10.2026</w:t>
      </w:r>
    </w:p>
    <w:p>
      <w:pPr>
        <w:pStyle w:val="Heading2"/>
      </w:pPr>
      <w:r>
        <w:t>Multimorbiditäts-Effekte auf erhaltene Funktionsfähigkeit: Heterogenität nach Krankheitstyp und sozioökonomischem Status</w:t>
      </w:r>
    </w:p>
    <w:p>
      <w:r>
        <w:rPr>
          <w:i/>
          <w:color w:val="666666"/>
          <w:sz w:val="18"/>
        </w:rPr>
        <w:t>Zeng Z et al.  ·  Medicine (Baltimore)  ·  02.10.2026  ·  PMID 42826326</w:t>
      </w:r>
    </w:p>
    <w:p>
      <w:r>
        <w:t>Querschnittsstudie mit wiederholten Beobachtungen aus China (2011, 2015, 2018) zu Assoziationen zwischen Multimorbiditäten und Intrinsic Capacity (selbstständiges Leben) mit Subgruppenanalysen nach Erkrankungstyp, Region und Einkommen.</w:t>
      </w:r>
    </w:p>
    <w:p>
      <w:r>
        <w:rPr>
          <w:b/>
        </w:rPr>
        <w:t xml:space="preserve">Ergebnis: </w:t>
      </w:r>
      <w:r>
        <w:t>Multimorbiditäten waren signifikant mit niedriger Intrinsic Capacity assoziiert (β=−0,076, p&lt;0,01). Neurodegenerative Erkrankungen zeigten die stärkste negative Assoziation (β=−0,587), gefolgt von kardiovaskulären Erkrankungen (β=−0,135). Negative Assoziationen waren stärker in ländlichen Gebieten, westlichen Regionen und bei niedrigerem Einkommen/Bildung.</w:t>
      </w:r>
    </w:p>
    <w:p>
      <w:r>
        <w:rPr>
          <w:b/>
          <w:sz w:val="19"/>
        </w:rPr>
        <w:t xml:space="preserve">Übertragbarkeit: </w:t>
      </w:r>
      <w:r>
        <w:rPr>
          <w:sz w:val="19"/>
        </w:rPr>
        <w:t>China, andere Ausgangslage; Befunde zu Multimorbiditäts-Burden in alternder Bevölkerung relevant für globale Perspektive</w:t>
      </w:r>
    </w:p>
    <w:p>
      <w:r>
        <w:rPr>
          <w:color w:val="5A7D3A"/>
          <w:sz w:val="18"/>
        </w:rPr>
        <w:t>https://pubmed.ncbi.nlm.nih.gov/42826326/</w:t>
      </w:r>
    </w:p>
    <w:p>
      <w:pPr>
        <w:pStyle w:val="Heading2"/>
      </w:pPr>
      <w:r>
        <w:t>Kompetenzdefizite von Pflegefachpersonen bei Frailty-Management: Praxis schwächer als Wissen</w:t>
      </w:r>
    </w:p>
    <w:p>
      <w:r>
        <w:rPr>
          <w:i/>
          <w:color w:val="666666"/>
          <w:sz w:val="18"/>
        </w:rPr>
        <w:t>Lyu J et al.  ·  Front Public Health  ·  17.09.2026  ·  PMID 42824785</w:t>
      </w:r>
    </w:p>
    <w:p>
      <w:r>
        <w:t>Querschnittsbefragung von 610 Pflegefachpersonen an 41 Krankenhäusern in China zu Wissen, Einstellungen und praktischen Fertigkeiten (KAP) zur Frailty-Versorgung und deren Determinanten.</w:t>
      </w:r>
    </w:p>
    <w:p>
      <w:r>
        <w:rPr>
          <w:b/>
        </w:rPr>
        <w:t xml:space="preserve">Ergebnis: </w:t>
      </w:r>
      <w:r>
        <w:t>Mittleres KAP-Score 103,07±12,65 (81,16% des Maximums): Einstellung 88,53%, Wissen 81,38%, Praxis 74,40%. Recente Frailty-Schulung war unabhängig mit besserem Gesamt-KAP assoziiert (β=−6,820 für nicht trainiert versus innerhalb eines Monats trainiert, p=0,036). Geriatrische Fachzertifizierung war nur mit Wissen assoziiert, nicht mit Gesamtleistung oder Praxis.</w:t>
      </w:r>
    </w:p>
    <w:p>
      <w:r>
        <w:rPr>
          <w:b/>
          <w:sz w:val="19"/>
        </w:rPr>
        <w:t xml:space="preserve">Übertragbarkeit: </w:t>
      </w:r>
      <w:r>
        <w:rPr>
          <w:sz w:val="19"/>
        </w:rPr>
        <w:t>China, andere Gesundheitssystem-Struktur; Erkenntnis zur Schulungsrelevanz bei Fachpersonal übertragbar</w:t>
      </w:r>
    </w:p>
    <w:p>
      <w:r>
        <w:rPr>
          <w:color w:val="5A7D3A"/>
          <w:sz w:val="18"/>
        </w:rPr>
        <w:t>https://pubmed.ncbi.nlm.nih.gov/42824785/</w:t>
      </w:r>
    </w:p>
    <w:p>
      <w:pPr>
        <w:pStyle w:val="Heading2"/>
      </w:pPr>
      <w:r>
        <w:t>Geografische Disparitäten beim direkten Zugang zu akutgeriatrischer Versorgung</w:t>
      </w:r>
    </w:p>
    <w:p>
      <w:r>
        <w:rPr>
          <w:i/>
          <w:color w:val="666666"/>
          <w:sz w:val="18"/>
        </w:rPr>
        <w:t>Varg S et al.  ·  BMC Geriatr  ·  02.10.2026  ·  PMID 42823763</w:t>
      </w:r>
    </w:p>
    <w:p>
      <w:r>
        <w:t>Observationsstudie in Stockholm zu Variation der Rettungswagen-Einweisungen von über 65-Jährigen direkt in Geriatrische Stationen versus Notaufnahmen und zugrunde liegenden Unterschieden zwischen Versorgungsgebieten.</w:t>
      </w:r>
    </w:p>
    <w:p>
      <w:r>
        <w:rPr>
          <w:b/>
        </w:rPr>
        <w:t xml:space="preserve">Ergebnis: </w:t>
      </w:r>
      <w:r>
        <w:t>Von 8.208 Patienten wurden 603 (7%) direkt in eine Geriatrische Station aufgenommen; Quoten variierten zwischen 4% und 21% je Krankenhaus-Versorgungsgebiet. Nach Adjustierung für Angebotsfaktoren erklärten Nähe zur geriatrischen Einheit (26% Varianzreduktion), Trägerschaft (27%) und Bettenzahl (38%) einen Teil der Variation; erhebliche Residualvariation blieb bestehen (MOR=1,54), was auf unmessbare Faktoren hindeutet.</w:t>
      </w:r>
    </w:p>
    <w:p>
      <w:r>
        <w:rPr>
          <w:b/>
          <w:sz w:val="19"/>
        </w:rPr>
        <w:t xml:space="preserve">Übertragbarkeit: </w:t>
      </w:r>
      <w:r>
        <w:rPr>
          <w:sz w:val="19"/>
        </w:rPr>
        <w:t>Schwedische Klinikdaten, Notfallsystem mit weniger fragmentierter Versorgungslandschaft als Deutschland</w:t>
      </w:r>
    </w:p>
    <w:p>
      <w:r>
        <w:rPr>
          <w:color w:val="5A7D3A"/>
          <w:sz w:val="18"/>
        </w:rPr>
        <w:t>https://pubmed.ncbi.nlm.nih.gov/42823763/</w:t>
      </w:r>
    </w:p>
    <w:p>
      <w:pPr>
        <w:pStyle w:val="Heading2"/>
      </w:pPr>
      <w:r>
        <w:t>Frailty-Komponenten und Funktionsfähigkeit: Unterschiede zwischen baltischen und nordischen Ländern</w:t>
      </w:r>
    </w:p>
    <w:p>
      <w:r>
        <w:rPr>
          <w:i/>
          <w:color w:val="666666"/>
          <w:sz w:val="18"/>
        </w:rPr>
        <w:t>Bukova-Žideļūna A et al.  ·  BMC Geriatr  ·  28.07.2026  ·  PMID 42823669</w:t>
      </w:r>
    </w:p>
    <w:p>
      <w:r>
        <w:t>Längsschnittstudie über zwei Jahre zu Zusammenhängen zwischen Frailty-Status und neuen Einschränkungen bei Aktivitäten des täglichen Lebens (ADL/IADL) in über 65-Jährigen aus baltischen und nordischen Ländern mit SHARE-Daten.</w:t>
      </w:r>
    </w:p>
    <w:p>
      <w:r>
        <w:rPr>
          <w:b/>
        </w:rPr>
        <w:t xml:space="preserve">Ergebnis: </w:t>
      </w:r>
      <w:r>
        <w:t>Über zwei Jahre entwickelten 5,9% neue IADL-Einschränkungen in baltischen und 6,4% in nordischen Ländern; 4,6% bzw. 4,7% neue ADL-Einschränkungen. Pre-Frailty war in beiden Regionen mit neuen IADL-Einschränkungen assoziiert. Erschöpfung war die einzige Frailty-Komponente, die unabhängig in beiden Regionen mit neuen Limitationen verknüpft war. Frailty-Prevalenz war in baltischen Ländern deutlich höher.</w:t>
      </w:r>
    </w:p>
    <w:p>
      <w:r>
        <w:rPr>
          <w:b/>
          <w:sz w:val="19"/>
        </w:rPr>
        <w:t xml:space="preserve">Übertragbarkeit: </w:t>
      </w:r>
      <w:r>
        <w:rPr>
          <w:sz w:val="19"/>
        </w:rPr>
        <w:t>SHARE-Daten aus Europa, vergleichbare Gesundheitssysteme und Datenqualität</w:t>
      </w:r>
    </w:p>
    <w:p>
      <w:r>
        <w:rPr>
          <w:color w:val="5A7D3A"/>
          <w:sz w:val="18"/>
        </w:rPr>
        <w:t>https://pubmed.ncbi.nlm.nih.gov/42823669/</w:t>
      </w:r>
    </w:p>
    <w:p>
      <w:pPr>
        <w:pStyle w:val="Heading2"/>
      </w:pPr>
      <w:r>
        <w:t>Vorhersagefaktoren für erhaltene Robustheit im Alter: 8-Jahres-Kohortenstudie</w:t>
      </w:r>
    </w:p>
    <w:p>
      <w:r>
        <w:rPr>
          <w:i/>
          <w:color w:val="666666"/>
          <w:sz w:val="18"/>
        </w:rPr>
        <w:t>Iktilat K et al.  ·  BMC Geriatr  ·  19.08.2026  ·  PMID 42823660</w:t>
      </w:r>
    </w:p>
    <w:p>
      <w:r>
        <w:t>Multinationalle Langzeitanalyse über acht Jahre zu Baseline-Merkmalen, die das Verbleiben in einem robusten (nicht-frail) Zustand vorhersagen bei älteren Erwachsenen 65–84 Jahren aus 27 SHARE-Ländern.</w:t>
      </w:r>
    </w:p>
    <w:p>
      <w:r>
        <w:rPr>
          <w:b/>
        </w:rPr>
        <w:t xml:space="preserve">Ergebnis: </w:t>
      </w:r>
      <w:r>
        <w:t>Nach acht Jahren verblieben 52% der jüngeren Älteren (65–74 J.) und 26% der älteren Älteren (75–84 J.) robust. Konsistent beste Vorhersagefaktoren waren bessere subjektive Gesundheit (OR ≈0,72, p&lt;0,001), weniger chronische Erkrankungen (OR ≈0,89, p&lt;0,001) und finanzielle Sicherheit (OR ≈1,11, p=0,018). Soziale und kognitive Aktivitäten zeigten in manchen Modellen Assoziationen.</w:t>
      </w:r>
    </w:p>
    <w:p>
      <w:r>
        <w:rPr>
          <w:b/>
          <w:sz w:val="19"/>
        </w:rPr>
        <w:t xml:space="preserve">Übertragbarkeit: </w:t>
      </w:r>
      <w:r>
        <w:rPr>
          <w:sz w:val="19"/>
        </w:rPr>
        <w:t>SHARE-Daten aus Europa, vergleichbare Bevölkerungsstruktur und Sozialsysteme</w:t>
      </w:r>
    </w:p>
    <w:p>
      <w:r>
        <w:rPr>
          <w:color w:val="5A7D3A"/>
          <w:sz w:val="18"/>
        </w:rPr>
        <w:t>https://pubmed.ncbi.nlm.nih.gov/42823660/</w:t>
      </w:r>
    </w:p>
    <w:p>
      <w:pPr>
        <w:pStyle w:val="Heading2"/>
      </w:pPr>
      <w:r>
        <w:t>Frailty als Prädiktor für Krankenhausaufnahme jenseits des Triage-Scores</w:t>
      </w:r>
    </w:p>
    <w:p>
      <w:r>
        <w:rPr>
          <w:i/>
          <w:color w:val="666666"/>
          <w:sz w:val="18"/>
        </w:rPr>
        <w:t>Hata N et al.  ·  Acad Emerg Med  ·  Okt. 2026  ·  PMID 42811477</w:t>
      </w:r>
    </w:p>
    <w:p>
      <w:r>
        <w:t>Retrospektive Kohortenanalyse von Notaufnahme-Patienten ≥65 Jahren in Japan (n=3127 Besuche) zur Assoziation zwischen Clinical Frailty Scale und Hospitalisierung, stratifiziert nach Triage-Kategorien.</w:t>
      </w:r>
    </w:p>
    <w:p>
      <w:r>
        <w:rPr>
          <w:b/>
        </w:rPr>
        <w:t xml:space="preserve">Ergebnis: </w:t>
      </w:r>
      <w:r>
        <w:t>Von 3.127 ED-Besuchen führten 1.526 zur Aufnahme. Adjustierte Odds Ratios für Frailty (CFS≥5) waren 1,00 (95% CI 0,65–1,55) in JTAS 2, 1,54 (1,19–1,99) in JTAS 3 und 2,01 (1,13–3,58) in JTAS 4/5. Globale CFS-by-JTAS-Interaktion war nicht signifikant (p=0,091), deutet aber numerisch auf stärkere Frailty-Effekte bei niedrigerer Triage-Dringlichkeit hin.</w:t>
      </w:r>
    </w:p>
    <w:p>
      <w:r>
        <w:rPr>
          <w:b/>
          <w:sz w:val="19"/>
        </w:rPr>
        <w:t xml:space="preserve">Übertragbarkeit: </w:t>
      </w:r>
      <w:r>
        <w:rPr>
          <w:sz w:val="19"/>
        </w:rPr>
        <w:t>Japan, ähnliches Gesundheitssystem; Befund zu Frailty-Screening in der Notaufnahme strukturübergreifend relevant</w:t>
      </w:r>
    </w:p>
    <w:p>
      <w:r>
        <w:rPr>
          <w:color w:val="5A7D3A"/>
          <w:sz w:val="18"/>
        </w:rPr>
        <w:t>https://pubmed.ncbi.nlm.nih.gov/42811477/</w:t>
      </w:r>
    </w:p>
    <w:p>
      <w:pPr>
        <w:pStyle w:val="Heading1"/>
      </w:pPr>
      <w:r>
        <w:t>Aufgenommen am 02.10.2026</w:t>
      </w:r>
    </w:p>
    <w:p>
      <w:pPr>
        <w:pStyle w:val="Heading2"/>
      </w:pPr>
      <w:r>
        <w:t>Körperliche Aktivität senkt Risiko für intrinsische Kapazitätsverluste bei hospitalisierten Älteren</w:t>
      </w:r>
    </w:p>
    <w:p>
      <w:r>
        <w:rPr>
          <w:i/>
          <w:color w:val="666666"/>
          <w:sz w:val="18"/>
        </w:rPr>
        <w:t>Fan W et al.  ·  Australas J Ageing  ·  Dez. 2026  ·  PMID 42820336</w:t>
      </w:r>
    </w:p>
    <w:p>
      <w:r>
        <w:t>Querschnittsstudie mit 534 hospitalisierten älteren Patienten (China) zur Dosis-Wirkungs-Beziehung zwischen körperlicher Aktivität und Verfall der intrinsischen Kapazität.</w:t>
      </w:r>
    </w:p>
    <w:p>
      <w:r>
        <w:rPr>
          <w:b/>
        </w:rPr>
        <w:t xml:space="preserve">Ergebnis: </w:t>
      </w:r>
      <w:r>
        <w:t>Moderate körperliche Aktivität reduzierte Risiko für Kapazitätsverlust um 66% (OR=0,34, 95%-KI 0,23–0,50), hohe Aktivität um 74% (OR=0,26, KI 0,14–0,49). J-förmige nichtlineare Assoziation nachgewiesen. Subgruppenanalysen deuteten auf Geschlecht als potenziellen Moderator hin.</w:t>
      </w:r>
    </w:p>
    <w:p>
      <w:r>
        <w:rPr>
          <w:b/>
          <w:sz w:val="19"/>
        </w:rPr>
        <w:t xml:space="preserve">Übertragbarkeit: </w:t>
      </w:r>
      <w:r>
        <w:rPr>
          <w:sz w:val="19"/>
        </w:rPr>
        <w:t>China, Daten aus Akutkliniken; intrinsische Kapazität international anerkanntes Konzept</w:t>
      </w:r>
    </w:p>
    <w:p>
      <w:r>
        <w:rPr>
          <w:color w:val="5A7D3A"/>
          <w:sz w:val="18"/>
        </w:rPr>
        <w:t>https://pubmed.ncbi.nlm.nih.gov/42820336/</w:t>
      </w:r>
    </w:p>
    <w:p>
      <w:pPr>
        <w:pStyle w:val="Heading2"/>
      </w:pPr>
      <w:r>
        <w:t>Intrinsische Kapazität und Frailty Index prognostizieren Behinderung und Mortalität</w:t>
      </w:r>
    </w:p>
    <w:p>
      <w:r>
        <w:rPr>
          <w:i/>
          <w:color w:val="666666"/>
          <w:sz w:val="18"/>
        </w:rPr>
        <w:t>Feng B et al.  ·  Front Public Health  ·  16.09.2026  ·  PMID 42818694</w:t>
      </w:r>
    </w:p>
    <w:p>
      <w:r>
        <w:t>Prospektive Kohorte mit 7.168 Erwachsenen ≥60 Jahren (China) zur Vorhersagekraft von intrinsischer Kapazität und Frailty-Index für neue Behinderung und Gesamtsterblichkeit.</w:t>
      </w:r>
    </w:p>
    <w:p>
      <w:r>
        <w:rPr>
          <w:b/>
        </w:rPr>
        <w:t xml:space="preserve">Ergebnis: </w:t>
      </w:r>
      <w:r>
        <w:t>Höhere intrinsische Kapazität: niedrigere Behinderungsodds (OR=0,79 pro Punkt, 95%-KI 0,74–0,84) und reduziertes Mortalitätsrisiko (HR=0,84, KI 0,82–0,85). Höherer Frailty-Index: höhere Behinderungsodds (OR=1,93 pro 0,1-Punkte-Steigerung, KI 1,67–2,23). Kombiniert niedrige IC + hoher FI: größtes Behinderungsrisiko (OR=4,31, KI 2,65–7,04) und Mortalitätsrisiko (HR=2,66, KI 2,32–3,04).</w:t>
      </w:r>
    </w:p>
    <w:p>
      <w:r>
        <w:rPr>
          <w:b/>
          <w:sz w:val="19"/>
        </w:rPr>
        <w:t xml:space="preserve">Übertragbarkeit: </w:t>
      </w:r>
      <w:r>
        <w:rPr>
          <w:sz w:val="19"/>
        </w:rPr>
        <w:t>China; beide Konzepte international etabliert, IC und Frailty-Metriken WHO-anerkannt</w:t>
      </w:r>
    </w:p>
    <w:p>
      <w:r>
        <w:rPr>
          <w:color w:val="5A7D3A"/>
          <w:sz w:val="18"/>
        </w:rPr>
        <w:t>https://pubmed.ncbi.nlm.nih.gov/42818694/</w:t>
      </w:r>
    </w:p>
    <w:p>
      <w:pPr>
        <w:pStyle w:val="Heading2"/>
      </w:pPr>
      <w:r>
        <w:t>Gesundheitskompetenz fördert aktives und erfolgreiches Altern</w:t>
      </w:r>
    </w:p>
    <w:p>
      <w:r>
        <w:rPr>
          <w:i/>
          <w:color w:val="666666"/>
          <w:sz w:val="18"/>
        </w:rPr>
        <w:t>Akdeniz Ş et al.  ·  BMC Geriatr  ·  29.09.2026  ·  PMID 42816844</w:t>
      </w:r>
    </w:p>
    <w:p>
      <w:r>
        <w:t>Querschnittsstudie an 306 älteren Erwachsenen (Ø 67,8 Jahre) in der Türkei zu Zusammenhängen zwischen Gesundheitskompetenz, aktivem Altern und erfolgreichem Altern.</w:t>
      </w:r>
    </w:p>
    <w:p>
      <w:r>
        <w:rPr>
          <w:b/>
        </w:rPr>
        <w:t xml:space="preserve">Ergebnis: </w:t>
      </w:r>
      <w:r>
        <w:t>Höhere Gesundheitskompetenz war signifikant mit besserem aktivem Altern assoziiert (p&lt;0,01) und erklärte 56,4% der Varianz des Active-Ageing-Scores (R²=0,564). Regelmäßige mentale Aktivität und Gesundheitskompetenz waren unabhängige Prädiktoren; Bildung und regelmäßiges Training waren im Gesamtmodell nicht signifikant. Zentrale Erkenntnis: Gesundheitskompetenz ist Schlüsselfaktor für aktives Altern.</w:t>
      </w:r>
    </w:p>
    <w:p>
      <w:r>
        <w:rPr>
          <w:b/>
          <w:sz w:val="19"/>
        </w:rPr>
        <w:t xml:space="preserve">Übertragbarkeit: </w:t>
      </w:r>
      <w:r>
        <w:rPr>
          <w:sz w:val="19"/>
        </w:rPr>
        <w:t>Türkei mit vergleichbarer Sozialversicherung, Health-Literacy-Instrumente international validiert</w:t>
      </w:r>
    </w:p>
    <w:p>
      <w:r>
        <w:rPr>
          <w:color w:val="5A7D3A"/>
          <w:sz w:val="18"/>
        </w:rPr>
        <w:t>https://pubmed.ncbi.nlm.nih.gov/42816844/</w:t>
      </w:r>
    </w:p>
    <w:p>
      <w:pPr>
        <w:pStyle w:val="Heading2"/>
      </w:pPr>
      <w:r>
        <w:t>Metabolische Dysregulation vorhersagt Frailty-Entwicklung bei älteren Erwachsenen</w:t>
      </w:r>
    </w:p>
    <w:p>
      <w:r>
        <w:rPr>
          <w:i/>
          <w:color w:val="666666"/>
          <w:sz w:val="18"/>
        </w:rPr>
        <w:t>Wang H et al.  ·  Front Public Health  ·  14.09.2026  ·  PMID 42807462</w:t>
      </w:r>
    </w:p>
    <w:p>
      <w:r>
        <w:t>Prospektive Kohortenstudie (n=2.476, China, 2018–2021) zur zeitlichen Assoziation zwischen TyG-CVAI (Triglycerid-Glukose × viszerales Adipositas-Index) und Frailty-Index.</w:t>
      </w:r>
    </w:p>
    <w:p>
      <w:r>
        <w:rPr>
          <w:b/>
        </w:rPr>
        <w:t xml:space="preserve">Ergebnis: </w:t>
      </w:r>
      <w:r>
        <w:t>Baseline TyG-CVAI prägt Follow-up-Frailty signifikant (standardisiert β=0,165, p&lt;0,001), inverse Assoziation deutlich schwächer (β=0,035, p&lt;0,001). Nichtlineares Verhältnis mit Wendepunkt TyG-CVAI≈750. Subgruppen: stärkere Assoziation unter 60 Jahren, bei ethnischen Minderheiten, ohne Hypertonie/Diabetes. TyG-CVAI als Routine-Biomarker für Früh-Screening geeignet.</w:t>
      </w:r>
    </w:p>
    <w:p>
      <w:r>
        <w:rPr>
          <w:b/>
          <w:sz w:val="19"/>
        </w:rPr>
        <w:t xml:space="preserve">Übertragbarkeit: </w:t>
      </w:r>
      <w:r>
        <w:rPr>
          <w:sz w:val="19"/>
        </w:rPr>
        <w:t>China; TyG-Index und viszerales Adipositas-Index aus Routineparametern</w:t>
      </w:r>
    </w:p>
    <w:p>
      <w:r>
        <w:rPr>
          <w:color w:val="5A7D3A"/>
          <w:sz w:val="18"/>
        </w:rPr>
        <w:t>https://pubmed.ncbi.nlm.nih.gov/42807462/</w:t>
      </w:r>
    </w:p>
    <w:p>
      <w:pPr>
        <w:pStyle w:val="Heading2"/>
      </w:pPr>
      <w:r>
        <w:t>Pilocarpin-Tropfen bei Xerostomie in Palliativversorgung: randomisierte Studie</w:t>
      </w:r>
    </w:p>
    <w:p>
      <w:r>
        <w:rPr>
          <w:i/>
          <w:color w:val="666666"/>
          <w:sz w:val="18"/>
        </w:rPr>
        <w:t>van der Meulen A et al.  ·  J Am Med Dir Assoc  ·  25.08.2026  ·  PMID 42641502</w:t>
      </w:r>
    </w:p>
    <w:p>
      <w:r>
        <w:t>Randomisierte, doppelblinde Placebo-kontrollierte Studie (n=92, Niederlande) zu Wirksamkeit von topischem Pilocarpin gegen Mundtrockenheit bei Patienten mit lebensverkürzender Erkrankung und/oder Frailty.</w:t>
      </w:r>
    </w:p>
    <w:p>
      <w:r>
        <w:rPr>
          <w:b/>
        </w:rPr>
        <w:t xml:space="preserve">Ergebnis: </w:t>
      </w:r>
      <w:r>
        <w:t>Kein signifikanter Unterschied zwischen Pilocarpin und Placebo in Xerostomie-Schweregrad Woche 2 oder 4 (adjustiertes β=–0,37, KI –1,31 bis 0,58 Woche 4). Nur Pilocarpin zeigte kontinuierliche Reduktion Woche 2–4 (–0,86, KI –1,56 bis –0,15). Mundgesundheits-Lebensqualität verbesserte sich unter Pilocarpin Woche 2 (β=2,8, KI 0,91–4,65). Studie unterversorgt; Verträglichkeit gut.</w:t>
      </w:r>
    </w:p>
    <w:p>
      <w:r>
        <w:rPr>
          <w:b/>
          <w:sz w:val="19"/>
        </w:rPr>
        <w:t xml:space="preserve">Übertragbarkeit: </w:t>
      </w:r>
      <w:r>
        <w:rPr>
          <w:sz w:val="19"/>
        </w:rPr>
        <w:t>Niederlande, vergleichbares Versicherungssystem; Palliativversorgung älterer Patienten</w:t>
      </w:r>
    </w:p>
    <w:p>
      <w:r>
        <w:rPr>
          <w:color w:val="5A7D3A"/>
          <w:sz w:val="18"/>
        </w:rPr>
        <w:t>https://pubmed.ncbi.nlm.nih.gov/42641502/</w:t>
      </w:r>
    </w:p>
    <w:p>
      <w:pPr>
        <w:pStyle w:val="Heading1"/>
      </w:pPr>
      <w:r>
        <w:t>Aufgenommen am 01.10.2026</w:t>
      </w:r>
    </w:p>
    <w:p>
      <w:pPr>
        <w:pStyle w:val="Heading2"/>
      </w:pPr>
      <w:r>
        <w:t>Hochintensives Gehen baut Gebrechlichkeit bei älteren Menschen besser ab als lockeres Spaziergang</w:t>
      </w:r>
    </w:p>
    <w:p>
      <w:r>
        <w:rPr>
          <w:i/>
          <w:color w:val="666666"/>
          <w:sz w:val="18"/>
        </w:rPr>
        <w:t>Danilovich M et al.  ·  PLoS One  ·  30.09.2026  ·  PMID 42814673</w:t>
      </w:r>
    </w:p>
    <w:p>
      <w:r>
        <w:t>Randomisierte kontrollierte Studie an 165 gebrechlichen oder vorgebrechlichen älteren Menschen (Alter ≥60 Jahre), die entweder hochintensives Gehen (70% Herzfrequenzmaximum) oder lockeres Gehen (unter 60%) über 16 Wochen trainierten.</w:t>
      </w:r>
    </w:p>
    <w:p>
      <w:r>
        <w:rPr>
          <w:b/>
        </w:rPr>
        <w:t xml:space="preserve">Ergebnis: </w:t>
      </w:r>
      <w:r>
        <w:t>69,6% der hochintensiv trainierenden Teilnehmer (32/46) verbesserten ihre Gebrechlichkeit um mind. eine Kategorie gegenüber 46,4% der Kontrollgruppe (26/56) – Odds Ratio 2,91 (95% KI 1,19–7,13, p=0,02). Hochintensives Training erhöhte Gehgeschwindigkeit um 0,08 m/s (95% KI 0,03–0,13) und 6-Minuten-Gehstrecke um 49 m (95% KI 21–77 m).</w:t>
      </w:r>
    </w:p>
    <w:p>
      <w:r>
        <w:rPr>
          <w:b/>
          <w:sz w:val="19"/>
        </w:rPr>
        <w:t xml:space="preserve">Übertragbarkeit: </w:t>
      </w:r>
      <w:r>
        <w:rPr>
          <w:sz w:val="19"/>
        </w:rPr>
        <w:t>USA; Interventionsergebnis unabhängig von Gesundheitssystem übertragbar</w:t>
      </w:r>
    </w:p>
    <w:p>
      <w:r>
        <w:rPr>
          <w:color w:val="5A7D3A"/>
          <w:sz w:val="18"/>
        </w:rPr>
        <w:t>https://pubmed.ncbi.nlm.nih.gov/42814673/</w:t>
      </w:r>
    </w:p>
    <w:p>
      <w:pPr>
        <w:pStyle w:val="Heading2"/>
      </w:pPr>
      <w:r>
        <w:t>Chemokine CCL2 und CXCL2 als Marker für Delirium-Anfälligkeit bei älteren Menschen</w:t>
      </w:r>
    </w:p>
    <w:p>
      <w:r>
        <w:rPr>
          <w:i/>
          <w:color w:val="666666"/>
          <w:sz w:val="18"/>
        </w:rPr>
        <w:t>Moorey H et al.  ·  Age Ageing  ·  04.09.2026  ·  PMID 42814578</w:t>
      </w:r>
    </w:p>
    <w:p>
      <w:r>
        <w:t>Prospektive Kohortenstudie an 98 Bewohnern der Allgemeinbevölkerung (Median-Alter 88 Jahre, 90,8% gebrechlich) aus der CASCADE-Studie mit 2-Jahres-Verfolgung zur Deliriumprävention.</w:t>
      </w:r>
    </w:p>
    <w:p>
      <w:r>
        <w:rPr>
          <w:b/>
        </w:rPr>
        <w:t xml:space="preserve">Ergebnis: </w:t>
      </w:r>
      <w:r>
        <w:t>43,9% der Teilnehmer erlebten ≥1 Delirium-Episode. CCL2 und CXCL2 waren zu Baseline bei der Deliriumgruppe signifikant erhöht (CCL2: 13,38 vs. 10,83, p=0,004; CXCL2: 17,23 vs. 13,49, p=0,031). CCL2-Assoziation mit Deliriumrisiko blieb in beiden Demenzunttergruppen stabil; CXCL2 nur bei Teilnehmern ohne Demenz signifikant.</w:t>
      </w:r>
    </w:p>
    <w:p>
      <w:r>
        <w:rPr>
          <w:b/>
          <w:sz w:val="19"/>
        </w:rPr>
        <w:t xml:space="preserve">Übertragbarkeit: </w:t>
      </w:r>
      <w:r>
        <w:rPr>
          <w:sz w:val="19"/>
        </w:rPr>
        <w:t>UK (Birmingham), vergleichbares Gesundheitssystem und Altersstruktur</w:t>
      </w:r>
    </w:p>
    <w:p>
      <w:r>
        <w:rPr>
          <w:color w:val="5A7D3A"/>
          <w:sz w:val="18"/>
        </w:rPr>
        <w:t>https://pubmed.ncbi.nlm.nih.gov/42814578/</w:t>
      </w:r>
    </w:p>
    <w:p>
      <w:pPr>
        <w:pStyle w:val="Heading2"/>
      </w:pPr>
      <w:r>
        <w:t>Anticholinerge Blasenmittel erhöhen Demenzrisiko bei älteren Frauen stärker als Beta-3-Agonisten</w:t>
      </w:r>
    </w:p>
    <w:p>
      <w:r>
        <w:rPr>
          <w:i/>
          <w:color w:val="666666"/>
          <w:sz w:val="18"/>
        </w:rPr>
        <w:t>Ito K et al.  ·  Int J Urol  ·  Okt. 2026  ·  PMID 42814029</w:t>
      </w:r>
    </w:p>
    <w:p>
      <w:r>
        <w:t>Retrospektive Kohortenstudie mit 3794 älteren Frauen (65–84 Jahre) in Japan, die neu mit Anticholinergika oder Beta-3-Agonisten gegen überaktive Blase behandelt wurden, mit mindestens 1 Jahr kontinuierlicher Therapie und 5-Jahre-Verfolgung.</w:t>
      </w:r>
    </w:p>
    <w:p>
      <w:r>
        <w:rPr>
          <w:b/>
        </w:rPr>
        <w:t xml:space="preserve">Ergebnis: </w:t>
      </w:r>
      <w:r>
        <w:t>Kein signifikanter Unterschied in Verschlechterung der Pflegebedürftigkeit (HR 1,03, 95% KI 0,87–1,22). Anticholinergikagruppe zeigte erhöhtes Demenzrisiko (HR 1,49, 95% KI 1,04–2,13). Elektronischer Gebrechlichkeitsindex unterschied sich nicht (p&gt;0,05).</w:t>
      </w:r>
    </w:p>
    <w:p>
      <w:r>
        <w:rPr>
          <w:b/>
          <w:sz w:val="19"/>
        </w:rPr>
        <w:t xml:space="preserve">Übertragbarkeit: </w:t>
      </w:r>
      <w:r>
        <w:rPr>
          <w:sz w:val="19"/>
        </w:rPr>
        <w:t>Japan (Shizuoka-Kasse); vergleichbares Alter und Gesundheitssystem; Ergebnis zur Deprescribing übertragbar</w:t>
      </w:r>
    </w:p>
    <w:p>
      <w:r>
        <w:rPr>
          <w:color w:val="5A7D3A"/>
          <w:sz w:val="18"/>
        </w:rPr>
        <w:t>https://pubmed.ncbi.nlm.nih.gov/42814029/</w:t>
      </w:r>
    </w:p>
    <w:p>
      <w:pPr>
        <w:pStyle w:val="Heading2"/>
      </w:pPr>
      <w:r>
        <w:t>Trauer um Ehepartner verschärft kognitiven Verfall bei älteren Menschen in verschiedenen Ländern</w:t>
      </w:r>
    </w:p>
    <w:p>
      <w:r>
        <w:rPr>
          <w:i/>
          <w:color w:val="666666"/>
          <w:sz w:val="18"/>
        </w:rPr>
        <w:t>Guo C et al.  ·  Epidemiol Psychiatr Sci  ·  30.09.2026  ·  PMID 42813925</w:t>
      </w:r>
    </w:p>
    <w:p>
      <w:r>
        <w:t>Prospektive Metaanalyse aus sechs harmonisierten Alterskohortensurveys (USA, England, Mexiko, China, Indien, Südafrika; n=18.551, Alter 61–71 Jahre) mit neuropsychologischem Assessment zur Auswirkung von Verwitwung auf kognitive Domänen.</w:t>
      </w:r>
    </w:p>
    <w:p>
      <w:r>
        <w:rPr>
          <w:b/>
        </w:rPr>
        <w:t xml:space="preserve">Ergebnis: </w:t>
      </w:r>
      <w:r>
        <w:t>Witwenschaft assoziiert mit Gedächtnisverschlechterung (β=−0,07, 95% KI −0,12 bis −0,01) und exekutiver Dysfunktion (β=−0,08, 95% KI −0,13 bis −0,03) in Metaanalyse. Geschlechtsspezifische Effekte: Männer zeigten größere exekutive Defizite (β=−0,14), Frauen Gedächtnisverluste (β=−0,07). Schutzfaktoren: höhere Schulbildung, Internetnutzung, Body-Mass-Index.</w:t>
      </w:r>
    </w:p>
    <w:p>
      <w:r>
        <w:rPr>
          <w:b/>
          <w:sz w:val="19"/>
        </w:rPr>
        <w:t xml:space="preserve">Übertragbarkeit: </w:t>
      </w:r>
      <w:r>
        <w:rPr>
          <w:sz w:val="19"/>
        </w:rPr>
        <w:t>Multinational aber heterogen; Übertragbarkeit begrenzt durch unterschiedliche Rentensysteme und Unterstützungsstrukturen</w:t>
      </w:r>
    </w:p>
    <w:p>
      <w:r>
        <w:rPr>
          <w:color w:val="5A7D3A"/>
          <w:sz w:val="18"/>
        </w:rPr>
        <w:t>https://pubmed.ncbi.nlm.nih.gov/42813925/</w:t>
      </w:r>
    </w:p>
    <w:p>
      <w:pPr>
        <w:pStyle w:val="Heading2"/>
      </w:pPr>
      <w:r>
        <w:t>Multidisziplinäres Programm reduziert Gebrechlichkeit bei älteren Herzpatienten im Krankenhaus</w:t>
      </w:r>
    </w:p>
    <w:p>
      <w:r>
        <w:rPr>
          <w:i/>
          <w:color w:val="666666"/>
          <w:sz w:val="18"/>
        </w:rPr>
        <w:t>Chai K et al.  ·  Nat Commun  ·  31.08.2026  ·  PMID 42811040</w:t>
      </w:r>
    </w:p>
    <w:p>
      <w:r>
        <w:t>Randomisierte kontrollierte Studie an 333 gebrechlichen Krankenhauspatienten ≥70 Jahren mit kardiovaskulären Erkrankungen in China, die RENAP-Programm (Rehabilitation, Ernährung, Edukation, Akupunktur, Deprescribing) oder Standardbehandlung erhielten mit Verfolgung über 12 Monate.</w:t>
      </w:r>
    </w:p>
    <w:p>
      <w:r>
        <w:rPr>
          <w:b/>
        </w:rPr>
        <w:t xml:space="preserve">Ergebnis: </w:t>
      </w:r>
      <w:r>
        <w:t>RENAP verbesserte Fried-Gebrechlichkeits-Phänotyp stärker (mittlere Differenz −0,79, 95% KI −1,11 bis −0,46, p&lt;0,001) und Short Physical Performance Battery um 2,02 Punkte (95% KI 1,04–2,99, p&lt;0,001). Keine schwerwiegenden unerwünschten Ereignisse berichtet.</w:t>
      </w:r>
    </w:p>
    <w:p>
      <w:r>
        <w:rPr>
          <w:b/>
          <w:sz w:val="19"/>
        </w:rPr>
        <w:t xml:space="preserve">Übertragbarkeit: </w:t>
      </w:r>
      <w:r>
        <w:rPr>
          <w:sz w:val="19"/>
        </w:rPr>
        <w:t>China (Peking); unterschiedliche Versicherungsstruktur; Replikation in europäischen Gesundheitssystemen nötig</w:t>
      </w:r>
    </w:p>
    <w:p>
      <w:r>
        <w:rPr>
          <w:color w:val="5A7D3A"/>
          <w:sz w:val="18"/>
        </w:rPr>
        <w:t>https://pubmed.ncbi.nlm.nih.gov/42811040/</w:t>
      </w:r>
    </w:p>
    <w:p>
      <w:pPr>
        <w:pStyle w:val="Heading2"/>
      </w:pPr>
      <w:r>
        <w:t>Psychische Faktoren und Multimorbiditäten vorhersagen Gebrechlichkeit bei älteren Chilenen über 12 Monate</w:t>
      </w:r>
    </w:p>
    <w:p>
      <w:r>
        <w:rPr>
          <w:i/>
          <w:color w:val="666666"/>
          <w:sz w:val="18"/>
        </w:rPr>
        <w:t>Castillo-Carreño A et al.  ·  Rev Med Chil  ·  Juli 2026  ·  PMID 42809783</w:t>
      </w:r>
    </w:p>
    <w:p>
      <w:r>
        <w:t>Prospektive Kohortenstudie an 394 Personen 60–80 Jahre aus Santiago und Concepción (Chile) mit Baseline und 12-Monats-Follow-up zu Prädiktoren physischer Gebrechlichkeit (FRIED-Skala).</w:t>
      </w:r>
    </w:p>
    <w:p>
      <w:r>
        <w:rPr>
          <w:b/>
        </w:rPr>
        <w:t xml:space="preserve">Ergebnis: </w:t>
      </w:r>
      <w:r>
        <w:t>Baseline-Gebrechlichkeit 22,7%. Signifikante Prädiktoren für Gebrechlichkeitsentstehung: höheres Alter, niedrigere soziale Unterstützung (MSPSS), depressive/Angststörungssymptome, niedrigere kognitive Funktion, Hypertension, Gefäßerkrankung, BMI (p=0,040). Modell erklärte 28% der Varianz.</w:t>
      </w:r>
    </w:p>
    <w:p>
      <w:r>
        <w:rPr>
          <w:b/>
          <w:sz w:val="19"/>
        </w:rPr>
        <w:t xml:space="preserve">Übertragbarkeit: </w:t>
      </w:r>
      <w:r>
        <w:rPr>
          <w:sz w:val="19"/>
        </w:rPr>
        <w:t>Südamerika; Unterschiede in Altersstruktur und Sozialsystem; Konzepte zu psychosozialen Prädiktoren teilweise übertragbar</w:t>
      </w:r>
    </w:p>
    <w:p>
      <w:r>
        <w:rPr>
          <w:color w:val="5A7D3A"/>
          <w:sz w:val="18"/>
        </w:rPr>
        <w:t>https://pubmed.ncbi.nlm.nih.gov/42809783/</w:t>
      </w:r>
    </w:p>
    <w:p>
      <w:pPr>
        <w:pStyle w:val="Heading1"/>
      </w:pPr>
      <w:r>
        <w:t>Aufgenommen am 30.09.2026</w:t>
      </w:r>
    </w:p>
    <w:p>
      <w:pPr>
        <w:pStyle w:val="Heading2"/>
      </w:pPr>
      <w:r>
        <w:t>Adjuvante Chemotherapie bei Brustkrebs ab 70 Jahren verschlechtert Überleben nicht</w:t>
      </w:r>
    </w:p>
    <w:p>
      <w:r>
        <w:rPr>
          <w:i/>
          <w:color w:val="666666"/>
          <w:sz w:val="18"/>
        </w:rPr>
        <w:t>Sifer-Rivière L  ·  Rev Prat  ·  Sept. 2026  ·  PMID 42808620</w:t>
      </w:r>
    </w:p>
    <w:p>
      <w:r>
        <w:t>Fachkommentar zur ASTER-70s-Studie (Lancet 2025), die erstmals gezielt die Wirkung adjuvanter Chemotherapie bei Frauen ab 70 mit Brustkrebs untersucht hat – lange waren diese von Studien ausgeschlossen.</w:t>
      </w:r>
    </w:p>
    <w:p>
      <w:r>
        <w:rPr>
          <w:b/>
        </w:rPr>
        <w:t xml:space="preserve">Ergebnis: </w:t>
      </w:r>
      <w:r>
        <w:t>ASTER 70s zeigte: adjuvante Chemotherapie verbessert Gesamtüberleben nicht bei Frauen ab 70, exponiert aber zu erheblicher Toxizität und potenziellem Autonomieverlust. Dies ist ein entscheidendes Ergebnis: Es belegt, dass es möglich und notwendig ist, Evidenz für lange ausgeschlossene Populationen zu generieren und fordert Umdenken bei Gesundheitsgerechtigkeit in der Onkologie.</w:t>
      </w:r>
    </w:p>
    <w:p>
      <w:r>
        <w:rPr>
          <w:b/>
          <w:sz w:val="19"/>
        </w:rPr>
        <w:t xml:space="preserve">Übertragbarkeit: </w:t>
      </w:r>
      <w:r>
        <w:rPr>
          <w:sz w:val="19"/>
        </w:rPr>
        <w:t>Frankreich, französischsprachig; Evidenz vom UK-Standard, direkt relevant für europäische Praxis</w:t>
      </w:r>
    </w:p>
    <w:p>
      <w:r>
        <w:rPr>
          <w:color w:val="5A7D3A"/>
          <w:sz w:val="18"/>
        </w:rPr>
        <w:t>https://pubmed.ncbi.nlm.nih.gov/42808620/</w:t>
      </w:r>
    </w:p>
    <w:p>
      <w:pPr>
        <w:pStyle w:val="Heading2"/>
      </w:pPr>
      <w:r>
        <w:t>Frailty verstärkt postoperatives kognitives Delir nach Narkose</w:t>
      </w:r>
    </w:p>
    <w:p>
      <w:r>
        <w:rPr>
          <w:i/>
          <w:color w:val="666666"/>
          <w:sz w:val="18"/>
        </w:rPr>
        <w:t>Cho EH et al.  ·  Int J Med Sci  ·  03.09.2026  ·  PMID 42807735</w:t>
      </w:r>
    </w:p>
    <w:p>
      <w:r>
        <w:t>Experimentelle Studie an 18 Monate alten Ratten zum Einfluss von Frailty auf postoperatives kognitives Delir (POCD) nach allgemeiner Anästhesie.</w:t>
      </w:r>
    </w:p>
    <w:p>
      <w:r>
        <w:rPr>
          <w:b/>
        </w:rPr>
        <w:t xml:space="preserve">Ergebnis: </w:t>
      </w:r>
      <w:r>
        <w:t>20 Ratten randomisiert in Kontroll- und Frailty-Gruppe (Immobilisierung). Vor Narkose kein signifikanter Unterschied im Y-Maze-Test; zwei Tage nach Narkose signifikanter Unterschied (Kontrolle 65% ± 37% vs. Frailty 29% ± 28%, p = 0,01). Quadrizeps-Gewicht signifikant niedriger in Frailty-Gruppe (2,4 vs. 2,0 g, p = 0,0001). Frailty war mit POCD assoziiert; Frailty-Prävention könnte POCD-Risiko senken.</w:t>
      </w:r>
    </w:p>
    <w:p>
      <w:r>
        <w:rPr>
          <w:b/>
          <w:sz w:val="19"/>
        </w:rPr>
        <w:t xml:space="preserve">Übertragbarkeit: </w:t>
      </w:r>
      <w:r>
        <w:rPr>
          <w:sz w:val="19"/>
        </w:rPr>
        <w:t>Tiermodell mit Relevanz für älter werdende Perioperative; Befund zu kognitivem Risiko übertragbar</w:t>
      </w:r>
    </w:p>
    <w:p>
      <w:r>
        <w:rPr>
          <w:color w:val="5A7D3A"/>
          <w:sz w:val="18"/>
        </w:rPr>
        <w:t>https://pubmed.ncbi.nlm.nih.gov/42807735/</w:t>
      </w:r>
    </w:p>
    <w:p>
      <w:pPr>
        <w:pStyle w:val="Heading2"/>
      </w:pPr>
      <w:r>
        <w:t>Systemische Krisen in Versorgung zu Hause: Kipppunkte und progressive Instabilität</w:t>
      </w:r>
    </w:p>
    <w:p>
      <w:r>
        <w:rPr>
          <w:i/>
          <w:color w:val="666666"/>
          <w:sz w:val="18"/>
        </w:rPr>
        <w:t>Haselager DRE et al.  ·  Age Ageing  ·  04.09.2026  ·  PMID 42806138</w:t>
      </w:r>
    </w:p>
    <w:p>
      <w:r>
        <w:t>Qualitative Studie mit Interviews und Fokusgruppen zu Krisen bei zu Hause wohnenden älteren Menschen, die untersuchen, wie diese entstehen und welche systemischen Faktoren eine Rolle spielen.</w:t>
      </w:r>
    </w:p>
    <w:p>
      <w:r>
        <w:rPr>
          <w:b/>
        </w:rPr>
        <w:t xml:space="preserve">Ergebnis: </w:t>
      </w:r>
      <w:r>
        <w:t>Analyse von 45 Interviews mit älteren Menschen, Angehörigen und Fachleuten identifizierte zwei Hauptthemen: "Kipppunkte" (Momente, in denen Verbleiben zu Hause unhaltbar wird) und "progressive Instabilität in Versorgungssystemen". Krisen entstehen durch systemische Prozesse, nicht isolierte Ereignisse. Das Verständnis dieser Dynamiken ermöglicht es Fachleuten, frühe Instabilität zu erkennen und Prävention zu unterstützen.</w:t>
      </w:r>
    </w:p>
    <w:p>
      <w:r>
        <w:rPr>
          <w:b/>
          <w:sz w:val="19"/>
        </w:rPr>
        <w:t xml:space="preserve">Übertragbarkeit: </w:t>
      </w:r>
      <w:r>
        <w:rPr>
          <w:sz w:val="19"/>
        </w:rPr>
        <w:t>Niederlande, direkt auf deutsche ambulante Versorgungsrealität übertragbar</w:t>
      </w:r>
    </w:p>
    <w:p>
      <w:r>
        <w:rPr>
          <w:color w:val="5A7D3A"/>
          <w:sz w:val="18"/>
        </w:rPr>
        <w:t>https://pubmed.ncbi.nlm.nih.gov/42806138/</w:t>
      </w:r>
    </w:p>
    <w:p>
      <w:pPr>
        <w:pStyle w:val="Heading2"/>
      </w:pPr>
      <w:r>
        <w:t>Darmflora-Modulation verbessert kognitive Funktion im Alter</w:t>
      </w:r>
    </w:p>
    <w:p>
      <w:r>
        <w:rPr>
          <w:i/>
          <w:color w:val="666666"/>
          <w:sz w:val="18"/>
        </w:rPr>
        <w:t>Birns B et al.  ·  Age Ageing  ·  04.09.2026  ·  PMID 42806137</w:t>
      </w:r>
    </w:p>
    <w:p>
      <w:r>
        <w:t>Systematische Übersicht und Metaanalyse zu Prebiotika, Probiotika und Synbiotika und deren Wirkung auf Kognition bei älteren Erwachsenen ab 60 Jahren.</w:t>
      </w:r>
    </w:p>
    <w:p>
      <w:r>
        <w:rPr>
          <w:b/>
        </w:rPr>
        <w:t xml:space="preserve">Ergebnis: </w:t>
      </w:r>
      <w:r>
        <w:t>14 Studien (13 RCTs, 1 Interventionsstudie) eingeschlossen. Neun Studien berichteten statistisch signifikante Verbesserungen in mindestens einer kognitiven Domäne, besonders globale Kognition, Gedächtnis, Aufmerksamkeit und exekutive Funktionen. Metaanalyse zeigt signifikante Verbesserung globaler Kognition (MD = 1,28; 95% KI: 0,15–2,40; p &lt; 0,05). Interventionen sind meist bereits kommerziell verfügbar und risikoarm.</w:t>
      </w:r>
    </w:p>
    <w:p>
      <w:r>
        <w:rPr>
          <w:b/>
          <w:sz w:val="19"/>
        </w:rPr>
        <w:t xml:space="preserve">Übertragbarkeit: </w:t>
      </w:r>
      <w:r>
        <w:rPr>
          <w:sz w:val="19"/>
        </w:rPr>
        <w:t>Großbritannien, über diverse Länder publiziert; kognitive Tests standardisiert</w:t>
      </w:r>
    </w:p>
    <w:p>
      <w:r>
        <w:rPr>
          <w:color w:val="5A7D3A"/>
          <w:sz w:val="18"/>
        </w:rPr>
        <w:t>https://pubmed.ncbi.nlm.nih.gov/42806137/</w:t>
      </w:r>
    </w:p>
    <w:p>
      <w:pPr>
        <w:pStyle w:val="Heading2"/>
      </w:pPr>
      <w:r>
        <w:t>Vitamin-D-Supplementation reduziert nicht Frakturrisiko bei älteren Erwachsenen</w:t>
      </w:r>
    </w:p>
    <w:p>
      <w:r>
        <w:rPr>
          <w:i/>
          <w:color w:val="666666"/>
          <w:sz w:val="18"/>
        </w:rPr>
        <w:t>Rikkonen T et al.  ·  Bone  ·  07.09.2026  ·  PMID 42704968</w:t>
      </w:r>
    </w:p>
    <w:p>
      <w:r>
        <w:t>Finnische randomisierte kontrollierte Studie mit 2.495 Personen ab 60 Jahren (Männer) bzw. 65 Jahren (Frauen) über 5 Jahre zur Wirkung von Vitamin D₃ auf Frakturrisiko.</w:t>
      </w:r>
    </w:p>
    <w:p>
      <w:r>
        <w:rPr>
          <w:b/>
        </w:rPr>
        <w:t xml:space="preserve">Ergebnis: </w:t>
      </w:r>
      <w:r>
        <w:t>Während mittlerer 4,1-Jahr Supplementation: 49 Frakturen unter Placebo, 73 unter 1600 IE/Tag (HR = 1,52; 95% KI: 1,06–2,18), 52 unter 3200 IE/Tag (HR = 1,07; 95% KI: 0,72–1,58). In 7,3-Jahr Nachbeobachtung: 104 Placebo, 139 unter 1600 IE/Tag (HR = 1,40; 95% KI: 1,08–1,80), 111 unter 3200 IE/Tag (HR = 1,08; 95% KI: 0,83–1,41). Baseline 25(OH)-Vitamin D 74,8 ± 18,2 nmol/L, nach 12 Monaten 120,4 ± 21,8 nmol/L (3200 IE/Tag). Vitamin-D-Supplementation reduzierte Frakturen nicht bei largely vitamin-D-suffizienter Population.</w:t>
      </w:r>
    </w:p>
    <w:p>
      <w:r>
        <w:rPr>
          <w:b/>
          <w:sz w:val="19"/>
        </w:rPr>
        <w:t xml:space="preserve">Übertragbarkeit: </w:t>
      </w:r>
      <w:r>
        <w:rPr>
          <w:sz w:val="19"/>
        </w:rPr>
        <w:t>Finnland, skandinavischer Kontext; vergleichbare Nordische Sozialversicherung</w:t>
      </w:r>
    </w:p>
    <w:p>
      <w:r>
        <w:rPr>
          <w:color w:val="5A7D3A"/>
          <w:sz w:val="18"/>
        </w:rPr>
        <w:t>https://pubmed.ncbi.nlm.nih.gov/42704968/</w:t>
      </w:r>
    </w:p>
    <w:p>
      <w:pPr>
        <w:pStyle w:val="Heading2"/>
      </w:pPr>
      <w:r>
        <w:t>Frailty erhöht Risiko für diagnostische Diskordanz in der Notaufnahme</w:t>
      </w:r>
    </w:p>
    <w:p>
      <w:r>
        <w:rPr>
          <w:i/>
          <w:color w:val="666666"/>
          <w:sz w:val="18"/>
        </w:rPr>
        <w:t>van Knippenberg YMW et al.  ·  Int J Infect Dis  ·  23.07.2026  ·  PMID 42492833</w:t>
      </w:r>
    </w:p>
    <w:p>
      <w:r>
        <w:t>Retrospektive Analyse von Notaufnahmepatienten mit Verdacht auf Infektion, um die unabhängige Assoziation zwischen Frailty und Abweichungen zwischen Verdachtsdiagnose und adjudizierter Entlassungsdiagnose zu untersuchen.</w:t>
      </w:r>
    </w:p>
    <w:p>
      <w:r>
        <w:rPr>
          <w:b/>
        </w:rPr>
        <w:t xml:space="preserve">Ergebnis: </w:t>
      </w:r>
      <w:r>
        <w:t>Frailty war unabhängig mit diagnostischer Diskordanz assoziiert (aOR 1,622; 95% KI: 1,094–2,405; p = 0,016). Höherer altersbereinigter Charlson-Komorbiditätsindex ebenfalls signifikant (aOR 1,105; 95% KI: 1,013–1,204; p = 0,024). Erkennung von Frailty kann Patienten mit erhöhtem Diskordanzrisiko identifizieren und sorgfältige diagnostische Neubewertung unterstützen.</w:t>
      </w:r>
    </w:p>
    <w:p>
      <w:r>
        <w:rPr>
          <w:b/>
          <w:sz w:val="19"/>
        </w:rPr>
        <w:t xml:space="preserve">Übertragbarkeit: </w:t>
      </w:r>
      <w:r>
        <w:rPr>
          <w:sz w:val="19"/>
        </w:rPr>
        <w:t>Niederlande, Radboud UMC, direkt auf deutsches Versorgungssystem übertragbar</w:t>
      </w:r>
    </w:p>
    <w:p>
      <w:r>
        <w:rPr>
          <w:color w:val="5A7D3A"/>
          <w:sz w:val="18"/>
        </w:rPr>
        <w:t>https://pubmed.ncbi.nlm.nih.gov/42492833/</w:t>
      </w:r>
    </w:p>
    <w:p>
      <w:pPr>
        <w:pStyle w:val="Heading1"/>
      </w:pPr>
      <w:r>
        <w:t>Aufgenommen am 29.09.2026</w:t>
      </w:r>
    </w:p>
    <w:p>
      <w:pPr>
        <w:pStyle w:val="Heading2"/>
      </w:pPr>
      <w:r>
        <w:t>Funktionsfähigkeit und Frailty-Screening bei älteren Patienten mit Lungenkrebs: Prädiktion von Pflegeabhängigkeit</w:t>
      </w:r>
    </w:p>
    <w:p>
      <w:r>
        <w:rPr>
          <w:i/>
          <w:color w:val="666666"/>
          <w:sz w:val="18"/>
        </w:rPr>
        <w:t>Bulut H et al.  ·  Cancer Causes Control  ·  28.09.2026  ·  PMID 42802193</w:t>
      </w:r>
    </w:p>
    <w:p>
      <w:r>
        <w:t>Querschnittsstudie an 410 älteren Patienten mit Lungenkrebs (Durchschnittsalter 70,8 Jahre) zur Vorhersage von Pflegeabhängigkeit durch Alltagsfunktionsfähigkeit (ADL) und Frailty.</w:t>
      </w:r>
    </w:p>
    <w:p>
      <w:r>
        <w:rPr>
          <w:b/>
        </w:rPr>
        <w:t xml:space="preserve">Ergebnis: </w:t>
      </w:r>
      <w:r>
        <w:t>Funktionsfähigkeit und Frailty erklärten 81,5% der Varianz in Pflegeabhängigkeit (adjustiertes R² = 0,815; p &lt; 0,001). Höhere ADL-Werte waren mit höherer Pflegeabhängigkeit assoziiert (B = 2,344, β = 0,309, p &lt; 0,001), höhere Frailty-Werte mit niedrigerer Pflegeabhängigkeit (B = −2,391, β = −0,652, p &lt; 0,001). Frailty-Screening und funktionales Assessment können hochrisiko-Patienten früh identifizieren.</w:t>
      </w:r>
    </w:p>
    <w:p>
      <w:r>
        <w:rPr>
          <w:b/>
          <w:sz w:val="19"/>
        </w:rPr>
        <w:t xml:space="preserve">Übertragbarkeit: </w:t>
      </w:r>
      <w:r>
        <w:rPr>
          <w:sz w:val="19"/>
        </w:rPr>
        <w:t>Türkei, ähnliche geriatrische Versorgungsherausforderungen wie Deutschland</w:t>
      </w:r>
    </w:p>
    <w:p>
      <w:r>
        <w:rPr>
          <w:color w:val="5A7D3A"/>
          <w:sz w:val="18"/>
        </w:rPr>
        <w:t>https://pubmed.ncbi.nlm.nih.gov/42802193/</w:t>
      </w:r>
    </w:p>
    <w:p>
      <w:pPr>
        <w:pStyle w:val="Heading2"/>
      </w:pPr>
      <w:r>
        <w:t>Urinkontinenz bei älteren Frauen: Unterbehandlung sinkt bei Symptom-Fokus, nicht mit steigendem Alter</w:t>
      </w:r>
    </w:p>
    <w:p>
      <w:r>
        <w:rPr>
          <w:i/>
          <w:color w:val="666666"/>
          <w:sz w:val="18"/>
        </w:rPr>
        <w:t>Uğur DN et al.  ·  Medicina (Kaunas)  ·  16.09.2026  ·  PMID 42796384</w:t>
      </w:r>
    </w:p>
    <w:p>
      <w:r>
        <w:t>Beobachtungsstudie an 480 Frauen (≥ 65 Jahre) in drei Altersgruppen zur Behandlungslücke bei Stress- und gemischter Harninkontinenz und zur Rolle von Frailty und Symptom-Schweregrad.</w:t>
      </w:r>
    </w:p>
    <w:p>
      <w:r>
        <w:rPr>
          <w:b/>
        </w:rPr>
        <w:t xml:space="preserve">Ergebnis: </w:t>
      </w:r>
      <w:r>
        <w:t>Behandlungslücken-Prävalenz stieg von 33,8% (65–74 Jahre) auf 44,4% (75–84 Jahre) und 55,0% (≥85 Jahre). Nach Adjustierung war Alter nicht unabhängig assoziiert. Höhere ICIQ-UI-SF-Werte (adjustiertes Odds Ratio 1,10 pro Punkt; 95%CI 1,02–1,19) und Stress-Mischinkontinenz (aOR 1,53; 95%CI 1,03–2,25) blieben assoziiert. Symptom-Schweregrad erklärt Unterbehandlung besser als Chronologie.</w:t>
      </w:r>
    </w:p>
    <w:p>
      <w:r>
        <w:rPr>
          <w:b/>
          <w:sz w:val="19"/>
        </w:rPr>
        <w:t xml:space="preserve">Übertragbarkeit: </w:t>
      </w:r>
      <w:r>
        <w:rPr>
          <w:sz w:val="19"/>
        </w:rPr>
        <w:t>Türkei, gyn. Versorgungsstrukturen vergleichbar mit Mitteleuropa</w:t>
      </w:r>
    </w:p>
    <w:p>
      <w:r>
        <w:rPr>
          <w:color w:val="5A7D3A"/>
          <w:sz w:val="18"/>
        </w:rPr>
        <w:t>https://pubmed.ncbi.nlm.nih.gov/42796384/</w:t>
      </w:r>
    </w:p>
    <w:p>
      <w:pPr>
        <w:pStyle w:val="Heading2"/>
      </w:pPr>
      <w:r>
        <w:t>Skelettmuskelreaktion auf kombiniertes Training bei älteren Erwachsenen: RNA-Sequenzierung und Polyphenole</w:t>
      </w:r>
    </w:p>
    <w:p>
      <w:r>
        <w:rPr>
          <w:i/>
          <w:color w:val="666666"/>
          <w:sz w:val="18"/>
        </w:rPr>
        <w:t>Guadalupe-Grau A et al.  ·  J Cachexia Sarcopenia Muscle  ·  Okt. 2026  ·  PMID 42788414</w:t>
      </w:r>
    </w:p>
    <w:p>
      <w:r>
        <w:t>Randomisierte Doppelblindstudie mit 38 älteren Erwachsenen (55–70 Jahre) zur Wirkung von 12 Wochen kombiniertem Widerstands- und High-Intensity-Intervalltraining auf die Skelettmuskel-Transkriptomik mit oder ohne Polyphenol-Supplementation.</w:t>
      </w:r>
    </w:p>
    <w:p>
      <w:r>
        <w:rPr>
          <w:b/>
        </w:rPr>
        <w:t xml:space="preserve">Ergebnis: </w:t>
      </w:r>
      <w:r>
        <w:t>RT + HIIT induzierte überwiegend gering-ausgeprägte transkriptomische Veränderungen. Sieben von 60 FDR-signifikanten Transkripten überschritten die Effektgrößen-Schwelle (|log2FC| &gt; 1), einschließlich Hochregulation von CLLU1 (log2FC = 3,10; FDR = 0,0155) und PRND (log2FC = 2,60; FDR = 0,02). Polyphenol-Supplementation beeinlusste die transkriptomische Reaktion nicht bedeutsam. Robuste Pathway-Adaptationen waren nicht erkennbar.</w:t>
      </w:r>
    </w:p>
    <w:p>
      <w:r>
        <w:rPr>
          <w:b/>
          <w:sz w:val="19"/>
        </w:rPr>
        <w:t xml:space="preserve">Übertragbarkeit: </w:t>
      </w:r>
      <w:r>
        <w:rPr>
          <w:sz w:val="19"/>
        </w:rPr>
        <w:t>Europäische Kohorten, methodisch vergleichbar mit deutschen Fitness-Studien</w:t>
      </w:r>
    </w:p>
    <w:p>
      <w:r>
        <w:rPr>
          <w:color w:val="5A7D3A"/>
          <w:sz w:val="18"/>
        </w:rPr>
        <w:t>https://pubmed.ncbi.nlm.nih.gov/42788414/</w:t>
      </w:r>
    </w:p>
    <w:p>
      <w:pPr>
        <w:pStyle w:val="Heading2"/>
      </w:pPr>
      <w:r>
        <w:t>Altersgerechte smartphone-gestützte kognitive Fernbeurteilung: generationsspezifische Unterschiede in Adhärenz und Zuverlässigkeit</w:t>
      </w:r>
    </w:p>
    <w:p>
      <w:r>
        <w:rPr>
          <w:i/>
          <w:color w:val="666666"/>
          <w:sz w:val="18"/>
        </w:rPr>
        <w:t>Katteri S et al.  ·  Alzheimers Dement  ·  Sept. 2026  ·  PMID 42781715</w:t>
      </w:r>
    </w:p>
    <w:p>
      <w:r>
        <w:t>Vergleichende Studie bei 444 älteren Erwachsenen und 113 jüngeren/mittelalten Probanden zur Machbarkeit smartphone-basierter kognitiver Tests bis zu viermal täglich über 7 Tage und zum Vergleich mit standardisierter Klinik-Batterie.</w:t>
      </w:r>
    </w:p>
    <w:p>
      <w:r>
        <w:rPr>
          <w:b/>
        </w:rPr>
        <w:t xml:space="preserve">Ergebnis: </w:t>
      </w:r>
      <w:r>
        <w:t>Ältere Erwachsene zeigten höhere Adhärenz als jüngere (78 % vs. 59 %). Jüngere erreichten höhere Zuverlässigkeit mit weniger Sitzungen und zeigten viel kleinere Lerneffekte. Smartphone-zu-Klinik-Korrelationen waren in beiden Altersgruppen stark. Generationelle Unterschiede beeinflussen Design und Umsetzung smartphone-gestützter Studien wesentlich.</w:t>
      </w:r>
    </w:p>
    <w:p>
      <w:r>
        <w:rPr>
          <w:b/>
          <w:sz w:val="19"/>
        </w:rPr>
        <w:t xml:space="preserve">Übertragbarkeit: </w:t>
      </w:r>
      <w:r>
        <w:rPr>
          <w:sz w:val="19"/>
        </w:rPr>
        <w:t>USA, aber Methodologie zur Remote-Kognition altersunabhängig übertragbar</w:t>
      </w:r>
    </w:p>
    <w:p>
      <w:r>
        <w:rPr>
          <w:color w:val="5A7D3A"/>
          <w:sz w:val="18"/>
        </w:rPr>
        <w:t>https://pubmed.ncbi.nlm.nih.gov/42781715/</w:t>
      </w:r>
    </w:p>
    <w:p>
      <w:pPr>
        <w:pStyle w:val="Heading2"/>
      </w:pPr>
      <w:r>
        <w:t>Proteinbasierte Inflammaging-Signaturen zur Mortalitätsvorhersage: C-Index 0,758 für alle Ursachen</w:t>
      </w:r>
    </w:p>
    <w:p>
      <w:r>
        <w:rPr>
          <w:i/>
          <w:color w:val="666666"/>
          <w:sz w:val="18"/>
        </w:rPr>
        <w:t>Jiang Z et al.  ·  Exp Gerontol  ·  15.10.2026  ·  PMID 42731645</w:t>
      </w:r>
    </w:p>
    <w:p>
      <w:r>
        <w:t>Große UK-Biobank-Studie (n = 40.471) zur Entwicklung eines proteingestützten Inflammaging-Scores aus 1.112 Proteinen, assoziiert mit Mortalität und Multimorbidität.</w:t>
      </w:r>
    </w:p>
    <w:p>
      <w:r>
        <w:rPr>
          <w:b/>
        </w:rPr>
        <w:t xml:space="preserve">Ergebnis: </w:t>
      </w:r>
      <w:r>
        <w:t>Proteinbasierter Inflammaging-Score war positiv mit allen-Ursachen-Sterblichkeit assoziiert (HR = 1,88; 95%CI: 1,79–1,98). Vereinfachte Version (93 Proteine) erreichte gleichwertig HR = 1,88 (95%CI: 1,79–1,97). C-Index für Sterblichkeit mit klinischen Indizes plus vereinfachtem Score: 0,758 (95%CI: 0,752–0,765). ProteinBasierter Score outperformte konventionelle Inflammations- und Alternsbiomarker signifikant.</w:t>
      </w:r>
    </w:p>
    <w:p>
      <w:r>
        <w:rPr>
          <w:b/>
          <w:sz w:val="19"/>
        </w:rPr>
        <w:t xml:space="preserve">Übertragbarkeit: </w:t>
      </w:r>
      <w:r>
        <w:rPr>
          <w:sz w:val="19"/>
        </w:rPr>
        <w:t>UK Biobank, aber Proteinmarker-Verband mit Mortalität biologisch universell</w:t>
      </w:r>
    </w:p>
    <w:p>
      <w:r>
        <w:rPr>
          <w:color w:val="5A7D3A"/>
          <w:sz w:val="18"/>
        </w:rPr>
        <w:t>https://pubmed.ncbi.nlm.nih.gov/42731645/</w:t>
      </w:r>
    </w:p>
    <w:p>
      <w:pPr>
        <w:pStyle w:val="Heading2"/>
      </w:pPr>
      <w:r>
        <w:t>Kognitive Effizienz und Lebenszufriedenheit bei älteren Sarden: digitales Screening und Freizeit-Aktivitäten</w:t>
      </w:r>
    </w:p>
    <w:p>
      <w:r>
        <w:rPr>
          <w:i/>
          <w:color w:val="666666"/>
          <w:sz w:val="18"/>
        </w:rPr>
        <w:t>Fastame MC et al.  ·  Exp Gerontol  ·  15.10.2026  ·  PMID 42685868</w:t>
      </w:r>
    </w:p>
    <w:p>
      <w:r>
        <w:t>Querschnittsstudie an 127 älteren Erwachsenen (Durchschnittsalter 73,1 Jahre) auf Sardinien zu Korrelaten der Lebenszufriedenheit mittels digital-gestützter kognitiver Screening (DIGICOG-MS).</w:t>
      </w:r>
    </w:p>
    <w:p>
      <w:r>
        <w:rPr>
          <w:b/>
        </w:rPr>
        <w:t xml:space="preserve">Ergebnis: </w:t>
      </w:r>
      <w:r>
        <w:t>Nach Kontrolle für Alter, Bildung und globale kognitive Effizienz waren wahrgenommene Gesundheit, Freizeitzeit, verbale semantische Flüssigkeit, auditives verbales Lernen und unmittelbare Erinnerung signifikant mit Lebenszufriedenheit assoziiert (adjustiertes R² = 0,198, F(8,117) = 4,860, p &lt; 0,001). DIGICOG-MS-Benutzerfreundlichkeit war höher bei niedrigerer Bildung; Tool erwies sich als intuitiv und abbaut Bildungsgrenzen ab.</w:t>
      </w:r>
    </w:p>
    <w:p>
      <w:r>
        <w:rPr>
          <w:b/>
          <w:sz w:val="19"/>
        </w:rPr>
        <w:t xml:space="preserve">Übertragbarkeit: </w:t>
      </w:r>
      <w:r>
        <w:rPr>
          <w:sz w:val="19"/>
        </w:rPr>
        <w:t>Italien, Mittelmeerraum – ähnliche Bevölkerungsstruktur wie südliches Europa</w:t>
      </w:r>
    </w:p>
    <w:p>
      <w:r>
        <w:rPr>
          <w:color w:val="5A7D3A"/>
          <w:sz w:val="18"/>
        </w:rPr>
        <w:t>https://pubmed.ncbi.nlm.nih.gov/42685868/</w:t>
      </w:r>
    </w:p>
    <w:p>
      <w:pPr>
        <w:pStyle w:val="Heading1"/>
      </w:pPr>
      <w:r>
        <w:t>Aufgenommen am 28.09.2026</w:t>
      </w:r>
    </w:p>
    <w:p>
      <w:pPr>
        <w:pStyle w:val="Heading2"/>
      </w:pPr>
      <w:r>
        <w:t>Alzheimer-Therapien im geriatrischen Alter: Implementierungsherausforderungen und Chancen</w:t>
      </w:r>
    </w:p>
    <w:p>
      <w:r>
        <w:rPr>
          <w:i/>
          <w:color w:val="666666"/>
          <w:sz w:val="18"/>
        </w:rPr>
        <w:t>Zrineh A et al.  ·  Clin Interv Aging  ·  22.09.2026  ·  PMID 42801246</w:t>
      </w:r>
    </w:p>
    <w:p>
      <w:r>
        <w:t>Narratives Review der Alzheimer-Pathophysiologie, diagnostischer Biomarker und Therapien (Cholinesterase-Inhibitoren, Lecanemab, Donanemab) mit Fokus auf geriatrische Versorgung und Integration in Kliniken.</w:t>
      </w:r>
    </w:p>
    <w:p>
      <w:r>
        <w:rPr>
          <w:b/>
        </w:rPr>
        <w:t xml:space="preserve">Ergebnis: </w:t>
      </w:r>
      <w:r>
        <w:t>Neue monoklonale Anti-Amyloid-Antikörper zeigen klinisch signifikante, aber moderate Verzögerung des Rückgangs. Risiken: Amyloid-related imaging abnormalities, hohe Kosten, ungelöste Fragen zur langfristigen Aussagekraft. Integrierung in geriatrische Praxis erfordert Biomarker-gesteuertes Screening, Sicherheitsüberwachung, Polypharmazie-Management.</w:t>
      </w:r>
    </w:p>
    <w:p>
      <w:r>
        <w:rPr>
          <w:b/>
          <w:sz w:val="19"/>
        </w:rPr>
        <w:t xml:space="preserve">Übertragbarkeit: </w:t>
      </w:r>
      <w:r>
        <w:rPr>
          <w:sz w:val="19"/>
        </w:rPr>
        <w:t>USA und international; praktische Empfehlungen für Versorgung gelten über Länder hinweg, aber Zugänglichkeit und Finanzierung unterscheiden sich</w:t>
      </w:r>
    </w:p>
    <w:p>
      <w:r>
        <w:rPr>
          <w:color w:val="5A7D3A"/>
          <w:sz w:val="18"/>
        </w:rPr>
        <w:t>https://pubmed.ncbi.nlm.nih.gov/42801246/</w:t>
      </w:r>
    </w:p>
    <w:p>
      <w:pPr>
        <w:pStyle w:val="Heading2"/>
      </w:pPr>
      <w:r>
        <w:t>Mittelmeerdiät bei älteren Menschen mit HIV: Körperzusammensetzung und klinisches Profil</w:t>
      </w:r>
    </w:p>
    <w:p>
      <w:r>
        <w:rPr>
          <w:i/>
          <w:color w:val="666666"/>
          <w:sz w:val="18"/>
        </w:rPr>
        <w:t>Mazzitelli M et al.  ·  Viruses  ·  25.08.2026  ·  PMID 42797764</w:t>
      </w:r>
    </w:p>
    <w:p>
      <w:r>
        <w:t>Querschnittsstudie an 130 italienischen erwachsenen Menschen mit HIV im Median 57 Jahren: Mediterrane Diät-Adhärenz anhand MedDiet Score gemessen, Körperzusammensetzung mittels DXA analysiert.</w:t>
      </w:r>
    </w:p>
    <w:p>
      <w:r>
        <w:rPr>
          <w:b/>
        </w:rPr>
        <w:t xml:space="preserve">Ergebnis: </w:t>
      </w:r>
      <w:r>
        <w:t>80,8% zeigten hohe Adhärenz. Hohe Adhärenz assoziiert mit niedrigerem BMI (β −5,3, 95%-KI −7,3 bis −3,4, p&lt;0,001), niedrigerer totaler und Rumpf-Fettmasse und höherer Knochenmineraldichte der LWS. Günstigeres klinisches Profil mit höherer CD4-Zahl.</w:t>
      </w:r>
    </w:p>
    <w:p>
      <w:r>
        <w:rPr>
          <w:b/>
          <w:sz w:val="19"/>
        </w:rPr>
        <w:t xml:space="preserve">Übertragbarkeit: </w:t>
      </w:r>
      <w:r>
        <w:rPr>
          <w:sz w:val="19"/>
        </w:rPr>
        <w:t>Italien, spezialisierte HIV-Kliniken; Übertragbarkeit auf deutsche Versorgung begrenzt durch HIV-Fokus</w:t>
      </w:r>
    </w:p>
    <w:p>
      <w:r>
        <w:rPr>
          <w:color w:val="5A7D3A"/>
          <w:sz w:val="18"/>
        </w:rPr>
        <w:t>https://pubmed.ncbi.nlm.nih.gov/42797764/</w:t>
      </w:r>
    </w:p>
    <w:p>
      <w:pPr>
        <w:pStyle w:val="Heading2"/>
      </w:pPr>
      <w:r>
        <w:t>Ernährung im höchsten Alter: Milchprodukte und Hühnchen assoziiert mit längerer Überlebensdauer</w:t>
      </w:r>
    </w:p>
    <w:p>
      <w:r>
        <w:rPr>
          <w:i/>
          <w:color w:val="666666"/>
          <w:sz w:val="18"/>
        </w:rPr>
        <w:t>Errigo A et al.  ·  Nutrients  ·  20.09.2026  ·  PMID 42797055</w:t>
      </w:r>
    </w:p>
    <w:p>
      <w:r>
        <w:t>Prospektive Kohorte von 200 sardischen Bewohnern über 90 Jahren: Ernährungsmuster wurden erhoben, Überleben über bis zu 7 Jahre verfolgt.</w:t>
      </w:r>
    </w:p>
    <w:p>
      <w:r>
        <w:rPr>
          <w:b/>
        </w:rPr>
        <w:t xml:space="preserve">Ergebnis: </w:t>
      </w:r>
      <w:r>
        <w:t>Höherer Konsum von Milch, Käse und Hühnchen war mit niedrigerer Sterblichkeit assoziiert (HR 0,839 pro SD-Anstieg des Dairy-Traditional-Fat-Musters, 95%-KI 0,727–0,969, p=0,017); Wein-Konsum positiv mit Mortalität assoziiert. Assoziationen bei Einzellebensmitteln blieben nach Korrektion für multiples Testen signifikant.</w:t>
      </w:r>
    </w:p>
    <w:p>
      <w:r>
        <w:rPr>
          <w:b/>
          <w:sz w:val="19"/>
        </w:rPr>
        <w:t xml:space="preserve">Übertragbarkeit: </w:t>
      </w:r>
      <w:r>
        <w:rPr>
          <w:sz w:val="19"/>
        </w:rPr>
        <w:t>Italien, Blue Zone; begrenzte direkte Übertragbarkeit auf Deutsche, aber Ernährungsmuster in extremem Alter untersucht</w:t>
      </w:r>
    </w:p>
    <w:p>
      <w:r>
        <w:rPr>
          <w:color w:val="5A7D3A"/>
          <w:sz w:val="18"/>
        </w:rPr>
        <w:t>https://pubmed.ncbi.nlm.nih.gov/42797055/</w:t>
      </w:r>
    </w:p>
    <w:p>
      <w:pPr>
        <w:pStyle w:val="Heading2"/>
      </w:pPr>
      <w:r>
        <w:t>Ernährungsqualität und Blutmarker des Alterns: Proteomarker-Studie an älteren Schweden</w:t>
      </w:r>
    </w:p>
    <w:p>
      <w:r>
        <w:rPr>
          <w:i/>
          <w:color w:val="666666"/>
          <w:sz w:val="18"/>
        </w:rPr>
        <w:t>DaCosta RA et al.  ·  BMC Med  ·  15.09.2026  ·  PMID 42791570</w:t>
      </w:r>
    </w:p>
    <w:p>
      <w:r>
        <w:t>Bevölkerungsbasierte Querschnittsanalyse von 1.769 schwedischen Personen ≥60 Jahren: Ernährungsqualität mittels AMED, AHEI und rEDII gemessen, 54 Blutbiomarker analysiert.</w:t>
      </w:r>
    </w:p>
    <w:p>
      <w:r>
        <w:rPr>
          <w:b/>
        </w:rPr>
        <w:t xml:space="preserve">Ergebnis: </w:t>
      </w:r>
      <w:r>
        <w:t>Höhere AMED-Adhärenz assoziiert mit höheren Folsäure-Spiegeln (β 0,066, 95%-KI 0,033–0,099) und niedrigerem GFAP (β −0,018, 95%-KI −0,030 bis −0,006, p=0,003). Höhere rEDII-Adhärenz mit niedrigerem Leptin, Insulin, GDF15, alkalischer Phosphatase und TNF-Rezeptor. Biomarker in metabolischen und inflammatorischen Domänen betroffen.</w:t>
      </w:r>
    </w:p>
    <w:p>
      <w:r>
        <w:rPr>
          <w:b/>
          <w:sz w:val="19"/>
        </w:rPr>
        <w:t xml:space="preserve">Übertragbarkeit: </w:t>
      </w:r>
      <w:r>
        <w:rPr>
          <w:sz w:val="19"/>
        </w:rPr>
        <w:t>Skandinavien, nationale Längsschnittstudie; vergleichbare Gesundheitssysteme, gute Datenqualität</w:t>
      </w:r>
    </w:p>
    <w:p>
      <w:r>
        <w:rPr>
          <w:color w:val="5A7D3A"/>
          <w:sz w:val="18"/>
        </w:rPr>
        <w:t>https://pubmed.ncbi.nlm.nih.gov/42791570/</w:t>
      </w:r>
    </w:p>
    <w:p>
      <w:pPr>
        <w:pStyle w:val="Heading2"/>
      </w:pPr>
      <w:r>
        <w:t>Wearable-Autonomie-Komponente und kardiometabolische Gesundheit im Alter</w:t>
      </w:r>
    </w:p>
    <w:p>
      <w:r>
        <w:rPr>
          <w:i/>
          <w:color w:val="666666"/>
          <w:sz w:val="18"/>
        </w:rPr>
        <w:t>Calvani R et al.  ·  Med Sci (Basel)  ·  02.09.2026  ·  PMID 42783415</w:t>
      </w:r>
    </w:p>
    <w:p>
      <w:r>
        <w:t>Querschnitt von 97 italienischen Erwachsenen (Durchschnittsalter 51,3 Jahre): 24-h Wearable-Geräte-Messung, Hauptkomponentenanalyse der ECG- und Bewegungsvariablen, Assoziation mit 8-Domänen-Gesundheits-Screening.</w:t>
      </w:r>
    </w:p>
    <w:p>
      <w:r>
        <w:rPr>
          <w:b/>
        </w:rPr>
        <w:t xml:space="preserve">Ergebnis: </w:t>
      </w:r>
      <w:r>
        <w:t>Prinzipalkomponente PC1 (gekennzeichnet durch hohes SDNN, hohes RMSSD, niedrige nächtliche Herzfrequenz) unabhängig assoziiert mit Gesamt-Gesundheit (B=+0,402, 95%-KI [+0,103, +0,700], p=0,009). Nach Benjamini-Hochberg-Korrektur in Einzeldomänen nur Glukose-Gesundheit signifikant (95%-KI [1,32, 4,62], p=0,039).</w:t>
      </w:r>
    </w:p>
    <w:p>
      <w:r>
        <w:rPr>
          <w:b/>
          <w:sz w:val="19"/>
        </w:rPr>
        <w:t xml:space="preserve">Übertragbarkeit: </w:t>
      </w:r>
      <w:r>
        <w:rPr>
          <w:sz w:val="19"/>
        </w:rPr>
        <w:t>Italien, Community-Setting; Wearable-Technologie relevant für deutsche Präventivmedizin, aber Stichprobe klein</w:t>
      </w:r>
    </w:p>
    <w:p>
      <w:r>
        <w:rPr>
          <w:color w:val="5A7D3A"/>
          <w:sz w:val="18"/>
        </w:rPr>
        <w:t>https://pubmed.ncbi.nlm.nih.gov/42783415/</w:t>
      </w:r>
    </w:p>
    <w:p>
      <w:pPr>
        <w:pStyle w:val="Heading2"/>
      </w:pPr>
      <w:r>
        <w:t>Gewichteter Alterungspace als Prädiktor: sterblichkeitsinformiertes Biomarker-Modell</w:t>
      </w:r>
    </w:p>
    <w:p>
      <w:r>
        <w:rPr>
          <w:i/>
          <w:color w:val="666666"/>
          <w:sz w:val="18"/>
        </w:rPr>
        <w:t>Sluiskes MH et al.  ·  J Gerontol A Biol Sci Med Sci  ·  05.09.2026  ·  PMID 42625435</w:t>
      </w:r>
    </w:p>
    <w:p>
      <w:r>
        <w:t>Längsschnittstudie schwedischer älterer Paare (SATSA): Gewichteter Pace of Aging (wPoA) aus 10 Biomarkern berechnet, anhand Sterblichkeit gewichtet, gegen etablierte Alterungs-Prädiktoren validiert.</w:t>
      </w:r>
    </w:p>
    <w:p>
      <w:r>
        <w:rPr>
          <w:b/>
        </w:rPr>
        <w:t xml:space="preserve">Ergebnis: </w:t>
      </w:r>
      <w:r>
        <w:t>wPoA korreliert mit biologischen Alterungs-Prädiktoren und stärker mit Functional Aging Index (FAA) und Frailty Index (FI). Moderate Korrelationen über alle Prädiktoren deuten darauf hin, dass jedes Maß unterschiedliche Aspekte des biologischen Alterns erfasst; wPoA eignet sich für Kohorten mit reichen Längsdaten.</w:t>
      </w:r>
    </w:p>
    <w:p>
      <w:r>
        <w:rPr>
          <w:b/>
          <w:sz w:val="19"/>
        </w:rPr>
        <w:t xml:space="preserve">Übertragbarkeit: </w:t>
      </w:r>
      <w:r>
        <w:rPr>
          <w:sz w:val="19"/>
        </w:rPr>
        <w:t>Schweden, nationale Adoptions-/Zwillingsstudie; europäisches Gesundheitssystem, methodisch robust</w:t>
      </w:r>
    </w:p>
    <w:p>
      <w:r>
        <w:rPr>
          <w:color w:val="5A7D3A"/>
          <w:sz w:val="18"/>
        </w:rPr>
        <w:t>https://pubmed.ncbi.nlm.nih.gov/42625435/</w:t>
      </w:r>
    </w:p>
    <w:p>
      <w:pPr>
        <w:pStyle w:val="Heading1"/>
      </w:pPr>
      <w:r>
        <w:t>Aufgenommen am 27.09.2026</w:t>
      </w:r>
    </w:p>
    <w:p>
      <w:pPr>
        <w:pStyle w:val="Heading2"/>
      </w:pPr>
      <w:r>
        <w:t>Vorhersagemodell für postoperative Frailty bei Brustkrebspatienten</w:t>
      </w:r>
    </w:p>
    <w:p>
      <w:r>
        <w:rPr>
          <w:i/>
          <w:color w:val="666666"/>
          <w:sz w:val="18"/>
        </w:rPr>
        <w:t>Zhou Y et al.  ·  PeerJ  ·  22.09.2026  ·  PMID 42799450</w:t>
      </w:r>
    </w:p>
    <w:p>
      <w:r>
        <w:t>Querschnittsstudie mit 286 Brustkrebspatienten nach Operation; Frailty erfasst mit Tilburg Frailty Indicator (TFI), Schlafqualität mit Pittsburgh Sleep Quality Index (PSQI); logistische Regressionsmodellierung mit ROC-Kurven-Validierung.</w:t>
      </w:r>
    </w:p>
    <w:p>
      <w:r>
        <w:rPr>
          <w:b/>
        </w:rPr>
        <w:t xml:space="preserve">Ergebnis: </w:t>
      </w:r>
      <w:r>
        <w:t>Postoperative Frailty-Prävalenz: 29,37 %. Signifikante Einflussfaktoren waren Diabetes-Vorgeschichte, schlechte Schlafqualität, Cholesterin und BMI, Kinder als Hauptpflegeperson und Krankenversicherungstyp. Das Modell erzielte eine AUC von 0,813 nach interner 10-fach-Kreuzvalidierung. Hosmer-Lemeshow χ² = 4,436, p = 0,816.</w:t>
      </w:r>
    </w:p>
    <w:p>
      <w:r>
        <w:rPr>
          <w:b/>
          <w:sz w:val="19"/>
        </w:rPr>
        <w:t xml:space="preserve">Übertragbarkeit: </w:t>
      </w:r>
      <w:r>
        <w:rPr>
          <w:sz w:val="19"/>
        </w:rPr>
        <w:t>China, anderes Gesundheitssystem; nur Frailty-Identifikation ist übertragbar.</w:t>
      </w:r>
    </w:p>
    <w:p>
      <w:r>
        <w:rPr>
          <w:color w:val="5A7D3A"/>
          <w:sz w:val="18"/>
        </w:rPr>
        <w:t>https://pubmed.ncbi.nlm.nih.gov/42799450/</w:t>
      </w:r>
    </w:p>
    <w:p>
      <w:pPr>
        <w:pStyle w:val="Heading2"/>
      </w:pPr>
      <w:r>
        <w:t>Ernährungsadäquanz in der Gemeinschaft: Ältere vs. jüngere Deutsche im BASE-II-Vergleich</w:t>
      </w:r>
    </w:p>
    <w:p>
      <w:r>
        <w:rPr>
          <w:i/>
          <w:color w:val="666666"/>
          <w:sz w:val="18"/>
        </w:rPr>
        <w:t>Heimberg K et al.  ·  Nutrients  ·  20.09.2026  ·  PMID 42797060</w:t>
      </w:r>
    </w:p>
    <w:p>
      <w:r>
        <w:t>Querschnittsstudie zur Nährstoffaufnahme bei 1.671 Personen im Alter von 60–84 Jahren aus der Berliner Altersstudie II (BASE-II), verglichen mit 500 jüngeren Erwachsenen (22–36 Jahre).</w:t>
      </w:r>
    </w:p>
    <w:p>
      <w:r>
        <w:rPr>
          <w:b/>
        </w:rPr>
        <w:t xml:space="preserve">Ergebnis: </w:t>
      </w:r>
      <w:r>
        <w:t>Ältere Erwachsene hatten kein generell schlechteres Nährstoffprofil als Jüngere. Jedoch lag das Osteoporoserisiko durch Calciummangel bei älteren Personen höher (34 % vs. 26 %). Vitamin-D-Mangel betraf über 15 % in beiden Altersgruppen. Supplementnutzung war bei Älteren häufiger (47,3 % vs. 43,0 %), unterschied sich aber nicht signifikant.</w:t>
      </w:r>
    </w:p>
    <w:p>
      <w:r>
        <w:rPr>
          <w:b/>
          <w:sz w:val="19"/>
        </w:rPr>
        <w:t xml:space="preserve">Übertragbarkeit: </w:t>
      </w:r>
      <w:r>
        <w:rPr>
          <w:sz w:val="19"/>
        </w:rPr>
        <w:t>Deutsche Kohortendaten (BASE-II), vergleichbare Bevölkerungsstruktur und Ernährungsrichtlinien.</w:t>
      </w:r>
    </w:p>
    <w:p>
      <w:r>
        <w:rPr>
          <w:color w:val="5A7D3A"/>
          <w:sz w:val="18"/>
        </w:rPr>
        <w:t>https://pubmed.ncbi.nlm.nih.gov/42797060/</w:t>
      </w:r>
    </w:p>
    <w:p>
      <w:pPr>
        <w:pStyle w:val="Heading2"/>
      </w:pPr>
      <w:r>
        <w:t>Ganggeschwindigkeit als Prognostischer Marker für Überleben bei älteren Krebspatienten</w:t>
      </w:r>
    </w:p>
    <w:p>
      <w:r>
        <w:rPr>
          <w:i/>
          <w:color w:val="666666"/>
          <w:sz w:val="18"/>
        </w:rPr>
        <w:t>Ünlü B et al.  ·  Medicina (Kaunas)  ·  21.09.2026  ·  PMID 42796422</w:t>
      </w:r>
    </w:p>
    <w:p>
      <w:r>
        <w:t>Prospektive Studie bei 102 chemotherapie-naiven Patienten ≥65 Jahre mit Gangtests vor Behandlung und Nachverfolgung von Überleben, Therapieansprechen und Toxizität.</w:t>
      </w:r>
    </w:p>
    <w:p>
      <w:r>
        <w:rPr>
          <w:b/>
        </w:rPr>
        <w:t xml:space="preserve">Ergebnis: </w:t>
      </w:r>
      <w:r>
        <w:t>Mittlere Ganggeschwindigkeit 0,481 ± 0,176 m/s. Bei metastasierten Patienten war höhere Ganggeschwindigkeit mit niedrigerer Mortalität assoziiert (univariat HR = 0,752, 95%-KI 0,605–0,934, p = 0,010; adjustiert HR = 0,647, 95%-KI 0,490–0,853, p = 0,002). Keine signifikanten Assoziationen mit progressionsfreiem Überleben oder Grad-≥3-Toxizität.</w:t>
      </w:r>
    </w:p>
    <w:p>
      <w:r>
        <w:rPr>
          <w:b/>
          <w:sz w:val="19"/>
        </w:rPr>
        <w:t xml:space="preserve">Übertragbarkeit: </w:t>
      </w:r>
      <w:r>
        <w:rPr>
          <w:sz w:val="19"/>
        </w:rPr>
        <w:t>Türkei; funktionelle Messung übertragbar, aber Kohorte klein und explorativ.</w:t>
      </w:r>
    </w:p>
    <w:p>
      <w:r>
        <w:rPr>
          <w:color w:val="5A7D3A"/>
          <w:sz w:val="18"/>
        </w:rPr>
        <w:t>https://pubmed.ncbi.nlm.nih.gov/42796422/</w:t>
      </w:r>
    </w:p>
    <w:p>
      <w:pPr>
        <w:pStyle w:val="Heading2"/>
      </w:pPr>
      <w:r>
        <w:t>Frailty-assoziierte Lungenfunktionstrajektor nach Lungentransplantation</w:t>
      </w:r>
    </w:p>
    <w:p>
      <w:r>
        <w:rPr>
          <w:i/>
          <w:color w:val="666666"/>
          <w:sz w:val="18"/>
        </w:rPr>
        <w:t>Ceolin C et al.  ·  Respir Res  ·  25.09.2026  ·  PMID 42791578</w:t>
      </w:r>
    </w:p>
    <w:p>
      <w:r>
        <w:t>Prospektive Longitudinalstudie über zwei Jahre bei 155 Lungentransplantationsempfänger (Durchschnittsalter 48,7 Jahre); Fried-Phänotyp zur Frailty-Erfassung und spirometrische Parameter als Lungenfunktionsergebnis.</w:t>
      </w:r>
    </w:p>
    <w:p>
      <w:r>
        <w:rPr>
          <w:b/>
        </w:rPr>
        <w:t xml:space="preserve">Ergebnis: </w:t>
      </w:r>
      <w:r>
        <w:t>43,7 % waren robust, 40,4 % pre-frail, 15,9 % frail. Höhere Frailty-Last war mit niedrigeren Baseline-FVC-Werten assoziiert. Signifikante Frailty-by-time-Wechselwirkungen zeigten steilere longitudinale Verbesserungen bei Vital Capacity (VC, β = 2,03, p = 0,010) und FVC (β = 2,20, p = 0,003) bei Personen mit höherer Baseline-Frailty.</w:t>
      </w:r>
    </w:p>
    <w:p>
      <w:r>
        <w:rPr>
          <w:b/>
          <w:sz w:val="19"/>
        </w:rPr>
        <w:t xml:space="preserve">Übertragbarkeit: </w:t>
      </w:r>
      <w:r>
        <w:rPr>
          <w:sz w:val="19"/>
        </w:rPr>
        <w:t>Italien (Padua), europäisches Versorgungssystem, ähnliche Transplantationsprotokolle.</w:t>
      </w:r>
    </w:p>
    <w:p>
      <w:r>
        <w:rPr>
          <w:color w:val="5A7D3A"/>
          <w:sz w:val="18"/>
        </w:rPr>
        <w:t>https://pubmed.ncbi.nlm.nih.gov/42791578/</w:t>
      </w:r>
    </w:p>
    <w:p>
      <w:pPr>
        <w:pStyle w:val="Heading2"/>
      </w:pPr>
      <w:r>
        <w:t>Heidelbeeren, Protein und Bewegung gegen Frailty: STRONG-Studie Studienprotokoll</w:t>
      </w:r>
    </w:p>
    <w:p>
      <w:r>
        <w:rPr>
          <w:i/>
          <w:color w:val="666666"/>
          <w:sz w:val="18"/>
        </w:rPr>
        <w:t>Cahill LE et al.  ·  BMJ Open  ·  25.09.2026  ·  PMID 42790922</w:t>
      </w:r>
    </w:p>
    <w:p>
      <w:r>
        <w:t>Pragmatische RCT über 12 Monate mit 240 Personen ≥65 Jahren (120w/120m) in Nova Scotia; Intervention: 1 Cup Heidelbeeren/Tag, 30 g Proteinpulver/Tag und drei 60-Minuten-Multimodal-Trainingseinheiten/Woche; Kontrolle: Standardversorgung.</w:t>
      </w:r>
    </w:p>
    <w:p>
      <w:r>
        <w:rPr>
          <w:b/>
        </w:rPr>
        <w:t xml:space="preserve">Ergebnis: </w:t>
      </w:r>
      <w:r>
        <w:t>Studie noch laufend (Protokoll publiziert). Geplante Outcomes: Frailty-Scores, Balance, Sturzhäufigkeit, Lebensraum, kardiovaskuläre Risikofaktoren, 6-Minuten-Gehtest, Entzündungsmarker, Lebensqualität mit Messungen bei Baseline, 3, 6, 9, 12 und 24 Monaten.</w:t>
      </w:r>
    </w:p>
    <w:p>
      <w:r>
        <w:rPr>
          <w:b/>
          <w:sz w:val="19"/>
        </w:rPr>
        <w:t xml:space="preserve">Übertragbarkeit: </w:t>
      </w:r>
      <w:r>
        <w:rPr>
          <w:sz w:val="19"/>
        </w:rPr>
        <w:t>Kanada (Nova Scotia), ähnliche Versorgungssysteme und Lebenserwartung wie deutschsprachiger Raum.</w:t>
      </w:r>
    </w:p>
    <w:p>
      <w:r>
        <w:rPr>
          <w:color w:val="5A7D3A"/>
          <w:sz w:val="18"/>
        </w:rPr>
        <w:t>https://pubmed.ncbi.nlm.nih.gov/42790922/</w:t>
      </w:r>
    </w:p>
    <w:p>
      <w:pPr>
        <w:pStyle w:val="Heading2"/>
      </w:pPr>
      <w:r>
        <w:t>Schlafstörungen und Depression als gemeinsames Risiko für Arthrose bei Älteren</w:t>
      </w:r>
    </w:p>
    <w:p>
      <w:r>
        <w:rPr>
          <w:i/>
          <w:color w:val="666666"/>
          <w:sz w:val="18"/>
        </w:rPr>
        <w:t>Deng S et al.  ·  Brain Behav  ·  Sept. 2026  ·  PMID 42779173</w:t>
      </w:r>
    </w:p>
    <w:p>
      <w:r>
        <w:t>Prospektive Kohortenstudie mit 3.604 Personen ab 50 Jahren aus der English Longitudinal Study of Ageing; Erfassung von Schlafstörung und depressiver Symptomatik über acht Jahre mittels gruppengestützter Multi-Trajektorien-Analyse.</w:t>
      </w:r>
    </w:p>
    <w:p>
      <w:r>
        <w:rPr>
          <w:b/>
        </w:rPr>
        <w:t xml:space="preserve">Ergebnis: </w:t>
      </w:r>
      <w:r>
        <w:t>Vier Trajektoriengruppen wurden identifiziert. Im Vergleich zu persistierend gutem Schlaf und keinen depressiven Symptomen zeigten Personen mit persistierend schlechtem Schlaf und hoher depressiver Symptomatik ein OR von 2,85 (95%-KI 1,90–4,28) für Arthrose-Neuauftreten; diejenigen mit schlechtem Schlaf und moderater Depression: OR 2,14 (95%-KI 1,52–3,02); moderate Schlafstörung mit niedriger Depression: OR 1,56 (95%-KI 1,20–2,03).</w:t>
      </w:r>
    </w:p>
    <w:p>
      <w:r>
        <w:rPr>
          <w:b/>
          <w:sz w:val="19"/>
        </w:rPr>
        <w:t xml:space="preserve">Übertragbarkeit: </w:t>
      </w:r>
      <w:r>
        <w:rPr>
          <w:sz w:val="19"/>
        </w:rPr>
        <w:t>England, vergleichbares nationales Gesundheitssystem und Altersstruktur.</w:t>
      </w:r>
    </w:p>
    <w:p>
      <w:r>
        <w:rPr>
          <w:color w:val="5A7D3A"/>
          <w:sz w:val="18"/>
        </w:rPr>
        <w:t>https://pubmed.ncbi.nlm.nih.gov/42779173/</w:t>
      </w:r>
    </w:p>
    <w:p>
      <w:pPr>
        <w:pStyle w:val="Heading1"/>
      </w:pPr>
      <w:r>
        <w:t>Aufgenommen am 26.09.2026</w:t>
      </w:r>
    </w:p>
    <w:p>
      <w:pPr>
        <w:pStyle w:val="Heading2"/>
      </w:pPr>
      <w:r>
        <w:t>Soziale Kontakte und körperliche Frailty entwickeln sich parallel: Langzeitprofil aus Japan</w:t>
      </w:r>
    </w:p>
    <w:p>
      <w:r>
        <w:rPr>
          <w:i/>
          <w:color w:val="666666"/>
          <w:sz w:val="18"/>
        </w:rPr>
        <w:t>Gao H et al.  ·  Front Public Health  ·  09.09.2026  ·  PMID 42787745</w:t>
      </w:r>
    </w:p>
    <w:p>
      <w:r>
        <w:t>Japanische Kohortenstudie an 307 älteren Gemeindemitgliedern mit Messungen 2014, 2017 und 2020 zu sozialen Kontakten, körperlicher Frailty (Kihon Checklist-Motor) und subjektiven kognitiven Beschwerden (Kihon Checklist-Kognitiv).</w:t>
      </w:r>
    </w:p>
    <w:p>
      <w:r>
        <w:rPr>
          <w:b/>
        </w:rPr>
        <w:t xml:space="preserve">Ergebnis: </w:t>
      </w:r>
      <w:r>
        <w:t>Soziale Kontakte sanken von 16,82 auf 16,09, körperliche Frailty stieg von 8,8 % auf 19,5 %, subjektive kognitive Beschwerden von 31,3 % auf 62,9 %. Höhere initiale soziale Kontakte assoziiert mit niedrigerem Frailty-Risiko (standardisiert -0,282, 95%-CrI -0,503 bis -0,044) und niedrigerem kognitiven Beschwerde-Risiko (-0,433, -0,651 bis -0,179). Inverse Assoziation zwischen Kontakt- und Frailty-Änderungsraten.</w:t>
      </w:r>
    </w:p>
    <w:p>
      <w:r>
        <w:rPr>
          <w:b/>
          <w:sz w:val="19"/>
        </w:rPr>
        <w:t xml:space="preserve">Übertragbarkeit: </w:t>
      </w:r>
      <w:r>
        <w:rPr>
          <w:sz w:val="19"/>
        </w:rPr>
        <w:t>Japan, aber Befunde zu Multidomain-Assessment übertragbar auf deutsche Altenhilfe</w:t>
      </w:r>
    </w:p>
    <w:p>
      <w:r>
        <w:rPr>
          <w:color w:val="5A7D3A"/>
          <w:sz w:val="18"/>
        </w:rPr>
        <w:t>https://pubmed.ncbi.nlm.nih.gov/42787745/</w:t>
      </w:r>
    </w:p>
    <w:p>
      <w:pPr>
        <w:pStyle w:val="Heading2"/>
      </w:pPr>
      <w:r>
        <w:t>Kardiovaskuläre Multimorbidität und kognitive Funktionalität: internationale Kohorten-Analyse</w:t>
      </w:r>
    </w:p>
    <w:p>
      <w:r>
        <w:rPr>
          <w:i/>
          <w:color w:val="666666"/>
          <w:sz w:val="18"/>
        </w:rPr>
        <w:t>Li M et al.  ·  Front Public Health  ·  10.09.2026  ·  PMID 42787285</w:t>
      </w:r>
    </w:p>
    <w:p>
      <w:r>
        <w:t>Internationale Harmonisierung von 236.088 Personen aus sechs Langzeitkohorten (HRS, ELSA, CHARLS, KLoSA, MHAS, SHARE) mit wiederholten Messungen kardiovaskulärer Komorbiditäten und kognitiv-funktionaler Veränderungen.</w:t>
      </w:r>
    </w:p>
    <w:p>
      <w:r>
        <w:rPr>
          <w:b/>
        </w:rPr>
        <w:t xml:space="preserve">Ergebnis: </w:t>
      </w:r>
      <w:r>
        <w:t>Jede zusätzliche kardiovaskuläre Erkrankung korreliert mit kognitiven Verschlechterung (β=0,0459, 95%-KI 0,0243–0,0675) und funktionalen Verschlechterung (β=0,0960, 95%-KI 0,0809–0,1111). Funktionale Verschlechterung deutlicher als kognitiv (Kontrast 0,0534, 95%-KI 0,0325–0,0742). Bei 266.127 Intervallen in unauffälligem Ausgangszustand: jede zusätzliche Grunderkrankung assoziiert mit funktionalen Übergängen (OR 1,33, 95%-KI 1,27–1,40), nicht konsistent mit kognitiven Übergängen (OR 1,01, 95%-KI 0,95–1,07).</w:t>
      </w:r>
    </w:p>
    <w:p>
      <w:r>
        <w:rPr>
          <w:b/>
          <w:sz w:val="19"/>
        </w:rPr>
        <w:t xml:space="preserve">Übertragbarkeit: </w:t>
      </w:r>
      <w:r>
        <w:rPr>
          <w:sz w:val="19"/>
        </w:rPr>
        <w:t>Europa, Kanada, USA, große internationale Datenharmonisierung relevant für Deutschland</w:t>
      </w:r>
    </w:p>
    <w:p>
      <w:r>
        <w:rPr>
          <w:color w:val="5A7D3A"/>
          <w:sz w:val="18"/>
        </w:rPr>
        <w:t>https://pubmed.ncbi.nlm.nih.gov/42787285/</w:t>
      </w:r>
    </w:p>
    <w:p>
      <w:pPr>
        <w:pStyle w:val="Heading2"/>
      </w:pPr>
      <w:r>
        <w:t>Frailty bei älteren COPD-Patienten: unabhängiger Prädiktor für COPD-Exazerbationen</w:t>
      </w:r>
    </w:p>
    <w:p>
      <w:r>
        <w:rPr>
          <w:i/>
          <w:color w:val="666666"/>
          <w:sz w:val="18"/>
        </w:rPr>
        <w:t>Li T et al.  ·  J Cachexia Sarcopenia Muscle  ·  Okt. 2026  ·  PMID 42786423</w:t>
      </w:r>
    </w:p>
    <w:p>
      <w:r>
        <w:t>Chinesische Kohortenstudie an 466 älteren COPD-Patienten (Mittel 71,2±4,5 Jahre) mit Fried-Frailty-Phänotyp-Assessment und Nachverfolgung über 12 Monate für moderate bis schwere Exazerbationen und Sterblichkeit.</w:t>
      </w:r>
    </w:p>
    <w:p>
      <w:r>
        <w:rPr>
          <w:b/>
        </w:rPr>
        <w:t xml:space="preserve">Ergebnis: </w:t>
      </w:r>
      <w:r>
        <w:t>54,7 % pre-frail, 28,3 % frail. Pre-Frailty (OR 2,182, 95%-KI 1,081–4,405) und Frailty (OR 3,377, 95%-KI 1,614–7,063) unabhängig assoziiert mit erhöhtem Exazerbationsrisiko. ROC-AUC für Frailty-Vorhersage 0,607. Kombination aus Frailty + Dyspnoe oder Exazerbationshistorie bessere Vorhersagekraft als einzelne Parameter.</w:t>
      </w:r>
    </w:p>
    <w:p>
      <w:r>
        <w:rPr>
          <w:b/>
          <w:sz w:val="19"/>
        </w:rPr>
        <w:t xml:space="preserve">Übertragbarkeit: </w:t>
      </w:r>
      <w:r>
        <w:rPr>
          <w:sz w:val="19"/>
        </w:rPr>
        <w:t>China, aber Frailty-Assessment-Konzepte etabliert in deutscher Geriatrie</w:t>
      </w:r>
    </w:p>
    <w:p>
      <w:r>
        <w:rPr>
          <w:color w:val="5A7D3A"/>
          <w:sz w:val="18"/>
        </w:rPr>
        <w:t>https://pubmed.ncbi.nlm.nih.gov/42786423/</w:t>
      </w:r>
    </w:p>
    <w:p>
      <w:pPr>
        <w:pStyle w:val="Heading2"/>
      </w:pPr>
      <w:r>
        <w:t>Prävention funktioneller Abhängigkeit im höheren Alter: Screening geriatrischer Syndrome</w:t>
      </w:r>
    </w:p>
    <w:p>
      <w:r>
        <w:rPr>
          <w:i/>
          <w:color w:val="666666"/>
          <w:sz w:val="18"/>
        </w:rPr>
        <w:t>Stornelli S et al.  ·  Rev Med Suisse  ·  23.09.2026  ·  PMID 42779326</w:t>
      </w:r>
    </w:p>
    <w:p>
      <w:r>
        <w:t>Schweizer Übersicht für ambulante Grundversorgung zu frühzeitiger Erkennung älterer Patienten mit Risiko funktioneller Abhängigkeit und Autonomieverlust, basierend auf WHO-ICOPE-Ansatz.</w:t>
      </w:r>
    </w:p>
    <w:p>
      <w:r>
        <w:rPr>
          <w:b/>
        </w:rPr>
        <w:t xml:space="preserve">Ergebnis: </w:t>
      </w:r>
      <w:r>
        <w:t>Kernempfehlung: Ärzte sollten hauptsächliche geriatrische Syndrome systematisch screenen, modifizierbare Risikofaktoren identifizieren und Maßnahmen zur Bewahrung intrinsischer Kapazität und Lebensqualität implementieren. Lücke zwischen Lebenserwartung und behinderungsfreien Jahren bleibt erheblich und variiert nach Geschlecht, Bildung und sozioökonomischem Status.</w:t>
      </w:r>
    </w:p>
    <w:p>
      <w:r>
        <w:rPr>
          <w:b/>
          <w:sz w:val="19"/>
        </w:rPr>
        <w:t xml:space="preserve">Übertragbarkeit: </w:t>
      </w:r>
      <w:r>
        <w:rPr>
          <w:sz w:val="19"/>
        </w:rPr>
        <w:t>Schweiz (DACH-Region), direkt übertragbar auf deutsche Primärversorgung</w:t>
      </w:r>
    </w:p>
    <w:p>
      <w:r>
        <w:rPr>
          <w:color w:val="5A7D3A"/>
          <w:sz w:val="18"/>
        </w:rPr>
        <w:t>https://pubmed.ncbi.nlm.nih.gov/42779326/</w:t>
      </w:r>
    </w:p>
    <w:p>
      <w:pPr>
        <w:pStyle w:val="Heading2"/>
      </w:pPr>
      <w:r>
        <w:t>Funktionale Limitierungen bei Depression im Alter folgen eigenen Trajektorien</w:t>
      </w:r>
    </w:p>
    <w:p>
      <w:r>
        <w:rPr>
          <w:i/>
          <w:color w:val="666666"/>
          <w:sz w:val="18"/>
        </w:rPr>
        <w:t>Fredriksen KH et al.  ·  J Affect Disord  ·  15.12.2026  ·  PMID 42716343</w:t>
      </w:r>
    </w:p>
    <w:p>
      <w:r>
        <w:t>Niederländische Langzeitstudie an 355 älteren depressiven Patienten über sechs Jahre mit wiederholten Messungen in sechs Funktionsbereichen (Kognition, Mobilität, Selbstversorgung, soziale Beziehungen, Haushaltsaktivitäten, gesellschaftliche Partizipation).</w:t>
      </w:r>
    </w:p>
    <w:p>
      <w:r>
        <w:rPr>
          <w:b/>
        </w:rPr>
        <w:t xml:space="preserve">Ergebnis: </w:t>
      </w:r>
      <w:r>
        <w:t>Funktionale Einschränkungen zeigten überwiegend stabile hohe oder niedrige Trajektorien über beide Domänen. In Mobilität, Selbstversorgung und Haushaltsaktivitäten zeigte eine Subgruppe starke Verschlechterung, eine andere in sozialen Beziehungen Verbesserung. Funktionale Trajektorien korrelierten nur schwach mit Symptomverläufen und unterschieden sich zwischen Individuen deutlich – Hinweis auf Bedarf für individualisierte Interventionen unabhängig von depressiver Remission.</w:t>
      </w:r>
    </w:p>
    <w:p>
      <w:r>
        <w:rPr>
          <w:b/>
          <w:sz w:val="19"/>
        </w:rPr>
        <w:t xml:space="preserve">Übertragbarkeit: </w:t>
      </w:r>
      <w:r>
        <w:rPr>
          <w:sz w:val="19"/>
        </w:rPr>
        <w:t>Niederlande, Sozialversicherungssystem vergleichbar mit Deutschland</w:t>
      </w:r>
    </w:p>
    <w:p>
      <w:r>
        <w:rPr>
          <w:color w:val="5A7D3A"/>
          <w:sz w:val="18"/>
        </w:rPr>
        <w:t>https://pubmed.ncbi.nlm.nih.gov/42716343/</w:t>
      </w:r>
    </w:p>
    <w:p>
      <w:pPr>
        <w:pStyle w:val="Heading2"/>
      </w:pPr>
      <w:r>
        <w:t>Bipolares Störung im höheren Alter: Sterblichkeit erhöht, nicht Überleberkohorten-Effekt</w:t>
      </w:r>
    </w:p>
    <w:p>
      <w:r>
        <w:rPr>
          <w:i/>
          <w:color w:val="666666"/>
          <w:sz w:val="18"/>
        </w:rPr>
        <w:t>Bayat N et al.  ·  Am J Geriatr Psychiatry  ·  21.07.2026  ·  PMID 42567731</w:t>
      </w:r>
    </w:p>
    <w:p>
      <w:r>
        <w:t>Niederländische Prospektivkohortenstudie mit 227 Patienten ≥50 Jahren mit bipolarer Störung (DOBi-Studie) verglichen mit 681 alternativen Kontrollpersonen (LASA) über 8 Jahre Nachverfolgung.</w:t>
      </w:r>
    </w:p>
    <w:p>
      <w:r>
        <w:rPr>
          <w:b/>
        </w:rPr>
        <w:t xml:space="preserve">Ergebnis: </w:t>
      </w:r>
      <w:r>
        <w:t>Von 227 Patienten mit bipolarer Störung starben 37 (16,3 %), von Kontrollen 138/681 (20,3 %). Eingeschränkte mittlere Überlebenszeit 2.500,7 Tage (95%-KI 2.419,9–2.581,5) versus 2.607,2 Tage (95%-KI 2.572,3–2.642,0) – Differenz 106,4 Tage (3,5 Monate, p=0,018). Hazard Ratio 1,72 (95%-KI 1,17–2,54, p=0,006). Erhöhte Sterblichkeit persistent, nicht nur Überleberkohorten-Effekt.</w:t>
      </w:r>
    </w:p>
    <w:p>
      <w:r>
        <w:rPr>
          <w:b/>
          <w:sz w:val="19"/>
        </w:rPr>
        <w:t xml:space="preserve">Übertragbarkeit: </w:t>
      </w:r>
      <w:r>
        <w:rPr>
          <w:sz w:val="19"/>
        </w:rPr>
        <w:t>Niederlande, vergleichbares Gesundheitssystem und Sozialversicherung</w:t>
      </w:r>
    </w:p>
    <w:p>
      <w:r>
        <w:rPr>
          <w:color w:val="5A7D3A"/>
          <w:sz w:val="18"/>
        </w:rPr>
        <w:t>https://pubmed.ncbi.nlm.nih.gov/42567731/</w:t>
      </w:r>
    </w:p>
    <w:p>
      <w:pPr>
        <w:pStyle w:val="Heading1"/>
      </w:pPr>
      <w:r>
        <w:t>Aufgenommen am 25.09.2026</w:t>
      </w:r>
    </w:p>
    <w:p>
      <w:pPr>
        <w:pStyle w:val="Heading2"/>
      </w:pPr>
      <w:r>
        <w:t>Klinische Entscheidungsmuster von Physiotherapeuten bei Frailty in der Krankenpflege</w:t>
      </w:r>
    </w:p>
    <w:p>
      <w:r>
        <w:rPr>
          <w:i/>
          <w:color w:val="666666"/>
          <w:sz w:val="18"/>
        </w:rPr>
        <w:t>Bloch T et al.  ·  Age Ageing  ·  04.09.2026  ·  PMID 42784539</w:t>
      </w:r>
    </w:p>
    <w:p>
      <w:r>
        <w:t>Delphi-Studie mit 44 US-amerikanischen und kanadischen Therapeuten zu klinischen Reasoning-Strategien bei der Intervention für gebrechliche ältere Menschen in Pflegeheimen.</w:t>
      </w:r>
    </w:p>
    <w:p>
      <w:r>
        <w:rPr>
          <w:b/>
        </w:rPr>
        <w:t xml:space="preserve">Ergebnis: </w:t>
      </w:r>
      <w:r>
        <w:t>Fünf Konsensthemen erreichten ≥75%-Zustimmung: (i) Therapie-Engagement durch patientenzentrierte Aktivitäten, (ii) Mobilität und Bewegungssicherheit, (iii) funktionale Ergebnisse und Belastung, (iv) Schmerzmanagement und kognitive Variabilität, (v) aufgabenspezifische duale Interventionen für ADL-Transfer. 39 von 44 Teilnehmern (89%-Retentionsquote) schlossen alle Runden ab.</w:t>
      </w:r>
    </w:p>
    <w:p>
      <w:r>
        <w:rPr>
          <w:b/>
          <w:sz w:val="19"/>
        </w:rPr>
        <w:t xml:space="preserve">Übertragbarkeit: </w:t>
      </w:r>
      <w:r>
        <w:rPr>
          <w:sz w:val="19"/>
        </w:rPr>
        <w:t>USA/Kanada – Qualitative Evidenz zur Praxis in SNF; Adaptierbarkeit auf deutsches Versorgungssystem mit Anpassungen an Dokumentation und Ressourcen.</w:t>
      </w:r>
    </w:p>
    <w:p>
      <w:r>
        <w:rPr>
          <w:color w:val="5A7D3A"/>
          <w:sz w:val="18"/>
        </w:rPr>
        <w:t>https://pubmed.ncbi.nlm.nih.gov/42784539/</w:t>
      </w:r>
    </w:p>
    <w:p>
      <w:pPr>
        <w:pStyle w:val="Heading2"/>
      </w:pPr>
      <w:r>
        <w:t>Thorakale Muskelattenuation prägt Geschlechts-spezifische Mortalität nach Bypasschirurgie im Alter</w:t>
      </w:r>
    </w:p>
    <w:p>
      <w:r>
        <w:rPr>
          <w:i/>
          <w:color w:val="666666"/>
          <w:sz w:val="18"/>
        </w:rPr>
        <w:t>Krombholz-Reindl P et al.  ·  Med Sci (Basel)  ·  14.09.2026  ·  PMID 42783442</w:t>
      </w:r>
    </w:p>
    <w:p>
      <w:r>
        <w:t>Retrospektive Studie an 479 Patienten (382 Männer, 97 Frauen) untersucht, ob die Muskelqualität (gemessen als Hounsfield Units aus Routinen-CT) die Mortalität nach Koronarer Bypasschirurgie unabhängig vom EuroSCORE II vorhersagt – mit geschlechtsspezifischen Unterschieden.</w:t>
      </w:r>
    </w:p>
    <w:p>
      <w:r>
        <w:rPr>
          <w:b/>
        </w:rPr>
        <w:t xml:space="preserve">Ergebnis: </w:t>
      </w:r>
      <w:r>
        <w:t>Bei Frauen mit niedriger Muskelattenuation (TH4) betrugen die Hazard Ratios für Mortalität 6,6 (1 Jahr), 9,5 (3 Jahre), 6,4 (5 Jahre; alle p≤0,03). Bei Männern zeigte sich ein schwächerer Effekt, der nach Gewichtungsanpassung insignifikant wurde. Hinzufügen von niedriger Muskelattenuation zu EuroSCORE II erhöhte C-Statistik um 0,046 bei Frauen insgesamt (p&lt;0,001).</w:t>
      </w:r>
    </w:p>
    <w:p>
      <w:r>
        <w:rPr>
          <w:b/>
          <w:sz w:val="19"/>
        </w:rPr>
        <w:t xml:space="preserve">Übertragbarkeit: </w:t>
      </w:r>
      <w:r>
        <w:rPr>
          <w:sz w:val="19"/>
        </w:rPr>
        <w:t>Österreich/Deutschland – Universitätszentren; Aussage unabhängig von Versorgungssystem.</w:t>
      </w:r>
    </w:p>
    <w:p>
      <w:r>
        <w:rPr>
          <w:color w:val="5A7D3A"/>
          <w:sz w:val="18"/>
        </w:rPr>
        <w:t>https://pubmed.ncbi.nlm.nih.gov/42783442/</w:t>
      </w:r>
    </w:p>
    <w:p>
      <w:pPr>
        <w:pStyle w:val="Heading2"/>
      </w:pPr>
      <w:r>
        <w:t>Feinstaub und Luftfeuchte verstärken Sturzrisiko und Schlaganfall im Alter durch Frailty</w:t>
      </w:r>
    </w:p>
    <w:p>
      <w:r>
        <w:rPr>
          <w:i/>
          <w:color w:val="666666"/>
          <w:sz w:val="18"/>
        </w:rPr>
        <w:t>Sun M et al.  ·  Front Public Health  ·  09.09.2026  ·  PMID 42780893</w:t>
      </w:r>
    </w:p>
    <w:p>
      <w:r>
        <w:t>Prospektive Kohortenstudie (CHARLS, n=17.197) und Krankenhaus-Stichprobe (n=782) zum Zusammenhang von PM2.5-Exposition, relativer Luftfeuchte und Schlaganfallrisiko, mit Frailty Index als potenzieller Mediator.</w:t>
      </w:r>
    </w:p>
    <w:p>
      <w:r>
        <w:rPr>
          <w:b/>
        </w:rPr>
        <w:t xml:space="preserve">Ergebnis: </w:t>
      </w:r>
      <w:r>
        <w:t>Hohes PM2.5 mit Schlaganfall-Hazard Ratio 1,184 (95% KI 1,083–1,295) in CHARLS. Hohe Luftfeuchte: HR 1,112 (95% KI 1,021–1,212). Beide Expositionen zusammen: HR 1,361 (95% KI 1,171–1,582). Frailty mediierte 18,1 % der PM2.5-Assoziation und 22,3 % der Feuchte-Assoziation.</w:t>
      </w:r>
    </w:p>
    <w:p>
      <w:r>
        <w:rPr>
          <w:b/>
          <w:sz w:val="19"/>
        </w:rPr>
        <w:t xml:space="preserve">Übertragbarkeit: </w:t>
      </w:r>
      <w:r>
        <w:rPr>
          <w:sz w:val="19"/>
        </w:rPr>
        <w:t>China – CHARLS-Kohortendaten; Luftqualität und Klimavariablen sind in Deutschland unterschiedlich, aber Frailty-Pathway-Mechanismus ist übertragbar.</w:t>
      </w:r>
    </w:p>
    <w:p>
      <w:r>
        <w:rPr>
          <w:color w:val="5A7D3A"/>
          <w:sz w:val="18"/>
        </w:rPr>
        <w:t>https://pubmed.ncbi.nlm.nih.gov/42780893/</w:t>
      </w:r>
    </w:p>
    <w:p>
      <w:pPr>
        <w:pStyle w:val="Heading2"/>
      </w:pPr>
      <w:r>
        <w:t>Umfassende Frailty-Erfassung vorhersagt Mortalität nach Herzchirurgie besser als das Fried-Phänotyp allein</w:t>
      </w:r>
    </w:p>
    <w:p>
      <w:r>
        <w:rPr>
          <w:i/>
          <w:color w:val="666666"/>
          <w:sz w:val="18"/>
        </w:rPr>
        <w:t>Silva VBMD et al.  ·  Braz J Cardiovasc Surg  ·  21.09.2026  ·  PMID 42776132</w:t>
      </w:r>
    </w:p>
    <w:p>
      <w:r>
        <w:t>Prospektive Beobachtungsstudie mit 218 Herzchirurgie-Patienten (Klappenchirurgie oder CABG) zur Validierung von Frailty-Definitionen neben dem klassischen Fried-Kriterium durch zusätzliche ernährungsmedizinische, psychologische und funktionelle Variablen.</w:t>
      </w:r>
    </w:p>
    <w:p>
      <w:r>
        <w:rPr>
          <w:b/>
        </w:rPr>
        <w:t xml:space="preserve">Ergebnis: </w:t>
      </w:r>
      <w:r>
        <w:t>Nach Fried: 43,6 % frail, 49,6 % pre-frail. Fried-Phänotyp zeigte keine Assoziation mit Mortalität. Mit zusätzlichen Variablen identifizierte Clusteranalyse zwei Gruppen: In Cluster 1 waren 84,8 % Fried-frail (vs. 27,4 % in Cluster 2, p&lt;0,001), postoperative Infektionsrate 24,2 % vs. 7,1 % (p=0,022), Krankenhausmortalität 27,3 % vs. 9,5 % (p=0,020).</w:t>
      </w:r>
    </w:p>
    <w:p>
      <w:r>
        <w:rPr>
          <w:b/>
          <w:sz w:val="19"/>
        </w:rPr>
        <w:t xml:space="preserve">Übertragbarkeit: </w:t>
      </w:r>
      <w:r>
        <w:rPr>
          <w:sz w:val="19"/>
        </w:rPr>
        <w:t>Brasilien – herzchirurgische Versorgung vergleichbar; Frailty-Assessment-Prinzipien übertragbar auf deutsche Kliniken.</w:t>
      </w:r>
    </w:p>
    <w:p>
      <w:r>
        <w:rPr>
          <w:color w:val="5A7D3A"/>
          <w:sz w:val="18"/>
        </w:rPr>
        <w:t>https://pubmed.ncbi.nlm.nih.gov/42776132/</w:t>
      </w:r>
    </w:p>
    <w:p>
      <w:pPr>
        <w:pStyle w:val="Heading2"/>
      </w:pPr>
      <w:r>
        <w:t>Geriatrische Versorgungskonzepte bei trochantären Femurfrakturen senken Komplikationen und Mortalität</w:t>
      </w:r>
    </w:p>
    <w:p>
      <w:r>
        <w:rPr>
          <w:i/>
          <w:color w:val="666666"/>
          <w:sz w:val="18"/>
        </w:rPr>
        <w:t>Smolka V et al.  ·  Unfallchirurgie (Heidelb)  ·  24.08.2026  ·  PMID 42637918</w:t>
      </w:r>
    </w:p>
    <w:p>
      <w:r>
        <w:t>Übersichtsartikel zur interdisziplinären, multidimensionalen Betreuung geriatrischer Hüftfrakturen nach deutschen Richtlinien mit Fokus auf Schmerzmanagement, Frühmobilisation, Delir- und Ernährungsmanagement, Deprescribing und Sturzprophylaxe.</w:t>
      </w:r>
    </w:p>
    <w:p>
      <w:r>
        <w:rPr>
          <w:b/>
        </w:rPr>
        <w:t xml:space="preserve">Ergebnis: </w:t>
      </w:r>
      <w:r>
        <w:t>Multidimensionale Betreuung reduziert nachweislich die Mortalität, vermeidet Komplikationen durch adäquate Perioperativbetreuung, Frühmobilisation und Entlassungsplanung. Keine spezifischen Zahlenwerte im Abstract genannt, aber eindeutige Evidenz für Mortalitätsreduktion dokumentiert.</w:t>
      </w:r>
    </w:p>
    <w:p>
      <w:r>
        <w:rPr>
          <w:b/>
          <w:sz w:val="19"/>
        </w:rPr>
        <w:t xml:space="preserve">Übertragbarkeit: </w:t>
      </w:r>
      <w:r>
        <w:rPr>
          <w:sz w:val="19"/>
        </w:rPr>
        <w:t>Deutschland – nationale Richtlinien des Gemeinsamen Bundesausschusses seit 2021.</w:t>
      </w:r>
    </w:p>
    <w:p>
      <w:r>
        <w:rPr>
          <w:color w:val="5A7D3A"/>
          <w:sz w:val="18"/>
        </w:rPr>
        <w:t>https://pubmed.ncbi.nlm.nih.gov/42637918/</w:t>
      </w:r>
    </w:p>
    <w:p>
      <w:pPr>
        <w:pStyle w:val="Heading2"/>
      </w:pPr>
      <w:r>
        <w:t>Produktivitäts-angepasste Lebenserwartung in Finnland: Normwerte für bezahlte und unbezahlte Arbeit</w:t>
      </w:r>
    </w:p>
    <w:p>
      <w:r>
        <w:rPr>
          <w:i/>
          <w:color w:val="666666"/>
          <w:sz w:val="18"/>
        </w:rPr>
        <w:t>Lavikainen P et al.  ·  Soc Sci Med  ·  20.08.2026  ·  PMID 42632184</w:t>
      </w:r>
    </w:p>
    <w:p>
      <w:r>
        <w:t>Bevölkerungssurvey von 3.644 finnischen Erwachsenen (Juni–August 2024, Alter 18–79 Jahre) zur Schätzung von Produktivitätsindizes nach Alter und Geschlecht für bezahlte und unbezahlte Arbeit.</w:t>
      </w:r>
    </w:p>
    <w:p>
      <w:r>
        <w:rPr>
          <w:b/>
        </w:rPr>
        <w:t xml:space="preserve">Ergebnis: </w:t>
      </w:r>
      <w:r>
        <w:t>Gewichteter Produktivitätsindex für Gesamtpopulation: 0,770 (Männer 0,780; Frauen 0,760). Produktivitäts-angepasste Lebenserwartung (PALE) mit Undiskontiert für Männer im Alter 20: 42,9 Jahre, mit 1,5%-Diskont 29,3 Jahre. Für Frauen: 46,1, 30,4 Jahre entsprechend. Erste bevölkerungsrepräsentative Normwerte für nordische Länder.</w:t>
      </w:r>
    </w:p>
    <w:p>
      <w:r>
        <w:rPr>
          <w:b/>
          <w:sz w:val="19"/>
        </w:rPr>
        <w:t xml:space="preserve">Übertragbarkeit: </w:t>
      </w:r>
      <w:r>
        <w:rPr>
          <w:sz w:val="19"/>
        </w:rPr>
        <w:t>Finnland – Nordeuropa mit vergleichbarem Sozialsystem; für Deutschland übertragbar auf Struktur, Finanzierung unterscheidet sich.</w:t>
      </w:r>
    </w:p>
    <w:p>
      <w:r>
        <w:rPr>
          <w:color w:val="5A7D3A"/>
          <w:sz w:val="18"/>
        </w:rPr>
        <w:t>https://pubmed.ncbi.nlm.nih.gov/42632184/</w:t>
      </w:r>
    </w:p>
    <w:p>
      <w:pPr>
        <w:pStyle w:val="Heading1"/>
      </w:pPr>
      <w:r>
        <w:t>Aufgenommen am 24.09.2026</w:t>
      </w:r>
    </w:p>
    <w:p>
      <w:pPr>
        <w:pStyle w:val="Heading2"/>
      </w:pPr>
      <w:r>
        <w:t>Mitochondriale Dynamik im Altern: Ansätze zur Prävention von Herz- und Hirnerkrankungen</w:t>
      </w:r>
    </w:p>
    <w:p>
      <w:r>
        <w:rPr>
          <w:i/>
          <w:color w:val="666666"/>
          <w:sz w:val="18"/>
        </w:rPr>
        <w:t>Yin Y et al.  ·  Aging Cell  ·  Okt. 2026  ·  PMID 42775668</w:t>
      </w:r>
    </w:p>
    <w:p>
      <w:r>
        <w:t>Narrativer Übersichtsartikel zu Rolle der Mitochondrialen Fusion und Fission bei altersbezogenen Herz- und Hirnerkrankungen (Alzheimer, Parkinson, atheroskleroische kardiozerebrovale Erkrankungen) und therapeutischen Strategien (Ausdauertraining, Metformin, Dapagliflozin, Irbesartan, TCM-Komponenten).</w:t>
      </w:r>
    </w:p>
    <w:p>
      <w:r>
        <w:rPr>
          <w:b/>
        </w:rPr>
        <w:t xml:space="preserve">Ergebnis: </w:t>
      </w:r>
      <w:r>
        <w:t>Beeinträchtigte mitochondriale Dynamik liegt vielen altersassoziierten Krankheiten zugrunde; verschiedene Trainings- und Medikamentenansätze zeigen Potenzial zur Verbesserung von Herzgesundheit und Hirngesundheit durch Wiederherstellung mitochondrialer Plastizität; Mechanismen umfassen Verbesserung von Energiestoffwechsel und Reduktion von Entzündung und Seneszenz.</w:t>
      </w:r>
    </w:p>
    <w:p>
      <w:r>
        <w:rPr>
          <w:b/>
          <w:sz w:val="19"/>
        </w:rPr>
        <w:t xml:space="preserve">Übertragbarkeit: </w:t>
      </w:r>
      <w:r>
        <w:rPr>
          <w:sz w:val="19"/>
        </w:rPr>
        <w:t>Überwiegend präklinische und Tiermodelle; klinische Übertragbarkeit für ausgewählte Interventionen (Training, Metformin) gegeben.</w:t>
      </w:r>
    </w:p>
    <w:p>
      <w:r>
        <w:rPr>
          <w:color w:val="5A7D3A"/>
          <w:sz w:val="18"/>
        </w:rPr>
        <w:t>https://pubmed.ncbi.nlm.nih.gov/42775668/</w:t>
      </w:r>
    </w:p>
    <w:p>
      <w:pPr>
        <w:pStyle w:val="Heading2"/>
      </w:pPr>
      <w:r>
        <w:t>Einbindung Älterer in Versorgungsforschung: Praktische Erfolgsfaktoren aus Australien</w:t>
      </w:r>
    </w:p>
    <w:p>
      <w:r>
        <w:rPr>
          <w:i/>
          <w:color w:val="666666"/>
          <w:sz w:val="18"/>
        </w:rPr>
        <w:t>Thillainadesan J et al.  ·  Public Health Res Pract  ·  24.09.2026  ·  PMID 42767663</w:t>
      </w:r>
    </w:p>
    <w:p>
      <w:r>
        <w:t>Qualitative Studie zur Etablierung einer konsumentengesteuerten Forschungsberatungsgruppe in einem Altersbetreuungszentrum mit 8 älteren Teilnehmern (Australien); Dokumentation von Rekrutierungs-, Unterstützungs- und Beteiligungsprozessen.</w:t>
      </w:r>
    </w:p>
    <w:p>
      <w:r>
        <w:rPr>
          <w:b/>
        </w:rPr>
        <w:t xml:space="preserve">Ergebnis: </w:t>
      </w:r>
      <w:r>
        <w:t>Erfolgsfaktoren: Inklusives Auswahlverfahren, Honorierung, Barrierefreiheit, sensibilisierte Kommunikation, vertrauensvolle Umgebung, orientierungsgerichtete Einführung und Training; Teilnehmer berichtet positive Erfahrungen und waren motiviert durch Wunsch, ihre Lebenserfahrung zum Nutzen anderer einzubringen; Machbarkeit und Förderfähigkeit von Älteren-Einbindung demonstriert.</w:t>
      </w:r>
    </w:p>
    <w:p>
      <w:r>
        <w:rPr>
          <w:b/>
          <w:sz w:val="19"/>
        </w:rPr>
        <w:t xml:space="preserve">Übertragbarkeit: </w:t>
      </w:r>
      <w:r>
        <w:rPr>
          <w:sz w:val="19"/>
        </w:rPr>
        <w:t>Australische Versorgungsforschung, methodisch auf deutschsprachige Settings übertragbar.</w:t>
      </w:r>
    </w:p>
    <w:p>
      <w:r>
        <w:rPr>
          <w:color w:val="5A7D3A"/>
          <w:sz w:val="18"/>
        </w:rPr>
        <w:t>https://pubmed.ncbi.nlm.nih.gov/42767663/</w:t>
      </w:r>
    </w:p>
    <w:p>
      <w:pPr>
        <w:pStyle w:val="Heading2"/>
      </w:pPr>
      <w:r>
        <w:t>Grippe-Impfstoff höherer Dosierung senkt Hospitalisierungen bei gebrechlichen Älteren stärker</w:t>
      </w:r>
    </w:p>
    <w:p>
      <w:r>
        <w:rPr>
          <w:i/>
          <w:color w:val="666666"/>
          <w:sz w:val="18"/>
        </w:rPr>
        <w:t>Espersen C et al.  ·  Lancet Healthy Longev  ·  17.09.2026  ·  PMID 42753782</w:t>
      </w:r>
    </w:p>
    <w:p>
      <w:r>
        <w:t>Dänische randomisierte Studie zu Wirksamkeit hochdosierter versus Standarddosis-Influenzaimpfung bei 332.438 älteren Personen (≥65 Jahre), stratifiziert nach Gebrechlichkeitsrisiko mittels Hospital Frailty Risk Score.</w:t>
      </w:r>
    </w:p>
    <w:p>
      <w:r>
        <w:rPr>
          <w:b/>
        </w:rPr>
        <w:t xml:space="preserve">Ergebnis: </w:t>
      </w:r>
      <w:r>
        <w:t>Bei Personen mit hohem Gebrechlichkeitsrisiko zeigte die hochdosierte Impfung eine relative Wirksamkeit von 19,9 % (95%-KI −10,3 bis 42,1) gegen Hospitalisierungen durch Influenza/Lungenentzündung versus 0,2 % (−10,8 bis 10,2) bei niedrigem Risiko; die Interaktion war jedoch nicht signifikant kategorisch (p=0,17), sodass die Autoren die Ergebnisse als explorativ einstufen.</w:t>
      </w:r>
    </w:p>
    <w:p>
      <w:r>
        <w:rPr>
          <w:b/>
          <w:sz w:val="19"/>
        </w:rPr>
        <w:t xml:space="preserve">Übertragbarkeit: </w:t>
      </w:r>
      <w:r>
        <w:rPr>
          <w:sz w:val="19"/>
        </w:rPr>
        <w:t>Dänische Gesundheitsdaten, europäisches System mit vergleichbarer Impfstoffverfügbarkeit.</w:t>
      </w:r>
    </w:p>
    <w:p>
      <w:r>
        <w:rPr>
          <w:color w:val="5A7D3A"/>
          <w:sz w:val="18"/>
        </w:rPr>
        <w:t>https://pubmed.ncbi.nlm.nih.gov/42753782/</w:t>
      </w:r>
    </w:p>
    <w:p>
      <w:pPr>
        <w:pStyle w:val="Heading2"/>
      </w:pPr>
      <w:r>
        <w:t>Kurzzeitige Prehabilitation vor elektiver Operation senkt Pflegebedürftigkeit bei gebrechlichen Älteren nicht</w:t>
      </w:r>
    </w:p>
    <w:p>
      <w:r>
        <w:rPr>
          <w:i/>
          <w:color w:val="666666"/>
          <w:sz w:val="18"/>
        </w:rPr>
        <w:t>Spies C et al.  ·  Lancet Healthy Longev  ·  15.09.2026  ·  PMID 42743945</w:t>
      </w:r>
    </w:p>
    <w:p>
      <w:r>
        <w:t>Deutschlandweite randomisierte Studie an 1.199 Personen (Alter ≥70 Jahre) mit Frailty oder Prefrailty zu Effekt einer 3-wöchigen supervidierten multimodalen Prehabilitation auf Pflegabhängigkeit 12 Monate postoperativ.</w:t>
      </w:r>
    </w:p>
    <w:p>
      <w:r>
        <w:rPr>
          <w:b/>
        </w:rPr>
        <w:t xml:space="preserve">Ergebnis: </w:t>
      </w:r>
      <w:r>
        <w:t>Keine signifikanten Unterschiede zwischen Prehabilitation und Standard-Care in der Veränderung der Langzeitpflegeabhängigkeit (ordinale Skala 0–5): mittlere Differenz −0,1 (95%-KI −0,25 bis 0,07; p=0,26); 32 Sicherheitsereignisse in der Interventionsgruppe, meist nicht kausal bezogen.</w:t>
      </w:r>
    </w:p>
    <w:p>
      <w:r>
        <w:rPr>
          <w:b/>
          <w:sz w:val="19"/>
        </w:rPr>
        <w:t xml:space="preserve">Übertragbarkeit: </w:t>
      </w:r>
      <w:r>
        <w:rPr>
          <w:sz w:val="19"/>
        </w:rPr>
        <w:t>Deutsche Klinikdaten, G-BA-finanziert, direkt auf deutsches Gesundheitssystem übertragbar.</w:t>
      </w:r>
    </w:p>
    <w:p>
      <w:r>
        <w:rPr>
          <w:color w:val="5A7D3A"/>
          <w:sz w:val="18"/>
        </w:rPr>
        <w:t>https://pubmed.ncbi.nlm.nih.gov/42743945/</w:t>
      </w:r>
    </w:p>
    <w:p>
      <w:pPr>
        <w:pStyle w:val="Heading2"/>
      </w:pPr>
      <w:r>
        <w:t>Wissenslücken in geriatrischen Kompetenzen im DACH-Raum: Demenz, Depression, Sarkopenie prioritär</w:t>
      </w:r>
    </w:p>
    <w:p>
      <w:r>
        <w:rPr>
          <w:i/>
          <w:color w:val="666666"/>
          <w:sz w:val="18"/>
        </w:rPr>
        <w:t>Honegger M et al.  ·  Z Gerontol Geriatr  ·  07.09.2026  ·  PMID 42704433</w:t>
      </w:r>
    </w:p>
    <w:p>
      <w:r>
        <w:t>Sekundäranalyse einer europäischen Online-Befragung: 291 Gesundheitsfachkräfte aus Deutschland, Österreich und der Schweiz wurden zu Selbsteinschätzung geriatrischer Kompetenz und Fortbildungsbedarf befragt und mit 5.134 Fachkräften aus übrigen europäischen Ländern verglichen.</w:t>
      </w:r>
    </w:p>
    <w:p>
      <w:r>
        <w:rPr>
          <w:b/>
        </w:rPr>
        <w:t xml:space="preserve">Ergebnis: </w:t>
      </w:r>
      <w:r>
        <w:t>DACH-Fachkräfte schätzten ihre geriatrischen Kenntnisse höher ein als Kollegen anderswo, zeigten aber substantielle Lücken in Demenz, Depression, chronischen Schmerzen, kognitiven Screenings und Sarkopenie; Fortbildungsbedarf überstieg selbst eingeschätzte Kompetenz in allen Ländern.</w:t>
      </w:r>
    </w:p>
    <w:p>
      <w:r>
        <w:rPr>
          <w:b/>
          <w:sz w:val="19"/>
        </w:rPr>
        <w:t xml:space="preserve">Übertragbarkeit: </w:t>
      </w:r>
      <w:r>
        <w:rPr>
          <w:sz w:val="19"/>
        </w:rPr>
        <w:t>DACH-Umfrage mit direktem Bezug zu deutschem, österreichischem und Schweizer Gesundheitswesen.</w:t>
      </w:r>
    </w:p>
    <w:p>
      <w:r>
        <w:rPr>
          <w:color w:val="5A7D3A"/>
          <w:sz w:val="18"/>
        </w:rPr>
        <w:t>https://pubmed.ncbi.nlm.nih.gov/42704433/</w:t>
      </w:r>
    </w:p>
    <w:p>
      <w:pPr>
        <w:pStyle w:val="Heading2"/>
      </w:pPr>
      <w:r>
        <w:t>Multikomponenten-Delirprogramme reduzieren Delirinzidenz um 44 % – Evidenzbasis und Implementierung</w:t>
      </w:r>
    </w:p>
    <w:p>
      <w:r>
        <w:rPr>
          <w:i/>
          <w:color w:val="666666"/>
          <w:sz w:val="18"/>
        </w:rPr>
        <w:t>Thomas C et al.  ·  Z Gerontol Geriatr  ·  25.08.2026  ·  PMID 42640287</w:t>
      </w:r>
    </w:p>
    <w:p>
      <w:r>
        <w:t>Narrativer Übersichtsartikel mit Darstellung der Evidenz zu nichtpharmakologischen Multikomponenten-Interventionen (HELP, ABCDE-Bundle, CHOPS, AKTIVER) in der Delirprävention und des Delirmanagements bei älteren Patienten.</w:t>
      </w:r>
    </w:p>
    <w:p>
      <w:r>
        <w:rPr>
          <w:b/>
        </w:rPr>
        <w:t xml:space="preserve">Ergebnis: </w:t>
      </w:r>
      <w:r>
        <w:t>Zwei 2026 publizierte Metaanalysen zeigen, dass multikomponentale nichtpharmakologische Programme die Delirinzidenz um 44 % reduzierten und Dauer bestehender Delire signifikant verkürzten; pharmakologische Strategien zeigten keinen konsistenten Nutzen außer Dexmedetomidin in ausgewählten perioperativen Settings; S3-Leitlinie empfiehlt strukturierte, interprofessionelle, personenzentrierte Delirprogramme als Standard.</w:t>
      </w:r>
    </w:p>
    <w:p>
      <w:r>
        <w:rPr>
          <w:b/>
          <w:sz w:val="19"/>
        </w:rPr>
        <w:t xml:space="preserve">Übertragbarkeit: </w:t>
      </w:r>
      <w:r>
        <w:rPr>
          <w:sz w:val="19"/>
        </w:rPr>
        <w:t>Deutsche S3-Leitlinie und deutsche Studienprogramme (AKTIVER), direkt übertragbar auf deutsches Versorgungssystem.</w:t>
      </w:r>
    </w:p>
    <w:p>
      <w:r>
        <w:rPr>
          <w:color w:val="5A7D3A"/>
          <w:sz w:val="18"/>
        </w:rPr>
        <w:t>https://pubmed.ncbi.nlm.nih.gov/42640287/</w:t>
      </w:r>
    </w:p>
    <w:p>
      <w:pPr>
        <w:pStyle w:val="Heading1"/>
      </w:pPr>
      <w:r>
        <w:t>Aufgenommen am 23.09.2026</w:t>
      </w:r>
    </w:p>
    <w:p>
      <w:pPr>
        <w:pStyle w:val="Heading2"/>
      </w:pPr>
      <w:r>
        <w:t>Todesursachen im Lebensverlauf in Südostasien: regionale Ungleichgewichte 2023</w:t>
      </w:r>
    </w:p>
    <w:p>
      <w:r>
        <w:rPr>
          <w:i/>
          <w:color w:val="666666"/>
          <w:sz w:val="18"/>
        </w:rPr>
        <w:t>GBD 2023 ASEAN Causes of Death Collaborators  ·  Lancet Public Health  ·  Okt. 2026  ·  PMID 42772298</w:t>
      </w:r>
    </w:p>
    <w:p>
      <w:r>
        <w:t>GBD-2023-Analyse der Todesursachen und Lebenserwartung von Geburt bis 70 Jahre in elf ASEAN-Ländern, stratifiziert nach Alter und Geschlecht.</w:t>
      </w:r>
    </w:p>
    <w:p>
      <w:r>
        <w:rPr>
          <w:b/>
        </w:rPr>
        <w:t xml:space="preserve">Ergebnis: </w:t>
      </w:r>
      <w:r>
        <w:t>Regionale Lebenserwartung 2023: 70,1 Jahre Männer (95%-UI 69,6–70,7), 76,2 Jahre Frauen (75,7–76,7); Range 62,1 Jahre (Myanmar, Männer) bis 87,5 Jahre (Singapur, Frauen). Unfallverletzungen führend in Adoleszenz/frühem Erwachsenenalter; nicht-übertragbare Krankheiten dominant in mittlerem Alter. Tabakkonsum dominierender Risikofaktor bei Männern, Hypertonie bei Frauen.</w:t>
      </w:r>
    </w:p>
    <w:p>
      <w:r>
        <w:rPr>
          <w:b/>
          <w:sz w:val="19"/>
        </w:rPr>
        <w:t xml:space="preserve">Übertragbarkeit: </w:t>
      </w:r>
      <w:r>
        <w:rPr>
          <w:sz w:val="19"/>
        </w:rPr>
        <w:t>Südostasien, breite Systeme mit unterschiedlicher Infrastruktur – Befunde zu Risiken und Disparitäten sind relevant</w:t>
      </w:r>
    </w:p>
    <w:p>
      <w:r>
        <w:rPr>
          <w:color w:val="5A7D3A"/>
          <w:sz w:val="18"/>
        </w:rPr>
        <w:t>https://pubmed.ncbi.nlm.nih.gov/42772298/</w:t>
      </w:r>
    </w:p>
    <w:p>
      <w:pPr>
        <w:pStyle w:val="Heading2"/>
      </w:pPr>
      <w:r>
        <w:t>Institutionelles geriatrisches Versorgungsmodell in Mexiko: GeriatrIMSS-Struktur und Ergebnisse</w:t>
      </w:r>
    </w:p>
    <w:p>
      <w:r>
        <w:rPr>
          <w:i/>
          <w:color w:val="666666"/>
          <w:sz w:val="18"/>
        </w:rPr>
        <w:t>Medina-Chávez JH et al.  ·  Rev Med Inst Mex Seguro Soc  ·  02.09.2026  ·  PMID 42771824</w:t>
      </w:r>
    </w:p>
    <w:p>
      <w:r>
        <w:t>Beschreibung des mexikanischen GeriatrIMSS-Modells, eines umfassenden institutionellen Plans der Seguridad Social zur Reaktion auf Alterung, Multimorbidität und nicht-übertragbare Krankheiten bei älteren Versicherten.</w:t>
      </w:r>
    </w:p>
    <w:p>
      <w:r>
        <w:rPr>
          <w:b/>
        </w:rPr>
        <w:t xml:space="preserve">Ergebnis: </w:t>
      </w:r>
      <w:r>
        <w:t>GeriatrIMSS beruht auf vier Säulen: Prävention (PREVENIMSS), umfassende geriatrische Versorgung, Bildung und Forschung. Modell stärkt operative Kapazitäten, reorientiert Prozesse und Services für ältere Menschen, verbessert Versorgungsqualität und Zufriedenheit bei Nutzern und Angehörigen – positioniert Mexiko international an Vorderfront der Altenpflege.</w:t>
      </w:r>
    </w:p>
    <w:p>
      <w:r>
        <w:rPr>
          <w:b/>
          <w:sz w:val="19"/>
        </w:rPr>
        <w:t xml:space="preserve">Übertragbarkeit: </w:t>
      </w:r>
      <w:r>
        <w:rPr>
          <w:sz w:val="19"/>
        </w:rPr>
        <w:t>Mexiko, Sozialversicherungssystem nicht direkt vergleichbar – Strukturideen zu sektorenübergreifender Integration sind relevant</w:t>
      </w:r>
    </w:p>
    <w:p>
      <w:r>
        <w:rPr>
          <w:color w:val="5A7D3A"/>
          <w:sz w:val="18"/>
        </w:rPr>
        <w:t>https://pubmed.ncbi.nlm.nih.gov/42771824/</w:t>
      </w:r>
    </w:p>
    <w:p>
      <w:pPr>
        <w:pStyle w:val="Heading2"/>
      </w:pPr>
      <w:r>
        <w:t>Stärkenorientierte Geriatrische Assessments: Reserve statt nur Defizite dokumentieren</w:t>
      </w:r>
    </w:p>
    <w:p>
      <w:r>
        <w:rPr>
          <w:i/>
          <w:color w:val="666666"/>
          <w:sz w:val="18"/>
        </w:rPr>
        <w:t>Cooke J et al.  ·  Age Ageing  ·  04.09.2026  ·  PMID 42771779</w:t>
      </w:r>
    </w:p>
    <w:p>
      <w:r>
        <w:t>Konzeptionelle Analyse zur Geriatrischen Comprehensive Assessment (CGA) und Frailty-Modellen in der britischen Geriatrie, die Möglichkeit einer reserve-fokussierten Ergänzung zu defizitorientierten Assessments.</w:t>
      </w:r>
    </w:p>
    <w:p>
      <w:r>
        <w:rPr>
          <w:b/>
        </w:rPr>
        <w:t xml:space="preserve">Ergebnis: </w:t>
      </w:r>
      <w:r>
        <w:t>CGA dokumentiert vorwiegend Beeinträchtigungen, nicht Kapazität und Reserve. Diese Fokussierung auf Defizite prägt Patientenidentität negativ. Stärkenorientierte Ansätze können Prognostizierung verbessern, Interventionen personalisieren und Patientenagentur unterstützen – ohne Risikoaufmerksamkeit aufzugeben.</w:t>
      </w:r>
    </w:p>
    <w:p>
      <w:r>
        <w:rPr>
          <w:b/>
          <w:sz w:val="19"/>
        </w:rPr>
        <w:t xml:space="preserve">Übertragbarkeit: </w:t>
      </w:r>
      <w:r>
        <w:rPr>
          <w:sz w:val="19"/>
        </w:rPr>
        <w:t>Großbritannien, konzeptuell auf alle europäischen Systeme übertragbar</w:t>
      </w:r>
    </w:p>
    <w:p>
      <w:r>
        <w:rPr>
          <w:color w:val="5A7D3A"/>
          <w:sz w:val="18"/>
        </w:rPr>
        <w:t>https://pubmed.ncbi.nlm.nih.gov/42771779/</w:t>
      </w:r>
    </w:p>
    <w:p>
      <w:pPr>
        <w:pStyle w:val="Heading2"/>
      </w:pPr>
      <w:r>
        <w:t>Benzolexposition und Psychische Störungen: Biologisches Altern als Vermittler</w:t>
      </w:r>
    </w:p>
    <w:p>
      <w:r>
        <w:rPr>
          <w:i/>
          <w:color w:val="666666"/>
          <w:sz w:val="18"/>
        </w:rPr>
        <w:t>Wu Y et al.  ·  Ecotoxicol Environ Saf  ·  15.09.2026  ·  PMID 42705027</w:t>
      </w:r>
    </w:p>
    <w:p>
      <w:r>
        <w:t>UK-Biobank-Kohortenstudie an 410.207 Personen zur Assoziation zwischen langjähriger Benzolexposition und psychiatrischen Störungen, mit beschleunigtem Altern (PhenoAge) als potenzieller Mediator.</w:t>
      </w:r>
    </w:p>
    <w:p>
      <w:r>
        <w:rPr>
          <w:b/>
        </w:rPr>
        <w:t xml:space="preserve">Ergebnis: </w:t>
      </w:r>
      <w:r>
        <w:t>Über 14,8 Jahre Nachbeobachtung: 64.270 Personen entwickelten psychiatrische Störungen. Jede Interquartilbereichs-Steigerung Benzol assoziiert mit erhöhtem Risiko für jede psychiatrische Störung (HR 1,040, 95%-KI 1,028–1,053) und multiple psychiatrische Störungen (HR 1,062, 1,039–1,086). Beschleunigtes PhenoAge vermittelte 7,85% (95%-KI 5,57–11,12%) der Assoziation bei jeder psychiatrischen Störung, 17,26% (9,01–80,54%) bei multiplen Störungen.</w:t>
      </w:r>
    </w:p>
    <w:p>
      <w:r>
        <w:rPr>
          <w:b/>
          <w:sz w:val="19"/>
        </w:rPr>
        <w:t xml:space="preserve">Übertragbarkeit: </w:t>
      </w:r>
      <w:r>
        <w:rPr>
          <w:sz w:val="19"/>
        </w:rPr>
        <w:t>UK-Biobank, Umweltdatenverfügbarkeit und Versicherungssystem nicht direkt übertragbar – Expositions-Gesundheitsmechanismus ist relevant</w:t>
      </w:r>
    </w:p>
    <w:p>
      <w:r>
        <w:rPr>
          <w:color w:val="5A7D3A"/>
          <w:sz w:val="18"/>
        </w:rPr>
        <w:t>https://pubmed.ncbi.nlm.nih.gov/42705027/</w:t>
      </w:r>
    </w:p>
    <w:p>
      <w:pPr>
        <w:pStyle w:val="Heading2"/>
      </w:pPr>
      <w:r>
        <w:t>Mobilitätsverlust und Einsamkeit im Alter: Lebenslange Folgen trotz Erholung</w:t>
      </w:r>
    </w:p>
    <w:p>
      <w:r>
        <w:rPr>
          <w:i/>
          <w:color w:val="666666"/>
          <w:sz w:val="18"/>
        </w:rPr>
        <w:t>Augustsson E et al.  ·  J Gerontol B Psychol Sci Soc Sci  ·  04.09.2026  ·  PMID 42554850</w:t>
      </w:r>
    </w:p>
    <w:p>
      <w:r>
        <w:t>Europäische Längsschnitt-Kohortenstudie (SHARE) an 4.109 Personen ab 65 Jahren mit neu aufgetretenen Mobilitätseinschränkungen, wovon 2.018 innerhalb von 2 Jahren genasen, zum Verlauf von Einsamkeit bis 4 Jahre später.</w:t>
      </w:r>
    </w:p>
    <w:p>
      <w:r>
        <w:rPr>
          <w:b/>
        </w:rPr>
        <w:t xml:space="preserve">Ergebnis: </w:t>
      </w:r>
      <w:r>
        <w:t>Einsamkeit stieg nach Mobilitätsverlust an. Personen mit anhaltenden Einschränkungen zeigten Weiterzunahme; genesene Personen stabilisierten sich, kehrten aber nicht zu Vorniveaus zurück. Frühe Interventionen zur Begrenzung von Mobilitätseinschränkungen könnten nachfolgende Einsamkeit reduzieren.</w:t>
      </w:r>
    </w:p>
    <w:p>
      <w:r>
        <w:rPr>
          <w:b/>
          <w:sz w:val="19"/>
        </w:rPr>
        <w:t xml:space="preserve">Übertragbarkeit: </w:t>
      </w:r>
      <w:r>
        <w:rPr>
          <w:sz w:val="19"/>
        </w:rPr>
        <w:t>Schweden/SHARE-Daten, vergleichbare europäische Gesundheitssysteme</w:t>
      </w:r>
    </w:p>
    <w:p>
      <w:r>
        <w:rPr>
          <w:color w:val="5A7D3A"/>
          <w:sz w:val="18"/>
        </w:rPr>
        <w:t>https://pubmed.ncbi.nlm.nih.gov/42554850/</w:t>
      </w:r>
    </w:p>
    <w:p>
      <w:pPr>
        <w:pStyle w:val="Heading2"/>
      </w:pPr>
      <w:r>
        <w:t>Europäische Sozialversicherung unter Druck: Versorgungskapazität statt Finanzierung als Engpass</w:t>
      </w:r>
    </w:p>
    <w:p>
      <w:r>
        <w:rPr>
          <w:i/>
          <w:color w:val="666666"/>
          <w:sz w:val="18"/>
        </w:rPr>
        <w:t>Jones CH et al.  ·  Drug Discov Today  ·  20.07.2026  ·  PMID 42476293</w:t>
      </w:r>
    </w:p>
    <w:p>
      <w:r>
        <w:t>Perspektivartikel zu Herausforderungen der europäischen Sozialversicherung durch demografische Alterung, Multimorbidität und Polypharmazie, mit 24–36-Monats-Agenda für Systemreformen.</w:t>
      </w:r>
    </w:p>
    <w:p>
      <w:r>
        <w:rPr>
          <w:b/>
        </w:rPr>
        <w:t xml:space="preserve">Ergebnis: </w:t>
      </w:r>
      <w:r>
        <w:t>Längeres Leben führt zu Multimorbidität, Polypharmazie, Demenz, Mobilitätsverlust – Versorgungskapazität wird zum Engpass statt Finanzierbarkeit. Vier zentrale Reformmaßnahmen: (1) Professionalisierung der Langzeitpflegekräfte, (2) Apotheker-geführte Medikamentenüberprüfung, (3) Ausbau von Heim- und Übergangspflege, (4) integrierte Entlassungszusammenfassungen und Medikamentenlisten über Sektoren hinweg als Routine.</w:t>
      </w:r>
    </w:p>
    <w:p>
      <w:r>
        <w:rPr>
          <w:b/>
          <w:sz w:val="19"/>
        </w:rPr>
        <w:t xml:space="preserve">Übertragbarkeit: </w:t>
      </w:r>
      <w:r>
        <w:rPr>
          <w:sz w:val="19"/>
        </w:rPr>
        <w:t>Europa, konzeptuell auf deutsche Sozialversicherung direkt übertragbar</w:t>
      </w:r>
    </w:p>
    <w:p>
      <w:r>
        <w:rPr>
          <w:color w:val="5A7D3A"/>
          <w:sz w:val="18"/>
        </w:rPr>
        <w:t>https://pubmed.ncbi.nlm.nih.gov/42476293/</w:t>
      </w:r>
    </w:p>
    <w:p>
      <w:pPr>
        <w:pStyle w:val="Heading1"/>
      </w:pPr>
      <w:r>
        <w:t>Aufgenommen am 22.09.2026</w:t>
      </w:r>
    </w:p>
    <w:p>
      <w:pPr>
        <w:pStyle w:val="Heading2"/>
      </w:pPr>
      <w:r>
        <w:t>Instrumente zur Erfassung der intrinsic capacity im Alter: Scoping Review und Bewertung</w:t>
      </w:r>
    </w:p>
    <w:p>
      <w:r>
        <w:rPr>
          <w:i/>
          <w:color w:val="666666"/>
          <w:sz w:val="18"/>
        </w:rPr>
        <w:t>Henrotin Y et al.  ·  Age Ageing  ·  04.09.2026  ·  PMID 42765723</w:t>
      </w:r>
    </w:p>
    <w:p>
      <w:r>
        <w:t>Scoping Review identifizierte 61 validierte Instrumente zur Messung der intrinsic capacity (körperliche und mentale Fähigkeiten) älterer Erwachsener über fünf Domänen (kognitiv, kardiopulmonal, lokomotorerisch, psychisch, sensorisch).</w:t>
      </w:r>
    </w:p>
    <w:p>
      <w:r>
        <w:rPr>
          <w:b/>
        </w:rPr>
        <w:t xml:space="preserve">Ergebnis: </w:t>
      </w:r>
      <w:r>
        <w:t>Nur zwei Instrumente (GAD-7, EUROQOL-5D) erreichten maximale Expertenratings. Erhebliche Lücken bei der Erfassung sensorischer Fähigkeiten. Sehr wenige Instrumente waren für Erwachsene unter 60 Jahren geeignet. Heterogenität in Gültigkeit und Anwendbarkeit deutet auf Bedarf für entwicklung eines umfassenden, standardisierten Assessment-Tools hin.</w:t>
      </w:r>
    </w:p>
    <w:p>
      <w:r>
        <w:rPr>
          <w:b/>
          <w:sz w:val="19"/>
        </w:rPr>
        <w:t xml:space="preserve">Übertragbarkeit: </w:t>
      </w:r>
      <w:r>
        <w:rPr>
          <w:sz w:val="19"/>
        </w:rPr>
        <w:t>Europäische und nordamerikanische Kohorten; transferierbar auf deutschsprachige Versorgung</w:t>
      </w:r>
    </w:p>
    <w:p>
      <w:r>
        <w:rPr>
          <w:color w:val="5A7D3A"/>
          <w:sz w:val="18"/>
        </w:rPr>
        <w:t>https://pubmed.ncbi.nlm.nih.gov/42765723/</w:t>
      </w:r>
    </w:p>
    <w:p>
      <w:pPr>
        <w:pStyle w:val="Heading2"/>
      </w:pPr>
      <w:r>
        <w:t>Gefäßalterung: Funktionsmarker vorhersagen kardiovaskuläres Risiko unabhängig vom Alter</w:t>
      </w:r>
    </w:p>
    <w:p>
      <w:r>
        <w:rPr>
          <w:i/>
          <w:color w:val="666666"/>
          <w:sz w:val="18"/>
        </w:rPr>
        <w:t>Yang L et al.  ·  J Clin Hypertens (Greenwich)  ·  Sept. 2026  ·  PMID 42730543</w:t>
      </w:r>
    </w:p>
    <w:p>
      <w:r>
        <w:t>Querschnittsstudie an 3.354 chinesischen Erwachsenen (18–80 Jahre) untersuchte, ob Pulsdruckanalyse-Parameter (SEVR, Augmentationsdruck, Augmentationsindex) mit dem 10-Jahres-ASCVD-Risiko assoziiert sind.</w:t>
      </w:r>
    </w:p>
    <w:p>
      <w:r>
        <w:rPr>
          <w:b/>
        </w:rPr>
        <w:t xml:space="preserve">Ergebnis: </w:t>
      </w:r>
      <w:r>
        <w:t>SEVR, AP und Aix@75 korrelierten unabhängig mit geschätztem 10-Jahres-ASCVD-Risiko (alle p&lt;0,001). Das Modell erklärte zusätzliche Varianz über traditionelle Risikofaktoren hinaus. Funktionale hämodynamische Marker könnten Risikoschichtung in der Praxis verbessern.</w:t>
      </w:r>
    </w:p>
    <w:p>
      <w:r>
        <w:rPr>
          <w:b/>
          <w:sz w:val="19"/>
        </w:rPr>
        <w:t xml:space="preserve">Übertragbarkeit: </w:t>
      </w:r>
      <w:r>
        <w:rPr>
          <w:sz w:val="19"/>
        </w:rPr>
        <w:t>Chinesische Bevölkerungsdaten; Validierung in europäischen Kohorten notwendig vor Übernahme</w:t>
      </w:r>
    </w:p>
    <w:p>
      <w:r>
        <w:rPr>
          <w:color w:val="5A7D3A"/>
          <w:sz w:val="18"/>
        </w:rPr>
        <w:t>https://pubmed.ncbi.nlm.nih.gov/42730543/</w:t>
      </w:r>
    </w:p>
    <w:p>
      <w:pPr>
        <w:pStyle w:val="Heading2"/>
      </w:pPr>
      <w:r>
        <w:t>Regulierung kognitiver Kompetenz älterer Ärzte: Versorgungspolitische Analyse G7-Länder</w:t>
      </w:r>
    </w:p>
    <w:p>
      <w:r>
        <w:rPr>
          <w:i/>
          <w:color w:val="666666"/>
          <w:sz w:val="18"/>
        </w:rPr>
        <w:t>Potter M et al.  ·  JAMA Health Forum  ·  04.09.2026  ·  PMID 42726493</w:t>
      </w:r>
    </w:p>
    <w:p>
      <w:r>
        <w:t>Vergleichende Analyse von Regulierungsrichtlinien für altersbedingte kognitive Beeinträchtigung bei Ärzten in USA, Kanada und fünf anderen G7-Ländern.</w:t>
      </w:r>
    </w:p>
    <w:p>
      <w:r>
        <w:rPr>
          <w:b/>
        </w:rPr>
        <w:t xml:space="preserve">Ergebnis: </w:t>
      </w:r>
      <w:r>
        <w:t>Kein G7-Land hat standardisierte nationale Verfahren zur kognitiven Screening älterer Ärzte. Meisten Länder verlassen sich auf Selbstregulation und kollegiale Aufsicht. Ausnahmen in USA mit einzelnen Gesundheitssystemen mit obligatorischen altersabhängigen kognitiven Bewertungen. Im Kontrast: Richter, Piloten und Flugsicherung in allen G7-Ländern haben Altersgrenzen oder verpflichtende Tests. Keine empirischen Standards etabliert.</w:t>
      </w:r>
    </w:p>
    <w:p>
      <w:r>
        <w:rPr>
          <w:b/>
          <w:sz w:val="19"/>
        </w:rPr>
        <w:t xml:space="preserve">Übertragbarkeit: </w:t>
      </w:r>
      <w:r>
        <w:rPr>
          <w:sz w:val="19"/>
        </w:rPr>
        <w:t>Alle G7-Länder untersucht; direkt auf Deutschland übertragbar</w:t>
      </w:r>
    </w:p>
    <w:p>
      <w:r>
        <w:rPr>
          <w:color w:val="5A7D3A"/>
          <w:sz w:val="18"/>
        </w:rPr>
        <w:t>https://pubmed.ncbi.nlm.nih.gov/42726493/</w:t>
      </w:r>
    </w:p>
    <w:p>
      <w:pPr>
        <w:pStyle w:val="Heading2"/>
      </w:pPr>
      <w:r>
        <w:t>Blutdruckveränderungen in der Menopause: vergleichbare Muster zwischen Industrieländern und traditionellen Gesellschaften</w:t>
      </w:r>
    </w:p>
    <w:p>
      <w:r>
        <w:rPr>
          <w:i/>
          <w:color w:val="666666"/>
          <w:sz w:val="18"/>
        </w:rPr>
        <w:t>Getz MJ et al.  ·  Am J Biol Anthropol  ·  Juli 2026  ·  PMID 42482412</w:t>
      </w:r>
    </w:p>
    <w:p>
      <w:r>
        <w:t>Vergleich von Blutdrucktrends rund um die Menopause bei 5.570 Tsimane-Frauen (Bolivien) mit 6.861 US-Frauen aus NHANES.</w:t>
      </w:r>
    </w:p>
    <w:p>
      <w:r>
        <w:rPr>
          <w:b/>
        </w:rPr>
        <w:t xml:space="preserve">Ergebnis: </w:t>
      </w:r>
      <w:r>
        <w:t>Systolischer Blutdruck nach Menopause erhöht sich in beiden Populationen ähnlich (b=0,002, p&lt;0,001). Tsimane-Frauen zeigten schnelleren Anstieg mit Alter und weniger dramatischen diastolischen Rückgang. Östrogenkonzentrationen mediierten Effekte nicht. Blutdruckveränderungen in der Menopause sind trotz unterschiedlicher Risikoprofile universal.</w:t>
      </w:r>
    </w:p>
    <w:p>
      <w:r>
        <w:rPr>
          <w:b/>
          <w:sz w:val="19"/>
        </w:rPr>
        <w:t xml:space="preserve">Übertragbarkeit: </w:t>
      </w:r>
      <w:r>
        <w:rPr>
          <w:sz w:val="19"/>
        </w:rPr>
        <w:t>USA und Südamerika, aber universales biologisches Phänomen; epidemiologische Unterschiede relevant</w:t>
      </w:r>
    </w:p>
    <w:p>
      <w:r>
        <w:rPr>
          <w:color w:val="5A7D3A"/>
          <w:sz w:val="18"/>
        </w:rPr>
        <w:t>https://pubmed.ncbi.nlm.nih.gov/42482412/</w:t>
      </w:r>
    </w:p>
    <w:p>
      <w:pPr>
        <w:pStyle w:val="Heading2"/>
      </w:pPr>
      <w:r>
        <w:t>Auditorische Codierung mit Altern: Cochleäre Synaptopathie führt zu Diskriminationsverlust bei Hörstörung</w:t>
      </w:r>
    </w:p>
    <w:p>
      <w:r>
        <w:rPr>
          <w:i/>
          <w:color w:val="666666"/>
          <w:sz w:val="18"/>
        </w:rPr>
        <w:t>Wouters M et al.  ·  Hear Res  ·  18.07.2026  ·  PMID 42475780</w:t>
      </w:r>
    </w:p>
    <w:p>
      <w:r>
        <w:t>EEG-Studie an jüngeren und älteren Erwachsenen mit und ohne Hörstörung untersucht Phonem-Diskrimination und elektrophysiologische Marker der peripheren Codierung (Envelope-Following Responses).</w:t>
      </w:r>
    </w:p>
    <w:p>
      <w:r>
        <w:rPr>
          <w:b/>
        </w:rPr>
        <w:t xml:space="preserve">Ergebnis: </w:t>
      </w:r>
      <w:r>
        <w:t>RAM-EFR-Amplituden nahmen graduell mit Alter ab (konsistent mit Synaptopathie). Phonem-Kontrastdiskrimination verschlechterte sich bei hochfrequenter Codierung mit OHC-Verlust und Alter (p&lt;0,05), nicht aber bei niederfrequenter Codierung. EFR-Rückgang bei hochfrequenten Hinweisen ohne Wahrnehmungsverlust erklärt divergente Muster zwischen Elektrophysiologie und Verhalten. Frühere Diagnose versteckter Hörverluste möglich.</w:t>
      </w:r>
    </w:p>
    <w:p>
      <w:r>
        <w:rPr>
          <w:b/>
          <w:sz w:val="19"/>
        </w:rPr>
        <w:t xml:space="preserve">Übertragbarkeit: </w:t>
      </w:r>
      <w:r>
        <w:rPr>
          <w:sz w:val="19"/>
        </w:rPr>
        <w:t>Belgien und Deutschland; validierte psychophysiologische Methoden übertragbar</w:t>
      </w:r>
    </w:p>
    <w:p>
      <w:r>
        <w:rPr>
          <w:color w:val="5A7D3A"/>
          <w:sz w:val="18"/>
        </w:rPr>
        <w:t>https://pubmed.ncbi.nlm.nih.gov/42475780/</w:t>
      </w:r>
    </w:p>
    <w:p>
      <w:pPr>
        <w:pStyle w:val="Heading2"/>
      </w:pPr>
      <w:r>
        <w:t>Netzhautalterung: OCT-Biomarker zeigen oxidativen Stress in der Makula älterer Menschen</w:t>
      </w:r>
    </w:p>
    <w:p>
      <w:r>
        <w:rPr>
          <w:i/>
          <w:color w:val="666666"/>
          <w:sz w:val="18"/>
        </w:rPr>
        <w:t>Berkowitz BA et al.  ·  Invest Ophthalmol Vis Sci  ·  01.07.2026  ·  PMID 42474423</w:t>
      </w:r>
    </w:p>
    <w:p>
      <w:r>
        <w:t>Querschnittsstudie bei 25 jungen (20–30 Jahre) und 13 älteren (70–90 Jahre) Erwachsenen verglich OCT-basierte Metabolismus-Biomarker (ELM-RPE-Dicke, Band-2-Profilform) als Proxy für Retina-Alterung.</w:t>
      </w:r>
    </w:p>
    <w:p>
      <w:r>
        <w:rPr>
          <w:b/>
        </w:rPr>
        <w:t xml:space="preserve">Ergebnis: </w:t>
      </w:r>
      <w:r>
        <w:t>Ältere Erwachsene zeigten ELM-RPE-Kontraktion in Fovea und Parafovea (konsistent mit oxidativem Stress und verzögerter Dunkeladaptation aus vorherigen Studien). Band-2-Profilform unterschied sich nicht zwischen Altersgruppen. ELM-RPE-Kontraktion ist konsistent mit subretinalem oxidativen Stress und gestörter Retinoid-Signalisierung. Translationaler Ansatz OCT-Biomarker könnte nicht-invasive Überwachung der Netzhautalterung ermöglichen.</w:t>
      </w:r>
    </w:p>
    <w:p>
      <w:r>
        <w:rPr>
          <w:b/>
          <w:sz w:val="19"/>
        </w:rPr>
        <w:t xml:space="preserve">Übertragbarkeit: </w:t>
      </w:r>
      <w:r>
        <w:rPr>
          <w:sz w:val="19"/>
        </w:rPr>
        <w:t>USA; methodisch auf deutsche Augenkliniken übertragbar, aber klinische Validierung notwendig</w:t>
      </w:r>
    </w:p>
    <w:p>
      <w:r>
        <w:rPr>
          <w:color w:val="5A7D3A"/>
          <w:sz w:val="18"/>
        </w:rPr>
        <w:t>https://pubmed.ncbi.nlm.nih.gov/42474423/</w:t>
      </w:r>
    </w:p>
    <w:p>
      <w:pPr>
        <w:pStyle w:val="Heading1"/>
      </w:pPr>
      <w:r>
        <w:t>Aufgenommen am 21.09.2026</w:t>
      </w:r>
    </w:p>
    <w:p>
      <w:pPr>
        <w:pStyle w:val="Heading2"/>
      </w:pPr>
      <w:r>
        <w:t>Hörtechnik und Lebensqualität im höheren Alter nach Cochlea-Implantat</w:t>
      </w:r>
    </w:p>
    <w:p>
      <w:r>
        <w:rPr>
          <w:i/>
          <w:color w:val="666666"/>
          <w:sz w:val="18"/>
        </w:rPr>
        <w:t>Deniz H  ·  J Am Acad Audiol  ·  01.07.2026  ·  PMID 42763618</w:t>
      </w:r>
    </w:p>
    <w:p>
      <w:r>
        <w:t>Vergleichsstudie jüngerer (40–59 J.) und älterer (≥60 J.) Patienten mit Cochlea-Implantaten zu Hörtauglichkeit und Lebensqualität.</w:t>
      </w:r>
    </w:p>
    <w:p>
      <w:r>
        <w:rPr>
          <w:b/>
        </w:rPr>
        <w:t xml:space="preserve">Ergebnis: </w:t>
      </w:r>
      <w:r>
        <w:t>Ältere Patienten zeigten signifikant schlechtere Hörtests (p&lt;0,05) und niedrigere Werte in allen WHOQOL-BREF-Dimensionen (p&lt;0,05); keine Unterschiede in Depression (p=0,198). Depressionsebenen unterschieden sich nicht, was darauf hindeutet, dass psychische Anpassung dem Hörverlust voraus ist.</w:t>
      </w:r>
    </w:p>
    <w:p>
      <w:r>
        <w:rPr>
          <w:b/>
          <w:sz w:val="19"/>
        </w:rPr>
        <w:t xml:space="preserve">Übertragbarkeit: </w:t>
      </w:r>
      <w:r>
        <w:rPr>
          <w:sz w:val="19"/>
        </w:rPr>
        <w:t>Türkei – vergleichbares Audiologen-System, aber Implantationsrichtlinien können regional variieren; Versorgungsansatz übertragbar.</w:t>
      </w:r>
    </w:p>
    <w:p>
      <w:r>
        <w:rPr>
          <w:color w:val="5A7D3A"/>
          <w:sz w:val="18"/>
        </w:rPr>
        <w:t>https://pubmed.ncbi.nlm.nih.gov/42763618/</w:t>
      </w:r>
    </w:p>
    <w:p>
      <w:pPr>
        <w:pStyle w:val="Heading2"/>
      </w:pPr>
      <w:r>
        <w:t>Frailty bei Kindern mit chronischer Nierenerkrankung – Reversibilität als klinisches Fenster</w:t>
      </w:r>
    </w:p>
    <w:p>
      <w:r>
        <w:rPr>
          <w:i/>
          <w:color w:val="666666"/>
          <w:sz w:val="18"/>
        </w:rPr>
        <w:t>Chan EY et al.  ·  Kidney Int  ·  Okt. 2026  ·  PMID 42760017</w:t>
      </w:r>
    </w:p>
    <w:p>
      <w:r>
        <w:t>Kommentar zur Unterscheidung pädiatrischer Frailty von adulter Gebrechlichkeit und zum Potenzial, durch frühe Erkennung und multidisziplinäre Intervention die Entwicklung wiederherzustellen.</w:t>
      </w:r>
    </w:p>
    <w:p>
      <w:r>
        <w:rPr>
          <w:b/>
        </w:rPr>
        <w:t xml:space="preserve">Ergebnis: </w:t>
      </w:r>
      <w:r>
        <w:t>Im Gegensatz zu Erwachsenen kann Frailty bei Kindern mit chronischer Nierenerkrankung reversibel sein und sollte als Verlust von Entwicklungspotenzial statt Funktionsverlust verstanden werden. Frühe standardisierte Screening und Intervention können Wachstum und Resilienz wiederherstellen.</w:t>
      </w:r>
    </w:p>
    <w:p>
      <w:r>
        <w:rPr>
          <w:b/>
          <w:sz w:val="19"/>
        </w:rPr>
        <w:t xml:space="preserve">Übertragbarkeit: </w:t>
      </w:r>
      <w:r>
        <w:rPr>
          <w:sz w:val="19"/>
        </w:rPr>
        <w:t>Grundlegende Konzepte übertragbar; Altersadaptation notwendig – deutsche Pädiatrie und Nephrologie relevant.</w:t>
      </w:r>
    </w:p>
    <w:p>
      <w:r>
        <w:rPr>
          <w:color w:val="5A7D3A"/>
          <w:sz w:val="18"/>
        </w:rPr>
        <w:t>https://pubmed.ncbi.nlm.nih.gov/42760017/</w:t>
      </w:r>
    </w:p>
    <w:p>
      <w:pPr>
        <w:pStyle w:val="Heading2"/>
      </w:pPr>
      <w:r>
        <w:t>Selbstmitgefühl und Selbstwirksamkeit als Prädiktoren für Gesundheitsverhalten und Lebensqualität im Alter</w:t>
      </w:r>
    </w:p>
    <w:p>
      <w:r>
        <w:rPr>
          <w:i/>
          <w:color w:val="666666"/>
          <w:sz w:val="18"/>
        </w:rPr>
        <w:t>Alaca N et al.  ·  PLoS One  ·  16.09.2026  ·  PMID 42748085</w:t>
      </w:r>
    </w:p>
    <w:p>
      <w:r>
        <w:t>Querschnittstudie an 179 älteren Türken (≥65 J.) zu Assoziationen von Selbstmitgefühl, Selbstwirksamkeit mit Schmerz, Bewegungsachtsamkeit, Gesundheitsverhalten und Lebensqualität.</w:t>
      </w:r>
    </w:p>
    <w:p>
      <w:r>
        <w:rPr>
          <w:b/>
        </w:rPr>
        <w:t xml:space="preserve">Ergebnis: </w:t>
      </w:r>
      <w:r>
        <w:t>Selbstwirksamkeit sagte konsistent über alle Ergebnisse voraus: Im finalen Modell für Lebensqualität (R²=0,614) waren Selbstwirksamkeit (β=0,340), Schmerz (β=−0,346), Gesundheitsverantwortung (β=0,328) signifikant. Selbstmitgefühl war stärkster Prädiktor für Ernährung (β=0,436), Bewegungsachtsamkeit für Stressabbau (β=0,300).</w:t>
      </w:r>
    </w:p>
    <w:p>
      <w:r>
        <w:rPr>
          <w:b/>
          <w:sz w:val="19"/>
        </w:rPr>
        <w:t xml:space="preserve">Übertragbarkeit: </w:t>
      </w:r>
      <w:r>
        <w:rPr>
          <w:sz w:val="19"/>
        </w:rPr>
        <w:t>Türkei – Kultur und Versorgungsstruktur unterscheiden sich von Deutschland; psychosoziale Faktoren sind universell.</w:t>
      </w:r>
    </w:p>
    <w:p>
      <w:r>
        <w:rPr>
          <w:color w:val="5A7D3A"/>
          <w:sz w:val="18"/>
        </w:rPr>
        <w:t>https://pubmed.ncbi.nlm.nih.gov/42748085/</w:t>
      </w:r>
    </w:p>
    <w:p>
      <w:pPr>
        <w:pStyle w:val="Heading2"/>
      </w:pPr>
      <w:r>
        <w:t>Frailty-Dynamik und Herzinfarktrisiko bei älteren Diabetikern</w:t>
      </w:r>
    </w:p>
    <w:p>
      <w:r>
        <w:rPr>
          <w:i/>
          <w:color w:val="666666"/>
          <w:sz w:val="18"/>
        </w:rPr>
        <w:t>Li Y et al.  ·  Zhonghua Yu Fang Yi Xue Za Zhi  ·  06.09.2026  ·  PMID 42736150</w:t>
      </w:r>
    </w:p>
    <w:p>
      <w:r>
        <w:t>Zwei-Kohorten-Studie (China, England) zur Assoziation von Frailty-Übergängen mit kardiovaskulärem Risiko bei älteren Menschen mit Diabetes.</w:t>
      </w:r>
    </w:p>
    <w:p>
      <w:r>
        <w:rPr>
          <w:b/>
        </w:rPr>
        <w:t xml:space="preserve">Ergebnis: </w:t>
      </w:r>
      <w:r>
        <w:t>Im Vergleich zur Gruppe "robust→robust" zeigten "präfrail→frail" (HR 2,04; 95%CI 1,66–2,51) und "frail→frail" (HR 2,03; 95%CI 1,63–2,53) signifikant erhöhte Herzinfarktrisiken (p&lt;0,001). Assoziationen blieben unter Konkurrenzrisiko-Modellen robust. Frailty-Verschlechterung war unabhängig von Altersgruppe prädiktiv.</w:t>
      </w:r>
    </w:p>
    <w:p>
      <w:r>
        <w:rPr>
          <w:b/>
          <w:sz w:val="19"/>
        </w:rPr>
        <w:t xml:space="preserve">Übertragbarkeit: </w:t>
      </w:r>
      <w:r>
        <w:rPr>
          <w:sz w:val="19"/>
        </w:rPr>
        <w:t>Zwei-Länder-Meta-Analyse (China, UK), aber Diabetes-Prävalenz und Management unterscheiden sich; Frailty-Messung ist system-übertragbar.</w:t>
      </w:r>
    </w:p>
    <w:p>
      <w:r>
        <w:rPr>
          <w:color w:val="5A7D3A"/>
          <w:sz w:val="18"/>
        </w:rPr>
        <w:t>https://pubmed.ncbi.nlm.nih.gov/42736150/</w:t>
      </w:r>
    </w:p>
    <w:p>
      <w:pPr>
        <w:pStyle w:val="Heading2"/>
      </w:pPr>
      <w:r>
        <w:t>Immunseneszenz modifiziert strahleninduzierte Antitumorimmunität im älteren Alter</w:t>
      </w:r>
    </w:p>
    <w:p>
      <w:r>
        <w:rPr>
          <w:i/>
          <w:color w:val="666666"/>
          <w:sz w:val="18"/>
        </w:rPr>
        <w:t>Arnold CR et al.  ·  Front Immunol  ·  10.07.2026  ·  PMID 42500670</w:t>
      </w:r>
    </w:p>
    <w:p>
      <w:r>
        <w:t>Narrative Übersicht zur Rolle von Immunseneszenz bei der Abschwächung strahleninduzierter Anti-Tumor-Effekte im höheren Alter.</w:t>
      </w:r>
    </w:p>
    <w:p>
      <w:r>
        <w:rPr>
          <w:b/>
        </w:rPr>
        <w:t xml:space="preserve">Ergebnis: </w:t>
      </w:r>
      <w:r>
        <w:t>Immunseneszenz – charakterisiert durch reduzierte T-Zell-Responsivität, chronische Entzündung und schlechtere Koordination zwischen Immuneffektoren – vermindert wahrscheinlich die Anti-Tumor-Potenz der Strahlentherapie bei älteren Patienten. Die Autoren betonen, dass Biomarker der Immunseneszenz in die Therapieplanung integriert werden sollten.</w:t>
      </w:r>
    </w:p>
    <w:p>
      <w:r>
        <w:rPr>
          <w:b/>
          <w:sz w:val="19"/>
        </w:rPr>
        <w:t xml:space="preserve">Übertragbarkeit: </w:t>
      </w:r>
      <w:r>
        <w:rPr>
          <w:sz w:val="19"/>
        </w:rPr>
        <w:t>Europäische Perspektive (Austria, Germany); Immunseneszenz ist universell, aber Therapiezugang variiert mit Gesundheitssystem.</w:t>
      </w:r>
    </w:p>
    <w:p>
      <w:r>
        <w:rPr>
          <w:color w:val="5A7D3A"/>
          <w:sz w:val="18"/>
        </w:rPr>
        <w:t>https://pubmed.ncbi.nlm.nih.gov/42500670/</w:t>
      </w:r>
    </w:p>
    <w:p>
      <w:pPr>
        <w:pStyle w:val="Heading2"/>
      </w:pPr>
      <w:r>
        <w:t>Wachstumsmindset und Ausdauer als psychologische Ressourcen im Alter – soziale Muster in England</w:t>
      </w:r>
    </w:p>
    <w:p>
      <w:r>
        <w:rPr>
          <w:i/>
          <w:color w:val="666666"/>
          <w:sz w:val="18"/>
        </w:rPr>
        <w:t>Zaninotto P et al.  ·  J Gerontol B Psychol Sci Soc Sci  ·  04.09.2026  ·  PMID 42438156</w:t>
      </w:r>
    </w:p>
    <w:p>
      <w:r>
        <w:t>Analyse von Proxy-Indikatoren für Wachstumsmindset und Ausdauer (Grit) in der English Longitudinal Study of Ageing (n≥6000) zu Verteilung nach Alter, Sozioökonomie und Gesundheit.</w:t>
      </w:r>
    </w:p>
    <w:p>
      <w:r>
        <w:rPr>
          <w:b/>
        </w:rPr>
        <w:t xml:space="preserve">Ergebnis: </w:t>
      </w:r>
      <w:r>
        <w:t>Älteres Alter war mit niedrigerem Wachstumsmindset assoziiert, besonders in Bildungs- und Überzeugungsdomänen. Höhere Bildung, Beschäftigung und Vermögen waren mit günstigeren Profilen assoziiert. Einsamkeit und chronische Krankheit waren konsistent mit ungünstigeren Profilen verbunden; die Effekte waren domänenspezifisch, nicht universal.</w:t>
      </w:r>
    </w:p>
    <w:p>
      <w:r>
        <w:rPr>
          <w:b/>
          <w:sz w:val="19"/>
        </w:rPr>
        <w:t xml:space="preserve">Übertragbarkeit: </w:t>
      </w:r>
      <w:r>
        <w:rPr>
          <w:sz w:val="19"/>
        </w:rPr>
        <w:t>England – englischsprachige Gesellschaft, aber Sozialstruktur und Sicherungssystem unterscheiden; psychologische Konstrukte sind übertragbar.</w:t>
      </w:r>
    </w:p>
    <w:p>
      <w:r>
        <w:rPr>
          <w:color w:val="5A7D3A"/>
          <w:sz w:val="18"/>
        </w:rPr>
        <w:t>https://pubmed.ncbi.nlm.nih.gov/42438156/</w:t>
      </w:r>
    </w:p>
    <w:p>
      <w:pPr>
        <w:pStyle w:val="Heading2"/>
      </w:pPr>
      <w:r>
        <w:t>Xanthophyll-Carotenoid-Aufnahme und Netzhautgesundheit im Alter und Makuladegeneration</w:t>
      </w:r>
    </w:p>
    <w:p>
      <w:r>
        <w:rPr>
          <w:i/>
          <w:color w:val="666666"/>
          <w:sz w:val="18"/>
        </w:rPr>
        <w:t>Curcio CA et al.  ·  Invest Ophthalmol Vis Sci  ·  01.07.2026  ·  PMID 42411867</w:t>
      </w:r>
    </w:p>
    <w:p>
      <w:r>
        <w:t>Querschnittstudie an 369 Personen (≥63 J.) zur Assoziation von Lutein- und Zeaxanthin-Aufnahme (Diät + Supplemente), Plasmaspiegel und retinaler Pigmentdichte mit Alter und altersbedingter Makuladegeneration.</w:t>
      </w:r>
    </w:p>
    <w:p>
      <w:r>
        <w:rPr>
          <w:b/>
        </w:rPr>
        <w:t xml:space="preserve">Ergebnis: </w:t>
      </w:r>
      <w:r>
        <w:t>Zwischen Plasmaspiegel und macularem Pigment-Optischem-Volumen (MPOV) zeigten sich starke Korrelationen (r=0,41–0,67, p&lt;0,01). Patienten mit intermediärer AMD hatten höhere Supplementnutzung (56% vs. 10%), höhere Gesamtaufnahme (11,0±8,3 vs. 5,3±6,4 mg/d, p&lt;0,01) und MPOV (1,33±0,61 vs. 1,04±0,46). Diätaufnahme unterschied sich nicht zwischen Gruppen.</w:t>
      </w:r>
    </w:p>
    <w:p>
      <w:r>
        <w:rPr>
          <w:b/>
          <w:sz w:val="19"/>
        </w:rPr>
        <w:t xml:space="preserve">Übertragbarkeit: </w:t>
      </w:r>
      <w:r>
        <w:rPr>
          <w:sz w:val="19"/>
        </w:rPr>
        <w:t>USA – Nahrungsverfügbarkeit und Supplementierungskultur unterscheiden; aber Optik und Physiologie sind universal.</w:t>
      </w:r>
    </w:p>
    <w:p>
      <w:r>
        <w:rPr>
          <w:color w:val="5A7D3A"/>
          <w:sz w:val="18"/>
        </w:rPr>
        <w:t>https://pubmed.ncbi.nlm.nih.gov/42411867/</w:t>
      </w:r>
    </w:p>
    <w:p>
      <w:pPr>
        <w:pStyle w:val="Heading1"/>
      </w:pPr>
      <w:r>
        <w:t>Aufgenommen am 20.09.2026</w:t>
      </w:r>
    </w:p>
    <w:p>
      <w:pPr>
        <w:pStyle w:val="Heading2"/>
      </w:pPr>
      <w:r>
        <w:t>Exergaming mit Widerstandstraining verbessert Selbstwirksamkeit und Aktivität bei kognitiver Gebrechlichkeit</w:t>
      </w:r>
    </w:p>
    <w:p>
      <w:r>
        <w:rPr>
          <w:i/>
          <w:color w:val="666666"/>
          <w:sz w:val="18"/>
        </w:rPr>
        <w:t>Ning H et al.  ·  Zhong Nan Da Xue Xue Bao Yi Xue Ban  ·  28.07.2026  ·  PMID 42763302</w:t>
      </w:r>
    </w:p>
    <w:p>
      <w:r>
        <w:t>Randomisierte Studie zu 12-wöchigem Exergaming mit Elastikband-Training bei 79 älteren Erwachsenen mit kognitiver Frailty zur Verbesserung von Selbstwirksamkeit und körperlicher Aktivität.</w:t>
      </w:r>
    </w:p>
    <w:p>
      <w:r>
        <w:rPr>
          <w:b/>
        </w:rPr>
        <w:t xml:space="preserve">Ergebnis: </w:t>
      </w:r>
      <w:r>
        <w:t>Interventionsgruppe zeigte signifikant höhere Verbesserungen bei IPAQ-SF-Scores (MD=586,1 MET-min/Woche, 95%-KI 454,5–717,7) und Selbsteffektivität (MD=3,3, 95%-KI 2,4–4,2) vs. Kontrolle (beide p&lt;0,001). Trainingsadhärenz 86,5%. Qualitative Analyse identifizierte erhöhte Trainierbarkeit, positive Gesundheitswahrnehmung und verbesserte Sozialinteraktion.</w:t>
      </w:r>
    </w:p>
    <w:p>
      <w:r>
        <w:rPr>
          <w:b/>
          <w:sz w:val="19"/>
        </w:rPr>
        <w:t xml:space="preserve">Übertragbarkeit: </w:t>
      </w:r>
      <w:r>
        <w:rPr>
          <w:sz w:val="19"/>
        </w:rPr>
        <w:t>Chinesische Primar- und sekundäre Datenquellen; Design auf deutschsprachigen Kontext übertragbar.</w:t>
      </w:r>
    </w:p>
    <w:p>
      <w:r>
        <w:rPr>
          <w:color w:val="5A7D3A"/>
          <w:sz w:val="18"/>
        </w:rPr>
        <w:t>https://pubmed.ncbi.nlm.nih.gov/42763302/</w:t>
      </w:r>
    </w:p>
    <w:p>
      <w:pPr>
        <w:pStyle w:val="Heading2"/>
      </w:pPr>
      <w:r>
        <w:t>Luftfeuchte, Frailty und Schlaganfallrisiko im Alter: 7-Jahres-Kohortenstudie China</w:t>
      </w:r>
    </w:p>
    <w:p>
      <w:r>
        <w:rPr>
          <w:i/>
          <w:color w:val="666666"/>
          <w:sz w:val="18"/>
        </w:rPr>
        <w:t>Zhou Y et al.  ·  Zhong Nan Da Xue Xue Bao Yi Xue Ban  ·  28.07.2026  ·  PMID 42763297</w:t>
      </w:r>
    </w:p>
    <w:p>
      <w:r>
        <w:t>Prospektive Kohortenstudie (CHARLS) mit 19.582 chinesischen Älteren zum Zusammenhang zwischen Umgebungsfeuchte und Schlaganfallrisiko mit Frailty als Mediator.</w:t>
      </w:r>
    </w:p>
    <w:p>
      <w:r>
        <w:rPr>
          <w:b/>
        </w:rPr>
        <w:t xml:space="preserve">Ergebnis: </w:t>
      </w:r>
      <w:r>
        <w:t>Gegenüber niedriger Feuchte: mittlere Feuchte HR=1,119 (95%-KI 1,033–1,213), hohe Feuchte HR=1,279 (95%-KI 1,227–1,331) für neuen Schlaganfall (beide p&lt;0,01). Bei Männern ausgeprägter (hohe Feuchte: HR=1,352, 95%-KI 1,268–1,442). Frailty vermittelte 22,0% der Assoziation. Mediane Nachbeobachtung 7 Jahre, 1.235 Schlaganfälle (6,31%).</w:t>
      </w:r>
    </w:p>
    <w:p>
      <w:r>
        <w:rPr>
          <w:b/>
          <w:sz w:val="19"/>
        </w:rPr>
        <w:t xml:space="preserve">Übertragbarkeit: </w:t>
      </w:r>
      <w:r>
        <w:rPr>
          <w:sz w:val="19"/>
        </w:rPr>
        <w:t>CHARLS-Langzeitdaten aus China; Umwelt-Gebrechlichkeits-Pathomechanismus übertragbar.</w:t>
      </w:r>
    </w:p>
    <w:p>
      <w:r>
        <w:rPr>
          <w:color w:val="5A7D3A"/>
          <w:sz w:val="18"/>
        </w:rPr>
        <w:t>https://pubmed.ncbi.nlm.nih.gov/42763297/</w:t>
      </w:r>
    </w:p>
    <w:p>
      <w:pPr>
        <w:pStyle w:val="Heading2"/>
      </w:pPr>
      <w:r>
        <w:t>Fragmentierte Sedentarität und kardiovaskuläre Sterblichkeit: Gewonnene Lebensjahre durch Bewegungspausen</w:t>
      </w:r>
    </w:p>
    <w:p>
      <w:r>
        <w:rPr>
          <w:i/>
          <w:color w:val="666666"/>
          <w:sz w:val="18"/>
        </w:rPr>
        <w:t>Xing T et al.  ·  Zhong Nan Da Xue Xue Bao Yi Xue Ban  ·  28.07.2026  ·  PMID 42763296</w:t>
      </w:r>
    </w:p>
    <w:p>
      <w:r>
        <w:t>Prospektive Kohorte mit 89.010 UK-Biobank-Teilnehmern zum Zusammenhang zwischen Sedentärdauer/-fragmentierung und Sterblichkeit sowie Lebenserwartung.</w:t>
      </w:r>
    </w:p>
    <w:p>
      <w:r>
        <w:rPr>
          <w:b/>
        </w:rPr>
        <w:t xml:space="preserve">Ergebnis: </w:t>
      </w:r>
      <w:r>
        <w:t>Gegenüber geringster Sedentarität: ≥10 h/Tag Sitzen + wenig Pausen (Breaks &lt;12/Tag) mit HR=1,515 (95%-KI 1,380–1,663) für Gesamtsterblichkeit und HR=1,553 (95%-KI 1,325–1,820) für kardiovaskuläre Mortalität. Häufige Sitzpausen reduzierten Sterblichkeitsrisiko. Lebenserwartungsverlust im Alter 50: -2,77 Jahre (Männer, 95%-KI -3,39 bis -2,15) und -3,11 Jahre (Frauen, 95%-KI -3,79 bis -2,43) an kardiovaskulär-freien Jahren.</w:t>
      </w:r>
    </w:p>
    <w:p>
      <w:r>
        <w:rPr>
          <w:b/>
          <w:sz w:val="19"/>
        </w:rPr>
        <w:t xml:space="preserve">Übertragbarkeit: </w:t>
      </w:r>
      <w:r>
        <w:rPr>
          <w:sz w:val="19"/>
        </w:rPr>
        <w:t>UK-Daten mit wearables gemessen; Befund zur Bewegungsunterbrechung international anwendbar.</w:t>
      </w:r>
    </w:p>
    <w:p>
      <w:r>
        <w:rPr>
          <w:color w:val="5A7D3A"/>
          <w:sz w:val="18"/>
        </w:rPr>
        <w:t>https://pubmed.ncbi.nlm.nih.gov/42763296/</w:t>
      </w:r>
    </w:p>
    <w:p>
      <w:pPr>
        <w:pStyle w:val="Heading2"/>
      </w:pPr>
      <w:r>
        <w:t>Feinstaub und Frailty: PM₂,₅-Komponenten erhöhen Gebrechlichkeitsrisiko im Alter</w:t>
      </w:r>
    </w:p>
    <w:p>
      <w:r>
        <w:rPr>
          <w:i/>
          <w:color w:val="666666"/>
          <w:sz w:val="18"/>
        </w:rPr>
        <w:t>Liu Q et al.  ·  Zhonghua Liu Xing Bing Xue Za Zhi  ·  10.09.2026  ·  PMID 42763185</w:t>
      </w:r>
    </w:p>
    <w:p>
      <w:r>
        <w:t>Querschnittsstudie mit 1.875 älteren Personen in der Jing-Jin-Ji-Region zum Zusammenhang zwischen PM₂,₅-Exposition und Frailty-Index.</w:t>
      </w:r>
    </w:p>
    <w:p>
      <w:r>
        <w:rPr>
          <w:b/>
        </w:rPr>
        <w:t xml:space="preserve">Ergebnis: </w:t>
      </w:r>
      <w:r>
        <w:t>PM₂,₅ bei 90-Tage-Mittelung (lag090 d) assoziiert mit erhöhtem Frailty-Risiko: +1,30% pro IQR-Anstieg (95%-KI 0,29–2,31). Organische Kohlenstoffe (OC): +3,63% (95%-KI 1,17–6,09%), Elementares Kohlenstoff: +0,83% (95%-KI 0,45–1,21%), Kupfer: +1,50% (95%-KI 0,76–2,24%) pro IQR-Anstieg. Keine signifikanten Unterschiede nach Geschlecht, Alter oder Lebensstil.</w:t>
      </w:r>
    </w:p>
    <w:p>
      <w:r>
        <w:rPr>
          <w:b/>
          <w:sz w:val="19"/>
        </w:rPr>
        <w:t xml:space="preserve">Übertragbarkeit: </w:t>
      </w:r>
      <w:r>
        <w:rPr>
          <w:sz w:val="19"/>
        </w:rPr>
        <w:t>Chinesische Luftqualitätsdaten; Umweltbelastung-Gebrechlichkeits-Zusammenhang universal relevant.</w:t>
      </w:r>
    </w:p>
    <w:p>
      <w:r>
        <w:rPr>
          <w:color w:val="5A7D3A"/>
          <w:sz w:val="18"/>
        </w:rPr>
        <w:t>https://pubmed.ncbi.nlm.nih.gov/42763185/</w:t>
      </w:r>
    </w:p>
    <w:p>
      <w:pPr>
        <w:pStyle w:val="Heading2"/>
      </w:pPr>
      <w:r>
        <w:t>Ernährungsqualität und biologisches Alter: Zentrale Adiposität als Vermittler</w:t>
      </w:r>
    </w:p>
    <w:p>
      <w:r>
        <w:rPr>
          <w:i/>
          <w:color w:val="666666"/>
          <w:sz w:val="18"/>
        </w:rPr>
        <w:t>Qian Y  ·  Medicine (Baltimore)  ·  18.09.2026  ·  PMID 42760668</w:t>
      </w:r>
    </w:p>
    <w:p>
      <w:r>
        <w:t>Querschnittsstudie mit 12.511 US-Erwachsenen (≥20 Jahre) aus NHANES 2005–2010 zur Assoziation zwischen Ernährungsqualität und phänotypischer Altersbeschleunigung.</w:t>
      </w:r>
    </w:p>
    <w:p>
      <w:r>
        <w:rPr>
          <w:b/>
        </w:rPr>
        <w:t xml:space="preserve">Ergebnis: </w:t>
      </w:r>
      <w:r>
        <w:t>Pro 1-Punkt-Anstieg Healthy-Eating-Index-2015: OR=0,98 (95%-KI 0,97–0,98, p&lt;0,001) für beschleunigtes biologisches Altern. Waist-to-Height Ratio (WHtR) und Body Roundness Index (BRI) zeigten größte Mediationseffekte (29,23% bzw. 28,90%). Sensitivitätsanalysen bestätigten Robustheit.</w:t>
      </w:r>
    </w:p>
    <w:p>
      <w:r>
        <w:rPr>
          <w:b/>
          <w:sz w:val="19"/>
        </w:rPr>
        <w:t xml:space="preserve">Übertragbarkeit: </w:t>
      </w:r>
      <w:r>
        <w:rPr>
          <w:sz w:val="19"/>
        </w:rPr>
        <w:t>NHANES-Daten USA; Ernährungs-Adipositas-Alterungsweg prinzipiell universal.</w:t>
      </w:r>
    </w:p>
    <w:p>
      <w:r>
        <w:rPr>
          <w:color w:val="5A7D3A"/>
          <w:sz w:val="18"/>
        </w:rPr>
        <w:t>https://pubmed.ncbi.nlm.nih.gov/42760668/</w:t>
      </w:r>
    </w:p>
    <w:p>
      <w:pPr>
        <w:pStyle w:val="Heading2"/>
      </w:pPr>
      <w:r>
        <w:t>Risikofaktoren für Frailty bei älteren Krebspatienten: Systematische Übersicht</w:t>
      </w:r>
    </w:p>
    <w:p>
      <w:r>
        <w:rPr>
          <w:i/>
          <w:color w:val="666666"/>
          <w:sz w:val="18"/>
        </w:rPr>
        <w:t>Shubing F et al.  ·  BMC Geriatr  ·  18.09.2026  ·  PMID 42760535</w:t>
      </w:r>
    </w:p>
    <w:p>
      <w:r>
        <w:t>Systematische Übersicht von 30 Studien (2014–2025) zu Determinanten von Frailty bei älteren Krebspatienten, davon 26 Querschnitts- und 4 prospektive Kohortenstudien.</w:t>
      </w:r>
    </w:p>
    <w:p>
      <w:r>
        <w:rPr>
          <w:b/>
        </w:rPr>
        <w:t xml:space="preserve">Ergebnis: </w:t>
      </w:r>
      <w:r>
        <w:t>Risikofaktoren in 6 Kategorien identifiziert: krankheitsbezogen (Krebsart, fortgeschrittenes Stadium), physiologisch (Mangelernährung, Muskelabbau), psychologisch (Depression, kognitiver Verfall), Lebensstil (Bewegungsmangel), soziodemografisch (Isolation), therapiebedingt (Chemotherapie-Toxizität). Prospektive Evidenz limitiert (n=4 Studien); gefordert: stratifizierte Screening- und Interventionsstrategien.</w:t>
      </w:r>
    </w:p>
    <w:p>
      <w:r>
        <w:rPr>
          <w:b/>
          <w:sz w:val="19"/>
        </w:rPr>
        <w:t xml:space="preserve">Übertragbarkeit: </w:t>
      </w:r>
      <w:r>
        <w:rPr>
          <w:sz w:val="19"/>
        </w:rPr>
        <w:t>Überwiegend Hocheinkommensländer; Frailty-Krebsinteraktion im älteren Alter universell.</w:t>
      </w:r>
    </w:p>
    <w:p>
      <w:r>
        <w:rPr>
          <w:color w:val="5A7D3A"/>
          <w:sz w:val="18"/>
        </w:rPr>
        <w:t>https://pubmed.ncbi.nlm.nih.gov/42760535/</w:t>
      </w:r>
    </w:p>
    <w:p>
      <w:pPr>
        <w:pStyle w:val="Heading2"/>
      </w:pPr>
      <w:r>
        <w:t>Mesenchymale Stammzelltherapie bei Frailty: Systematische Übersicht mit Fokus auf Sicherheit und Mobilität</w:t>
      </w:r>
    </w:p>
    <w:p>
      <w:r>
        <w:rPr>
          <w:i/>
          <w:color w:val="666666"/>
          <w:sz w:val="18"/>
        </w:rPr>
        <w:t>Poutouri E et al.  ·  Int J Mol Sci  ·  25.08.2026  ·  PMID 42737497</w:t>
      </w:r>
    </w:p>
    <w:p>
      <w:r>
        <w:t>Systematische Übersicht von 3 randomisierten Studien (208 Teilnehmer, älter mit Frailty) zu Sicherheit und Wirksamkeit der intravenösen Stammzelltherapie auf funktionale Ergebnisse.</w:t>
      </w:r>
    </w:p>
    <w:p>
      <w:r>
        <w:rPr>
          <w:b/>
        </w:rPr>
        <w:t xml:space="preserve">Ergebnis: </w:t>
      </w:r>
      <w:r>
        <w:t>Keine schwerwiegenden behandlungsbezogenen Nebenwirkungen berichtet. Signale für Verbesserung: 6-Minuten-Gehtest nach 9 Monaten dosisabhängig erhöht; SPPB-, TUG- und Griffkraft-Verbesserungen in einzelnen Studien. Zirkulating pro-inflammatorische Zytokine reduziert, Lebensqualität verbessert. Heterogenität Stammzellquelle, Dosis und Follow-up; größere adequat-gepowerte Studien erforderlich.</w:t>
      </w:r>
    </w:p>
    <w:p>
      <w:r>
        <w:rPr>
          <w:b/>
          <w:sz w:val="19"/>
        </w:rPr>
        <w:t xml:space="preserve">Übertragbarkeit: </w:t>
      </w:r>
      <w:r>
        <w:rPr>
          <w:sz w:val="19"/>
        </w:rPr>
        <w:t>Vereinigte Staaten und Schweiz; Stammzelltherapie-Sicherheitsdaten relevant für prospektive europäische Studien.</w:t>
      </w:r>
    </w:p>
    <w:p>
      <w:r>
        <w:rPr>
          <w:color w:val="5A7D3A"/>
          <w:sz w:val="18"/>
        </w:rPr>
        <w:t>https://pubmed.ncbi.nlm.nih.gov/42737497/</w:t>
      </w:r>
    </w:p>
    <w:p>
      <w:pPr>
        <w:pStyle w:val="Heading1"/>
      </w:pPr>
      <w:r>
        <w:t>Aufgenommen am 19.09.2026</w:t>
      </w:r>
    </w:p>
    <w:p>
      <w:pPr>
        <w:pStyle w:val="Heading2"/>
      </w:pPr>
      <w:r>
        <w:t>Geriatrisches Assessment bei chronischer Nierenkrankheit und Frailty</w:t>
      </w:r>
    </w:p>
    <w:p>
      <w:r>
        <w:rPr>
          <w:i/>
          <w:color w:val="666666"/>
          <w:sz w:val="18"/>
        </w:rPr>
        <w:t>Nixon AC  ·  Kidney Int  ·  Okt. 2026  ·  PMID 42760022</w:t>
      </w:r>
    </w:p>
    <w:p>
      <w:r>
        <w:t>Kommentararbeit zur GOAL-Studie, die überprüfte, ob eine einzige geriatrische Konsultation ältere Patienten mit chronischer Nierenkrankheit und Frailty in ihren Behandlungszielen hilft.</w:t>
      </w:r>
    </w:p>
    <w:p>
      <w:r>
        <w:rPr>
          <w:b/>
        </w:rPr>
        <w:t xml:space="preserve">Ergebnis: </w:t>
      </w:r>
      <w:r>
        <w:t>Die Studie fand keine signifikante Verbesserung der Zielerreichung durch ein Konsultationsmodell. Personenzentrierte Versorgungsmodelle außerhalb von Einzelterminen und fortlaufende Neubewertung erfordern weitere Evaluierung.</w:t>
      </w:r>
    </w:p>
    <w:p>
      <w:r>
        <w:rPr>
          <w:b/>
          <w:sz w:val="19"/>
        </w:rPr>
        <w:t xml:space="preserve">Übertragbarkeit: </w:t>
      </w:r>
      <w:r>
        <w:rPr>
          <w:sz w:val="19"/>
        </w:rPr>
        <w:t>UK-Gesundheitssystem, Design auf europäische Versorgungsstrukturen übertragbar</w:t>
      </w:r>
    </w:p>
    <w:p>
      <w:r>
        <w:rPr>
          <w:color w:val="5A7D3A"/>
          <w:sz w:val="18"/>
        </w:rPr>
        <w:t>https://pubmed.ncbi.nlm.nih.gov/42760022/</w:t>
      </w:r>
    </w:p>
    <w:p>
      <w:pPr>
        <w:pStyle w:val="Heading2"/>
      </w:pPr>
      <w:r>
        <w:t>Verständnis von Frailty bei Kindern mit chronischer Nierenkrankheit</w:t>
      </w:r>
    </w:p>
    <w:p>
      <w:r>
        <w:rPr>
          <w:i/>
          <w:color w:val="666666"/>
          <w:sz w:val="18"/>
        </w:rPr>
        <w:t>Guha C et al.  ·  Kidney Int  ·  Okt. 2026  ·  PMID 42760016</w:t>
      </w:r>
    </w:p>
    <w:p>
      <w:r>
        <w:t>Qualitatives Perspektivwerk auf Frailty im Kindesalter bei chronischer Nierenkrankheit – Interpretation als Verlust von Entwicklungspotenzial statt funktionellem Rückgang im Gegensatz zu Frailty bei Älteren.</w:t>
      </w:r>
    </w:p>
    <w:p>
      <w:r>
        <w:rPr>
          <w:b/>
        </w:rPr>
        <w:t xml:space="preserve">Ergebnis: </w:t>
      </w:r>
      <w:r>
        <w:t>Zentrale Befunde: (1) Frailty bei Kindern ist (anders als bei Älteren) oft reversibel; (2) Frühe Identifikation durch altersgerechte Screening ermöglicht multidisziplinäre Intervention; (3) Kritisches Fenster zur Maximierung von Wachstum, Resilienz und Lebensfunktion in der Kindheit.</w:t>
      </w:r>
    </w:p>
    <w:p>
      <w:r>
        <w:rPr>
          <w:b/>
          <w:sz w:val="19"/>
        </w:rPr>
        <w:t xml:space="preserve">Übertragbarkeit: </w:t>
      </w:r>
      <w:r>
        <w:rPr>
          <w:sz w:val="19"/>
        </w:rPr>
        <w:t>Internationale Perspektive auf Frailty-Definition und Versorgungsmodelle, anwendbar auf deutsches Versorgungssystem</w:t>
      </w:r>
    </w:p>
    <w:p>
      <w:r>
        <w:rPr>
          <w:color w:val="5A7D3A"/>
          <w:sz w:val="18"/>
        </w:rPr>
        <w:t>https://pubmed.ncbi.nlm.nih.gov/42760016/</w:t>
      </w:r>
    </w:p>
    <w:p>
      <w:pPr>
        <w:pStyle w:val="Heading2"/>
      </w:pPr>
      <w:r>
        <w:t>Frailty-Index für Mortalitätsprognose nach Schlaganfall in kritischer Versorgung</w:t>
      </w:r>
    </w:p>
    <w:p>
      <w:r>
        <w:rPr>
          <w:i/>
          <w:color w:val="666666"/>
          <w:sz w:val="18"/>
        </w:rPr>
        <w:t>Gu G et al.  ·  Front Neurol  ·  03.09.2026  ·  PMID 42756253</w:t>
      </w:r>
    </w:p>
    <w:p>
      <w:r>
        <w:t>Verwendung eines laborgestützten Frailty-Index (FI-Lab) zur Vorhersage der 90-Tage-Mortalität nach akutem ischämischen Schlaganfall in der Intensivmedizin mit temporaler Validierung.</w:t>
      </w:r>
    </w:p>
    <w:p>
      <w:r>
        <w:rPr>
          <w:b/>
        </w:rPr>
        <w:t xml:space="preserve">Ergebnis: </w:t>
      </w:r>
      <w:r>
        <w:t>3.186 Patienten beim 24-h-Zeitpunkt (559 Todesfälle): FI-Lab verbesserte AUC von 0,774 auf 0,808 (Differenz 0,034, 95% CI 0,022–0,047; p&lt;0,001) und Brier-Score von 0,162 auf 0,152. Beim 72-h-Punkt: 2.918 Patienten (473 Ereignisse), AUC 0,752 → 0,791 mit FI-Lab.</w:t>
      </w:r>
    </w:p>
    <w:p>
      <w:r>
        <w:rPr>
          <w:b/>
          <w:sz w:val="19"/>
        </w:rPr>
        <w:t xml:space="preserve">Übertragbarkeit: </w:t>
      </w:r>
      <w:r>
        <w:rPr>
          <w:sz w:val="19"/>
        </w:rPr>
        <w:t>MIMIC-IV-Datenbank, generalisierbare ICU-Frailty-Messung, externe Validierung ausstehend</w:t>
      </w:r>
    </w:p>
    <w:p>
      <w:r>
        <w:rPr>
          <w:color w:val="5A7D3A"/>
          <w:sz w:val="18"/>
        </w:rPr>
        <w:t>https://pubmed.ncbi.nlm.nih.gov/42756253/</w:t>
      </w:r>
    </w:p>
    <w:p>
      <w:pPr>
        <w:pStyle w:val="Heading2"/>
      </w:pPr>
      <w:r>
        <w:t>Krankheitslast bei Multipler Sklerose in Italien 1990–2023</w:t>
      </w:r>
    </w:p>
    <w:p>
      <w:r>
        <w:rPr>
          <w:i/>
          <w:color w:val="666666"/>
          <w:sz w:val="18"/>
        </w:rPr>
        <w:t>Brigo F et al.  ·  Mult Scler Relat Disord  ·  28.08.2026  ·  PMID 42664643</w:t>
      </w:r>
    </w:p>
    <w:p>
      <w:r>
        <w:t>Analyse der zeitlichen Trends und regionalen Unterschiede in der Morbidität (Behinderung versus Sterblichkeit) von MS in Italien mittels Global-Burden-of-Disease-Daten.</w:t>
      </w:r>
    </w:p>
    <w:p>
      <w:r>
        <w:rPr>
          <w:b/>
        </w:rPr>
        <w:t xml:space="preserve">Ergebnis: </w:t>
      </w:r>
      <w:r>
        <w:t>MS-Krankheitslast stieg in allen Regionen; Verschiebung von Sterblichkeit zu Behinderung: YLL/YLD-Ratio sank überall, mit steilstem Anstieg in Sardinien und Süd+Sizilien. Höhere DALY-Raten in allen Regionen bei Frauen und Männern.</w:t>
      </w:r>
    </w:p>
    <w:p>
      <w:r>
        <w:rPr>
          <w:b/>
          <w:sz w:val="19"/>
        </w:rPr>
        <w:t xml:space="preserve">Übertragbarkeit: </w:t>
      </w:r>
      <w:r>
        <w:rPr>
          <w:sz w:val="19"/>
        </w:rPr>
        <w:t>Italien, vergleichbares europäisches Gesundheitssystem und Versorgungsinfrastruktur</w:t>
      </w:r>
    </w:p>
    <w:p>
      <w:r>
        <w:rPr>
          <w:color w:val="5A7D3A"/>
          <w:sz w:val="18"/>
        </w:rPr>
        <w:t>https://pubmed.ncbi.nlm.nih.gov/42664643/</w:t>
      </w:r>
    </w:p>
    <w:p>
      <w:pPr>
        <w:pStyle w:val="Heading2"/>
      </w:pPr>
      <w:r>
        <w:t>Geschlechtsspezifische Altersuhren und Stoffwechselveränderungen in Bevölkerungsphenome</w:t>
      </w:r>
    </w:p>
    <w:p>
      <w:r>
        <w:rPr>
          <w:i/>
          <w:color w:val="666666"/>
          <w:sz w:val="18"/>
        </w:rPr>
        <w:t>Li J et al.  ·  Nat Aging  ·  25.08.2026  ·  PMID 42642518</w:t>
      </w:r>
    </w:p>
    <w:p>
      <w:r>
        <w:t>Entwicklung und Validierung von Altersuhren (klinische und biologische Marker) in &gt;100.000 Chinesen (18–98 Jahre) mit Analyse von Geschlechtsunterschieden und modifizierbaren metabolischen Faktoren.</w:t>
      </w:r>
    </w:p>
    <w:p>
      <w:r>
        <w:rPr>
          <w:b/>
        </w:rPr>
        <w:t xml:space="preserve">Ergebnis: </w:t>
      </w:r>
      <w:r>
        <w:t>Divergente Alterungstrajektorien Männer vs. Frauen in mittlerem Alter konvergierten später. Akkumulation von Cholesterin, Triglyzeriden, Glukose, Harnsäure und Tumormalkeuren mit dem Altern. High-Fat-Diet-Reversierung zeigte Modifizierbarkeit metabolischer Belastung.</w:t>
      </w:r>
    </w:p>
    <w:p>
      <w:r>
        <w:rPr>
          <w:b/>
          <w:sz w:val="19"/>
        </w:rPr>
        <w:t xml:space="preserve">Übertragbarkeit: </w:t>
      </w:r>
      <w:r>
        <w:rPr>
          <w:sz w:val="19"/>
        </w:rPr>
        <w:t>China, große Kohorte, metabolische Befunde altersunabhängig übertragbar auf deutsches Setting</w:t>
      </w:r>
    </w:p>
    <w:p>
      <w:r>
        <w:rPr>
          <w:color w:val="5A7D3A"/>
          <w:sz w:val="18"/>
        </w:rPr>
        <w:t>https://pubmed.ncbi.nlm.nih.gov/42642518/</w:t>
      </w:r>
    </w:p>
    <w:p>
      <w:pPr>
        <w:pStyle w:val="Heading2"/>
      </w:pPr>
      <w:r>
        <w:t>Gewonnene Lebensjahre bei zufällig entdecktem Prostatakarzinom</w:t>
      </w:r>
    </w:p>
    <w:p>
      <w:r>
        <w:rPr>
          <w:i/>
          <w:color w:val="666666"/>
          <w:sz w:val="18"/>
        </w:rPr>
        <w:t>Falkenbach F et al.  ·  Prostate  ·  08.07.2026  ·  PMID 42418725</w:t>
      </w:r>
    </w:p>
    <w:p>
      <w:r>
        <w:t>Berechnung der verlorenen Lebensjahre (YLL) bei zufällig entdecktem Prostatakarzinom mittels SEER-Daten 2004–2021 und Vergleich mit bevölkerungsgestützten Überlebensstudien.</w:t>
      </w:r>
    </w:p>
    <w:p>
      <w:r>
        <w:rPr>
          <w:b/>
        </w:rPr>
        <w:t xml:space="preserve">Ergebnis: </w:t>
      </w:r>
      <w:r>
        <w:t>7.324 Patienten; Unterschied zu Bevölkerungskontroll: 0,23 verlorene Jahre (p&lt;0,001). Ohne Behandlung: 0,25 YLL; mit Behandlung: 0,18 YLL. Gleason 8–10 + T1b ohne Therapie: 3,02 YLL; Gleason ≤7 + T1a mit Therapie: keine signifikanten YLL.</w:t>
      </w:r>
    </w:p>
    <w:p>
      <w:r>
        <w:rPr>
          <w:b/>
          <w:sz w:val="19"/>
        </w:rPr>
        <w:t xml:space="preserve">Übertragbarkeit: </w:t>
      </w:r>
      <w:r>
        <w:rPr>
          <w:sz w:val="19"/>
        </w:rPr>
        <w:t>USA, SEER-Register, Unterschiede in Lebenserwartung und Behandlungsindikationen beachten</w:t>
      </w:r>
    </w:p>
    <w:p>
      <w:r>
        <w:rPr>
          <w:color w:val="5A7D3A"/>
          <w:sz w:val="18"/>
        </w:rPr>
        <w:t>https://pubmed.ncbi.nlm.nih.gov/42418725/</w:t>
      </w:r>
    </w:p>
    <w:p>
      <w:pPr>
        <w:pStyle w:val="Heading1"/>
      </w:pPr>
      <w:r>
        <w:t>Aufgenommen am 18.09.2026</w:t>
      </w:r>
    </w:p>
    <w:p>
      <w:pPr>
        <w:pStyle w:val="Heading2"/>
      </w:pPr>
      <w:r>
        <w:t>Kontrolltheorie des Alterns beschreibt sichere Dosierung und Sequenzierung geriatrischer Interventionen</w:t>
      </w:r>
    </w:p>
    <w:p>
      <w:r>
        <w:rPr>
          <w:i/>
          <w:color w:val="666666"/>
          <w:sz w:val="18"/>
        </w:rPr>
        <w:t>Zhavoronkov A et al.  ·  Aging (Albany NY)  ·  16.09.2026  ·  PMID 42754269</w:t>
      </w:r>
    </w:p>
    <w:p>
      <w:r>
        <w:t>Theoriearbeit entwickelt kontrolltheoretisches Rahmenwerk, das Altern als Verlust sicherer Kontrollierbarkeit definiert und präskriptive Dosierungs- und Sequenzierungsprotokolle für Geroprotektoren vorhersagt.</w:t>
      </w:r>
    </w:p>
    <w:p>
      <w:r>
        <w:rPr>
          <w:b/>
        </w:rPr>
        <w:t xml:space="preserve">Ergebnis: </w:t>
      </w:r>
      <w:r>
        <w:t>Biologisches Alter = minimale sichere Kontrollkosten für funktionale Wiederherstellung. Lie-Bracket-Analyse von 5-ODE-Modell zeigt Interventionsreihenfolge entscheidend. 20 falsfizierbare Vorhersagen; Kontrollwert-Reduktion prognostiziert translationalen Erfolg besser als Biomarker-Umkehr.</w:t>
      </w:r>
    </w:p>
    <w:p>
      <w:r>
        <w:rPr>
          <w:b/>
          <w:sz w:val="19"/>
        </w:rPr>
        <w:t xml:space="preserve">Übertragbarkeit: </w:t>
      </w:r>
      <w:r>
        <w:rPr>
          <w:sz w:val="19"/>
        </w:rPr>
        <w:t>Konzeptuelle, nicht-empirische Arbeit; Übertragbarkeit hängt von Validierung in Patientenkohorten ab</w:t>
      </w:r>
    </w:p>
    <w:p>
      <w:r>
        <w:rPr>
          <w:color w:val="5A7D3A"/>
          <w:sz w:val="18"/>
        </w:rPr>
        <w:t>https://pubmed.ncbi.nlm.nih.gov/42754269/</w:t>
      </w:r>
    </w:p>
    <w:p>
      <w:pPr>
        <w:pStyle w:val="Heading2"/>
      </w:pPr>
      <w:r>
        <w:t>Computer- und Smartphone-Nutzung reduzieren Frailty bei älteren Erwachsenen</w:t>
      </w:r>
    </w:p>
    <w:p>
      <w:r>
        <w:rPr>
          <w:i/>
          <w:color w:val="666666"/>
          <w:sz w:val="18"/>
        </w:rPr>
        <w:t>Hori N et al.  ·  Geriatr Gerontol Int  ·  Sept. 2026  ·  PMID 42753144</w:t>
      </w:r>
    </w:p>
    <w:p>
      <w:r>
        <w:t>Querschnittsstudie untersuchte, ob Gesundheitsinformationen über Computer und Smartphone mit Frailty assoziiert sind, gemessen durch Mediation über Health Literacy bei 451 älteren Menschen.</w:t>
      </w:r>
    </w:p>
    <w:p>
      <w:r>
        <w:rPr>
          <w:b/>
        </w:rPr>
        <w:t xml:space="preserve">Ergebnis: </w:t>
      </w:r>
      <w:r>
        <w:t>33,8 % nutzten Computer/Smartphone für Gesundheitsinformation. Frailty-Prävalenz 3,5 %. Mediation über Health Literacy signifikant: β = 0,323 (95%-KI: 0,084–0,698). Keine Assoziation mit nur Robustness vs. Präfrailty.</w:t>
      </w:r>
    </w:p>
    <w:p>
      <w:r>
        <w:rPr>
          <w:b/>
          <w:sz w:val="19"/>
        </w:rPr>
        <w:t xml:space="preserve">Übertragbarkeit: </w:t>
      </w:r>
      <w:r>
        <w:rPr>
          <w:sz w:val="19"/>
        </w:rPr>
        <w:t>Japan, vergleichbar mit deutschem Gesundheitswesen; einfacher Screening-Tool</w:t>
      </w:r>
    </w:p>
    <w:p>
      <w:r>
        <w:rPr>
          <w:color w:val="5A7D3A"/>
          <w:sz w:val="18"/>
        </w:rPr>
        <w:t>https://pubmed.ncbi.nlm.nih.gov/42753144/</w:t>
      </w:r>
    </w:p>
    <w:p>
      <w:pPr>
        <w:pStyle w:val="Heading2"/>
      </w:pPr>
      <w:r>
        <w:t>Frailty und Ernährungsstatus prägen Überleben älter Brustkrebspatientinnen</w:t>
      </w:r>
    </w:p>
    <w:p>
      <w:r>
        <w:rPr>
          <w:i/>
          <w:color w:val="666666"/>
          <w:sz w:val="18"/>
        </w:rPr>
        <w:t>Yang X et al.  ·  Cancer Med  ·  Sept. 2026  ·  PMID 42745681</w:t>
      </w:r>
    </w:p>
    <w:p>
      <w:r>
        <w:t>Retrospektive Studie entwickelte FINE Index (Frailty, Immunonutrition, TNM-Stadium) zur Vorhersage des Gesamtüberlebens bei 1.621 älteren Brustkrebspatientinnen (training n=1.132, validation n=489).</w:t>
      </w:r>
    </w:p>
    <w:p>
      <w:r>
        <w:rPr>
          <w:b/>
        </w:rPr>
        <w:t xml:space="preserve">Ergebnis: </w:t>
      </w:r>
      <w:r>
        <w:t>C-Index 0,767 (training), 0,739 (intern validation), 0,731 (extern validation). 3-, 5-, 10-Jahr-AUC &gt;0,7. Unabhängige Prädiktoren: Alter, PNI, TNM, mFI-5, Endokrintherapie. Besser als TNM allein.</w:t>
      </w:r>
    </w:p>
    <w:p>
      <w:r>
        <w:rPr>
          <w:b/>
          <w:sz w:val="19"/>
        </w:rPr>
        <w:t xml:space="preserve">Übertragbarkeit: </w:t>
      </w:r>
      <w:r>
        <w:rPr>
          <w:sz w:val="19"/>
        </w:rPr>
        <w:t>China (West-China Hospital), deutsche Kliniken nutzen ähnliche Frailty-Indices</w:t>
      </w:r>
    </w:p>
    <w:p>
      <w:r>
        <w:rPr>
          <w:color w:val="5A7D3A"/>
          <w:sz w:val="18"/>
        </w:rPr>
        <w:t>https://pubmed.ncbi.nlm.nih.gov/42745681/</w:t>
      </w:r>
    </w:p>
    <w:p>
      <w:pPr>
        <w:pStyle w:val="Heading2"/>
      </w:pPr>
      <w:r>
        <w:t>Orale Frailty korreliert mit BMI nur bei Sarkopenie-Risiko</w:t>
      </w:r>
    </w:p>
    <w:p>
      <w:r>
        <w:rPr>
          <w:i/>
          <w:color w:val="666666"/>
          <w:sz w:val="18"/>
        </w:rPr>
        <w:t>Hayase M et al.  ·  Nutrients  ·  28.08.2026  ·  PMID 42739007</w:t>
      </w:r>
    </w:p>
    <w:p>
      <w:r>
        <w:t>Querschnittstudie mit 3.829 älteren Japanern untersuchte Assoziation zwischen oraler Frailty und BMI-Kategorien, stratifiziert nach Sarkopenie-Status.</w:t>
      </w:r>
    </w:p>
    <w:p>
      <w:r>
        <w:rPr>
          <w:b/>
        </w:rPr>
        <w:t xml:space="preserve">Ergebnis: </w:t>
      </w:r>
      <w:r>
        <w:t>In Sarkopenie-Risikogruppe: Übergewicht OR 1,73 (95%-KI: 1,09–2,73), Untergewicht OR 1,44 (95%-KI: 1,07–1,95). Nicht-Sarkopenie-Gruppe: keine signifikante Assoziation.</w:t>
      </w:r>
    </w:p>
    <w:p>
      <w:r>
        <w:rPr>
          <w:b/>
          <w:sz w:val="19"/>
        </w:rPr>
        <w:t xml:space="preserve">Übertragbarkeit: </w:t>
      </w:r>
      <w:r>
        <w:rPr>
          <w:sz w:val="19"/>
        </w:rPr>
        <w:t>Japan, 80-Jährige; Frailty-Phenotyp mit praktischem Screening-Tool</w:t>
      </w:r>
    </w:p>
    <w:p>
      <w:r>
        <w:rPr>
          <w:color w:val="5A7D3A"/>
          <w:sz w:val="18"/>
        </w:rPr>
        <w:t>https://pubmed.ncbi.nlm.nih.gov/42739007/</w:t>
      </w:r>
    </w:p>
    <w:p>
      <w:pPr>
        <w:pStyle w:val="Heading2"/>
      </w:pPr>
      <w:r>
        <w:t>Funktionales Gehirnalter erfasst Heterogenität in Schizophrenien besser als strukturelle Parameter</w:t>
      </w:r>
    </w:p>
    <w:p>
      <w:r>
        <w:rPr>
          <w:i/>
          <w:color w:val="666666"/>
          <w:sz w:val="18"/>
        </w:rPr>
        <w:t>Volkmer S et al.  ·  Transl Psychiatry  ·  04.09.2026  ·  PMID 42697895</w:t>
      </w:r>
    </w:p>
    <w:p>
      <w:r>
        <w:t>Validierungsstudie untersuchte resting-state funktionales Gehirnalter (brain-age gap, BAG) bei Schizophreniespektrum-Störungen in vier Kohorten; innerhalb SSD assoziiert jüngeres Gehirnalter mit schlechterer Kognition.</w:t>
      </w:r>
    </w:p>
    <w:p>
      <w:r>
        <w:rPr>
          <w:b/>
        </w:rPr>
        <w:t xml:space="preserve">Ergebnis: </w:t>
      </w:r>
      <w:r>
        <w:t>SSD zeigte group-level BAG-Elevation 0,4–0,6. Innerhalb SSD: jüngeres Gehirnalter korreliert mit niedrigerer Kognition, längerer Krankheitsdauer, höheren neurologischen soft signs (NSS). Über 12–24 Wochen: BAG-Zunahme mit NSS-Motor-Reduktion assoziiert.</w:t>
      </w:r>
    </w:p>
    <w:p>
      <w:r>
        <w:rPr>
          <w:b/>
          <w:sz w:val="19"/>
        </w:rPr>
        <w:t xml:space="preserve">Übertragbarkeit: </w:t>
      </w:r>
      <w:r>
        <w:rPr>
          <w:sz w:val="19"/>
        </w:rPr>
        <w:t>Deutschland und Schweiz, multizentrisches Design; Biomarker vorhersagewert offen</w:t>
      </w:r>
    </w:p>
    <w:p>
      <w:r>
        <w:rPr>
          <w:color w:val="5A7D3A"/>
          <w:sz w:val="18"/>
        </w:rPr>
        <w:t>https://pubmed.ncbi.nlm.nih.gov/42697895/</w:t>
      </w:r>
    </w:p>
    <w:p>
      <w:pPr>
        <w:pStyle w:val="Heading2"/>
      </w:pPr>
      <w:r>
        <w:t>Wahrnehmung des Alterns bei Männern 2013–2023 stabil trotz Gesundheitsbewusstsein</w:t>
      </w:r>
    </w:p>
    <w:p>
      <w:r>
        <w:rPr>
          <w:i/>
          <w:color w:val="666666"/>
          <w:sz w:val="18"/>
        </w:rPr>
        <w:t>Bejda G et al.  ·  Adv Clin Exp Med  ·  Aug. 2026  ·  PMID 42543032</w:t>
      </w:r>
    </w:p>
    <w:p>
      <w:r>
        <w:t>Vergleichende Querschnittstudie an 2013 und 2023 hospitalisierten Männern aus Polen untersuchte Veränderungen in Alterswahrnehmung und Gesundheitsverhalten mittels standardisierter Instrumente.</w:t>
      </w:r>
    </w:p>
    <w:p>
      <w:r>
        <w:rPr>
          <w:b/>
        </w:rPr>
        <w:t xml:space="preserve">Ergebnis: </w:t>
      </w:r>
      <w:r>
        <w:t>80,5 % (2013) vs. 75,9 % (2023) mit psychischen Alterssymptomen. Sexuelle Dysfunktion 65,8 % vs. 63,3 %. Testosterone-Abnahme als Altersmerkmal erwartet. Hohe Selbstwirksamkeit in beiden Kohorten. Unzureichendes Alterswissen bleibt.</w:t>
      </w:r>
    </w:p>
    <w:p>
      <w:r>
        <w:rPr>
          <w:b/>
          <w:sz w:val="19"/>
        </w:rPr>
        <w:t xml:space="preserve">Übertragbarkeit: </w:t>
      </w:r>
      <w:r>
        <w:rPr>
          <w:sz w:val="19"/>
        </w:rPr>
        <w:t>Polen (Podlaskie), verwandter Sozialversicherungskontext</w:t>
      </w:r>
    </w:p>
    <w:p>
      <w:r>
        <w:rPr>
          <w:color w:val="5A7D3A"/>
          <w:sz w:val="18"/>
        </w:rPr>
        <w:t>https://pubmed.ncbi.nlm.nih.gov/42543032/</w:t>
      </w:r>
    </w:p>
    <w:p>
      <w:pPr>
        <w:pStyle w:val="Heading1"/>
      </w:pPr>
      <w:r>
        <w:t>Aufgenommen am 17.09.2026</w:t>
      </w:r>
    </w:p>
    <w:p>
      <w:pPr>
        <w:pStyle w:val="Heading2"/>
      </w:pPr>
      <w:r>
        <w:t>Frailty-Index (mFI-5) vorhersagekräftig für Komplikationen nach Amputation</w:t>
      </w:r>
    </w:p>
    <w:p>
      <w:r>
        <w:rPr>
          <w:i/>
          <w:color w:val="666666"/>
          <w:sz w:val="18"/>
        </w:rPr>
        <w:t>Ichikawa T et al.  ·  Eur J Orthop Surg Traumatol  ·  16.09.2026  ·  PMID 42747548</w:t>
      </w:r>
    </w:p>
    <w:p>
      <w:r>
        <w:t>USA-Traumakohorte (n=1.122, ≥18 Jahre, offene Unterschenkelbrüche mit Amputation; 2017–2021) zur Prognose von 30-Tage-Komplikationen via 5-Item Modified Frailty Index.</w:t>
      </w:r>
    </w:p>
    <w:p>
      <w:r>
        <w:rPr>
          <w:b/>
        </w:rPr>
        <w:t xml:space="preserve">Ergebnis: </w:t>
      </w:r>
      <w:r>
        <w:t>Pro Punkt mFI-5-Erhöhung: signifikant gestiegene Odds für Wundinfekt (OR 1,36), zerebrovaskuläres Ereignis (OR 2,93), Reintubation (OR 2,17), ICU-Aufnahme (OR 1,56) und Druckgeschwür (OR 1,68). mFI-5 unabhängiger Prädiktor nach Adjustierung für Alter, Geschlecht, ISS und andere Faktoren. Routinescreening empfohlen für Risikostratifizierung.</w:t>
      </w:r>
    </w:p>
    <w:p>
      <w:r>
        <w:rPr>
          <w:b/>
          <w:sz w:val="19"/>
        </w:rPr>
        <w:t xml:space="preserve">Übertragbarkeit: </w:t>
      </w:r>
      <w:r>
        <w:rPr>
          <w:sz w:val="19"/>
        </w:rPr>
        <w:t>USA-Traumasystem, aber Frailty-Assessment-Tool und Komplikationsdefinitionen international etabliert.</w:t>
      </w:r>
    </w:p>
    <w:p>
      <w:r>
        <w:rPr>
          <w:color w:val="5A7D3A"/>
          <w:sz w:val="18"/>
        </w:rPr>
        <w:t>https://pubmed.ncbi.nlm.nih.gov/42747548/</w:t>
      </w:r>
    </w:p>
    <w:p>
      <w:pPr>
        <w:pStyle w:val="Heading2"/>
      </w:pPr>
      <w:r>
        <w:t>Soziale Entfremdung bei kognitiver Gebrechlichkeit: Vier Subgruppen älterer Erwachsener</w:t>
      </w:r>
    </w:p>
    <w:p>
      <w:r>
        <w:rPr>
          <w:i/>
          <w:color w:val="666666"/>
          <w:sz w:val="18"/>
        </w:rPr>
        <w:t>Zhao S et al.  ·  Front Public Health  ·  01.09.2026  ·  PMID 42745907</w:t>
      </w:r>
    </w:p>
    <w:p>
      <w:r>
        <w:t>Chinesische Querschnittstudie (n=968, ≥60 Jahre, mit kognitiver Frailty) mittels latenter Profilanalyse zur Heterogenität sozialer Entfremdung.</w:t>
      </w:r>
    </w:p>
    <w:p>
      <w:r>
        <w:rPr>
          <w:b/>
        </w:rPr>
        <w:t xml:space="preserve">Ergebnis: </w:t>
      </w:r>
      <w:r>
        <w:t>Vier distinkte Profile identifiziert: „Soziale Anpassung</w:t>
      </w:r>
    </w:p>
    <w:p>
      <w:r>
        <w:rPr>
          <w:b/>
          <w:sz w:val="19"/>
        </w:rPr>
        <w:t xml:space="preserve">Übertragbarkeit: </w:t>
      </w:r>
      <w:r>
        <w:rPr>
          <w:sz w:val="19"/>
        </w:rPr>
        <w:t>China – andere Altersstruktur, aber relevante Versorgungsfrage zur kognitiven Frailty.</w:t>
      </w:r>
    </w:p>
    <w:p>
      <w:r>
        <w:rPr>
          <w:color w:val="5A7D3A"/>
          <w:sz w:val="18"/>
        </w:rPr>
        <w:t>https://pubmed.ncbi.nlm.nih.gov/42745907/</w:t>
      </w:r>
    </w:p>
    <w:p>
      <w:pPr>
        <w:pStyle w:val="Heading2"/>
      </w:pPr>
      <w:r>
        <w:t>Freiwillige Krankenversicherung senkt Frailty-Onset bei europäischen Älteren</w:t>
      </w:r>
    </w:p>
    <w:p>
      <w:r>
        <w:rPr>
          <w:i/>
          <w:color w:val="666666"/>
          <w:sz w:val="18"/>
        </w:rPr>
        <w:t>Sorrentino M et al.  ·  Front Public Health  ·  01.09.2026  ·  PMID 42745813</w:t>
      </w:r>
    </w:p>
    <w:p>
      <w:r>
        <w:t>Europäische Längsschnittstudie (SHARE 2013–2022, n=191.848, ≥50 Jahre) zur Assoziation zwischen freiwilliger Zusatzversicherung (VHI) und Frailty-Progression.</w:t>
      </w:r>
    </w:p>
    <w:p>
      <w:r>
        <w:rPr>
          <w:b/>
        </w:rPr>
        <w:t xml:space="preserve">Ergebnis: </w:t>
      </w:r>
      <w:r>
        <w:t>VHI mit niedrigeren Frailty-Scores assoziiert (Koeff. −0,056; 95%-KI −0,071 bis −0,041), stärkster Effekt in niedrigstem Einkommensquartil. Reduziertes Frailty-Onset-Risiko unter VHI (HR 0,862; 95%-KI 0,763–0,973), besonders in Spanien (HR 0,626). Allerdings: VHI könnte als Out-of-Pocket-Ausgabe Ungleichheiten verstärken.</w:t>
      </w:r>
    </w:p>
    <w:p>
      <w:r>
        <w:rPr>
          <w:b/>
          <w:sz w:val="19"/>
        </w:rPr>
        <w:t xml:space="preserve">Übertragbarkeit: </w:t>
      </w:r>
      <w:r>
        <w:rPr>
          <w:sz w:val="19"/>
        </w:rPr>
        <w:t>Europäische SHARE-Daten, vergleichbare Sozialsysteme, direkt auf deutsche Sozialversicherung übertragbar.</w:t>
      </w:r>
    </w:p>
    <w:p>
      <w:r>
        <w:rPr>
          <w:color w:val="5A7D3A"/>
          <w:sz w:val="18"/>
        </w:rPr>
        <w:t>https://pubmed.ncbi.nlm.nih.gov/42745813/</w:t>
      </w:r>
    </w:p>
    <w:p>
      <w:pPr>
        <w:pStyle w:val="Heading2"/>
      </w:pPr>
      <w:r>
        <w:t>Determinanten der Lebenserwartung in der EU: Präventive Mortalität geht über Wohlstand hinaus</w:t>
      </w:r>
    </w:p>
    <w:p>
      <w:r>
        <w:rPr>
          <w:i/>
          <w:color w:val="666666"/>
          <w:sz w:val="18"/>
        </w:rPr>
        <w:t>Antohi VM et al.  ·  Inquiry  ·  16.09.2026  ·  PMID 42745694</w:t>
      </w:r>
    </w:p>
    <w:p>
      <w:r>
        <w:t>Panel-Regressionsanalyse (6 EU-Länder: Rumänien, Bulgarien, Lettland, Deutschland, Italien, Spanien; 2011–2021) zu Effekten wirtschaftlicher, demografischer und Mortalitätsfaktoren auf Lebenserwartung.</w:t>
      </w:r>
    </w:p>
    <w:p>
      <w:r>
        <w:rPr>
          <w:b/>
        </w:rPr>
        <w:t xml:space="preserve">Ergebnis: </w:t>
      </w:r>
      <w:r>
        <w:t>CO₂-Emissionen und Bevölkerungswachstum senken Lebenserwartung (LE) signifikant. BIP pro Kopf, Gesundheitsausgaben, Bildung, Rechtsstaatlichkeit und Regierungseffektivität heben LE – aber nach Kontrolle für Mortalitätsindikatoren sinkt BIP-Effekt. Krude Mortalitätslast und Lebensjahre verloren durch Unfälle zeigen stärkste Assoziationen mit LE. Schlussfolgerung: Nachhaltige LE-Gewinne hängen weniger an Wachstum, mehr an Prävention.</w:t>
      </w:r>
    </w:p>
    <w:p>
      <w:r>
        <w:rPr>
          <w:b/>
          <w:sz w:val="19"/>
        </w:rPr>
        <w:t xml:space="preserve">Übertragbarkeit: </w:t>
      </w:r>
      <w:r>
        <w:rPr>
          <w:sz w:val="19"/>
        </w:rPr>
        <w:t>Deutschland, Italien, Spanien im Sample; europäische Sozialsysteme, direkt vergleichbar.</w:t>
      </w:r>
    </w:p>
    <w:p>
      <w:r>
        <w:rPr>
          <w:color w:val="5A7D3A"/>
          <w:sz w:val="18"/>
        </w:rPr>
        <w:t>https://pubmed.ncbi.nlm.nih.gov/42745694/</w:t>
      </w:r>
    </w:p>
    <w:p>
      <w:pPr>
        <w:pStyle w:val="Heading2"/>
      </w:pPr>
      <w:r>
        <w:t>Körperliche Aktivität puffert alternsbedingte Hippocampus-Veränderungen ab</w:t>
      </w:r>
    </w:p>
    <w:p>
      <w:r>
        <w:rPr>
          <w:i/>
          <w:color w:val="666666"/>
          <w:sz w:val="18"/>
        </w:rPr>
        <w:t>Montero-Herrera B et al.  ·  Hippocampus  ·  Sept. 2026  ·  PMID 42740373</w:t>
      </w:r>
    </w:p>
    <w:p>
      <w:r>
        <w:t>Querschnittsstudie (n=555, 36–90 Jahre, Human Connectome Project-Aging) zur Assoziation von moderater bis vigoroster Aktivität mit Hippocampus-Struktur (Dicke, Oberfläche, mikrostrukturelle T1w/T2w-Ratio).</w:t>
      </w:r>
    </w:p>
    <w:p>
      <w:r>
        <w:rPr>
          <w:b/>
        </w:rPr>
        <w:t xml:space="preserve">Ergebnis: </w:t>
      </w:r>
      <w:r>
        <w:t>Bei niedriger Aktivität (&lt;150 Min/Wo): Alter assoziiert mit diffusen Unterschieden in Hippocampus-Makro- und Mikrostruktur (niedrigere Dicke/Oberfläche, höhere T1w/T2w-Ratio). Moderate bis hohe Aktivität (≥150 Min/Wo) moderiert diese Alterseffekte in linkem Hippocampus signifikant; signifikante Unterschiede in Oberfläche und Ratio bei aktiveren Älteren. Befund deutet auf erhaltene plastische Kapazität hin.</w:t>
      </w:r>
    </w:p>
    <w:p>
      <w:r>
        <w:rPr>
          <w:b/>
          <w:sz w:val="19"/>
        </w:rPr>
        <w:t xml:space="preserve">Übertragbarkeit: </w:t>
      </w:r>
      <w:r>
        <w:rPr>
          <w:sz w:val="19"/>
        </w:rPr>
        <w:t>USA – Neuroimaging-Methodik unabhängig von System; Aktivitätsempfehlung universal anwendbar.</w:t>
      </w:r>
    </w:p>
    <w:p>
      <w:r>
        <w:rPr>
          <w:color w:val="5A7D3A"/>
          <w:sz w:val="18"/>
        </w:rPr>
        <w:t>https://pubmed.ncbi.nlm.nih.gov/42740373/</w:t>
      </w:r>
    </w:p>
    <w:p>
      <w:pPr>
        <w:pStyle w:val="Heading2"/>
      </w:pPr>
      <w:r>
        <w:t>Moralische Verantwortung im Alter: Klimahandeln unter Alltagsbedingungen</w:t>
      </w:r>
    </w:p>
    <w:p>
      <w:r>
        <w:rPr>
          <w:i/>
          <w:color w:val="666666"/>
          <w:sz w:val="18"/>
        </w:rPr>
        <w:t>Grand J  ·  J Aging Stud  ·  29.06.2026  ·  PMID 42705825</w:t>
      </w:r>
    </w:p>
    <w:p>
      <w:r>
        <w:t>Qualitative Studie (Interviews, Fokusgruppen) mit Schweizer Älteren (65–83 Jahre) zu deren Verständnis und Umsetzung von Verantwortung für Klimaschutz im Alltag.</w:t>
      </w:r>
    </w:p>
    <w:p>
      <w:r>
        <w:rPr>
          <w:b/>
        </w:rPr>
        <w:t xml:space="preserve">Ergebnis: </w:t>
      </w:r>
      <w:r>
        <w:t>Ältere Erwachsene verhandeln Klimaverantwortung pragmatisch im Spannungsfeld zwischen persönlicher Handlungsfähigkeit und körperlichen Grenzen des Alterns. Zeitliche Beschränkung und Mobilitätseinbußen prägen Deutung und Umfang ihres Engagements; Fokus liegt auf Haushalt und Familie statt großflächiger Aktivismus. Kernbefund: Spätes Leben restrukturiert, realisiert aber nicht negiert Umweltverantwortung.</w:t>
      </w:r>
    </w:p>
    <w:p>
      <w:r>
        <w:rPr>
          <w:b/>
          <w:sz w:val="19"/>
        </w:rPr>
        <w:t xml:space="preserve">Übertragbarkeit: </w:t>
      </w:r>
      <w:r>
        <w:rPr>
          <w:sz w:val="19"/>
        </w:rPr>
        <w:t>Schweiz, deutschsprachig, Sozialkontext vergleichbar; Erkenntnisse zu älteren Bürgern in Transformationen.</w:t>
      </w:r>
    </w:p>
    <w:p>
      <w:r>
        <w:rPr>
          <w:color w:val="5A7D3A"/>
          <w:sz w:val="18"/>
        </w:rPr>
        <w:t>https://pubmed.ncbi.nlm.nih.gov/42705825/</w:t>
      </w:r>
    </w:p>
    <w:p>
      <w:pPr>
        <w:pStyle w:val="Heading1"/>
      </w:pPr>
      <w:r>
        <w:t>Aufgenommen am 16.09.2026</w:t>
      </w:r>
    </w:p>
    <w:p>
      <w:pPr>
        <w:pStyle w:val="Heading2"/>
      </w:pPr>
      <w:r>
        <w:t>Orale Gebrechlichkeit beeinträchtigt Alltagsfähigkeit durch schlechte Ernährung – Ernährungsstatus vermittelt</w:t>
      </w:r>
    </w:p>
    <w:p>
      <w:r>
        <w:rPr>
          <w:i/>
          <w:color w:val="666666"/>
          <w:sz w:val="18"/>
        </w:rPr>
        <w:t>Jiang W et al.  ·  Front Public Health  ·  31.08.2026  ·  PMID 42741152</w:t>
      </w:r>
    </w:p>
    <w:p>
      <w:r>
        <w:t>Querschnittsstudie mit 401 älteren Chengdu-Bewohnern (≥60 Jahre): untersuchte, ob orale Frailty (Zahnprobleme, Kaustörungen) die Alltagsfunktion beeinträchtigt und ob Malnutritionsrisiko diesen Zusammenhang mediert.</w:t>
      </w:r>
    </w:p>
    <w:p>
      <w:r>
        <w:rPr>
          <w:b/>
        </w:rPr>
        <w:t xml:space="preserve">Ergebnis: </w:t>
      </w:r>
      <w:r>
        <w:t>Orale Frailty korrelierte mit schlecherer Ernährung (B=–0,116; p=0,001) und niedriger ADL-Fähigkeit (Barthel-Index). Der direkte Assoziationseffekt blieb signifikant (B=–2,261; p=0,012), die indirekte Assoziation über Ernährung war klein aber signifikant (indirekt=–0,363; 95%-Bootstrap: –0,798 bis –0,044). Orale Frailty liegt bei 40,9 % vor, Malnutritionsrisiko bei 12,0 %.</w:t>
      </w:r>
    </w:p>
    <w:p>
      <w:r>
        <w:rPr>
          <w:b/>
          <w:sz w:val="19"/>
        </w:rPr>
        <w:t xml:space="preserve">Übertragbarkeit: </w:t>
      </w:r>
      <w:r>
        <w:rPr>
          <w:sz w:val="19"/>
        </w:rPr>
        <w:t>Chinesische Primärversorgung, Instrument ORALFRAIL übertragbar, Modell validierungsbedürftig für Deutschland</w:t>
      </w:r>
    </w:p>
    <w:p>
      <w:r>
        <w:rPr>
          <w:color w:val="5A7D3A"/>
          <w:sz w:val="18"/>
        </w:rPr>
        <w:t>https://pubmed.ncbi.nlm.nih.gov/42741152/</w:t>
      </w:r>
    </w:p>
    <w:p>
      <w:pPr>
        <w:pStyle w:val="Heading2"/>
      </w:pPr>
      <w:r>
        <w:t>Kurzzeitliches Prehab-Training steigert präoperative Funktionsfähigkeit fragiler Prostatapatienten</w:t>
      </w:r>
    </w:p>
    <w:p>
      <w:r>
        <w:rPr>
          <w:i/>
          <w:color w:val="666666"/>
          <w:sz w:val="18"/>
        </w:rPr>
        <w:t>Wang Z et al.  ·  BMC Geriatr  ·  24.07.2026  ·  PMID 42736541</w:t>
      </w:r>
    </w:p>
    <w:p>
      <w:r>
        <w:t>Randomisierte, verblindete Studie mit 80 älteren Männern (≥60 Jahre) mit Prostatakarzinom in prefrail/frail Zustand; geprüft, ob 12-tägiges Home-Prehabilitation (Bewegung, Ernährung, psychische Unterstützung) vor geplanter Prostatektomie die perioperative funktionelle Leistung verbessert.</w:t>
      </w:r>
    </w:p>
    <w:p>
      <w:r>
        <w:rPr>
          <w:b/>
        </w:rPr>
        <w:t xml:space="preserve">Ergebnis: </w:t>
      </w:r>
      <w:r>
        <w:t>Prehab-Gruppe verbesserte 6-Minuten-Gehstrecke um 27,70±16,86 m vor OP, Kontrollgruppe nur um –3,12±3,62 m; Differenz 30,82 m (95%-KI 25,32–36,33; p&lt;0,001). Postoperativ schnellere Mobilisierung, schnellere Magen-Darm-Erholung, kürzere Krankenhausliegedauer. Keine interventionsbezogenen Nebenereignisse.</w:t>
      </w:r>
    </w:p>
    <w:p>
      <w:r>
        <w:rPr>
          <w:b/>
          <w:sz w:val="19"/>
        </w:rPr>
        <w:t xml:space="preserve">Übertragbarkeit: </w:t>
      </w:r>
      <w:r>
        <w:rPr>
          <w:sz w:val="19"/>
        </w:rPr>
        <w:t>Chinesische Klinikdaten, geriatrisches Prähabilitationskonzept übertragbar auf Deutschland</w:t>
      </w:r>
    </w:p>
    <w:p>
      <w:r>
        <w:rPr>
          <w:color w:val="5A7D3A"/>
          <w:sz w:val="18"/>
        </w:rPr>
        <w:t>https://pubmed.ncbi.nlm.nih.gov/42736541/</w:t>
      </w:r>
    </w:p>
    <w:p>
      <w:pPr>
        <w:pStyle w:val="Heading2"/>
      </w:pPr>
      <w:r>
        <w:t>Automatisierter Frailty-Index aus Labortests (FI-Lab) validiert akutes Mortalitätsrisiko</w:t>
      </w:r>
    </w:p>
    <w:p>
      <w:r>
        <w:rPr>
          <w:i/>
          <w:color w:val="666666"/>
          <w:sz w:val="18"/>
        </w:rPr>
        <w:t>Logan Ellis H et al.  ·  PLoS Med  ·  01.09.2026  ·  PMID 42678992</w:t>
      </w:r>
    </w:p>
    <w:p>
      <w:r>
        <w:t>Retrospektive multizentrische Studie an drei Kohorten (Boston, London, UK Biobank; insgesamt 872.744 Patienten), die einen aus 20-40 Standardlabortests berechneten automatisierten Frailty-Index zur Vorhersage der 1-Jahres-Mortalität in der Notaufnahme und klinischen Routine erprobte.</w:t>
      </w:r>
    </w:p>
    <w:p>
      <w:r>
        <w:rPr>
          <w:b/>
        </w:rPr>
        <w:t xml:space="preserve">Ergebnis: </w:t>
      </w:r>
      <w:r>
        <w:t>Der FI-Lab zeigte Hazard Ratios für 1-Jahres-Mortalität von 2,04 (95%-KI [1,99–2,09]) in MIMIC-IV-ED, 2,55 (95%-KI [2,42–2,69]) in King's College Hospital und 1,87 (95%-KI [1,80–1,94]) in UK Biobank pro Standardabweichung Anstieg – und übertraf damit den National Early Warning Score 2. Die Unterscheidungsfähigkeit stabilisierte sich bei 20–40 Tests. Ein pragmatisches, ohne zusätzliche Messungen anwendbares Instrument.</w:t>
      </w:r>
    </w:p>
    <w:p>
      <w:r>
        <w:rPr>
          <w:b/>
          <w:sz w:val="19"/>
        </w:rPr>
        <w:t xml:space="preserve">Übertragbarkeit: </w:t>
      </w:r>
      <w:r>
        <w:rPr>
          <w:sz w:val="19"/>
        </w:rPr>
        <w:t>UK-Klinikdaten, Notaufnahme-Dokumentation übertragbar auf deutsche Krankenhaussysteme</w:t>
      </w:r>
    </w:p>
    <w:p>
      <w:r>
        <w:rPr>
          <w:color w:val="5A7D3A"/>
          <w:sz w:val="18"/>
        </w:rPr>
        <w:t>https://pubmed.ncbi.nlm.nih.gov/42678992/</w:t>
      </w:r>
    </w:p>
    <w:p>
      <w:pPr>
        <w:pStyle w:val="Heading2"/>
      </w:pPr>
      <w:r>
        <w:t>Intrinsic Capacity senkt kardiovaskuläres Risiko durch multidimensionale Funktionsmessung</w:t>
      </w:r>
    </w:p>
    <w:p>
      <w:r>
        <w:rPr>
          <w:i/>
          <w:color w:val="666666"/>
          <w:sz w:val="18"/>
        </w:rPr>
        <w:t>Zhang Z et al.  ·  Maturitas  ·  15.08.2026  ·  PMID 42612584</w:t>
      </w:r>
    </w:p>
    <w:p>
      <w:r>
        <w:t>Gepoolte Analyse dreier Langzeitkohorten (China, England, USA; 13.807 Probanden) untersuchte, ob Beeinträchtigungen in Intrinsic Capacity (Kognition, Mobilität, Vitalität, psychische Funktion, Sinnesfunktion) unabhängig und gemeinsam mit Hypertonie das Herzinfarkt- und Schlaganfallrisiko vorhersagen.</w:t>
      </w:r>
    </w:p>
    <w:p>
      <w:r>
        <w:rPr>
          <w:b/>
        </w:rPr>
        <w:t xml:space="preserve">Ergebnis: </w:t>
      </w:r>
      <w:r>
        <w:t>Gegenüber intakter Kapazität und normalen Blutdruckwerten zeigten beeinträchtigte IC (HR 1,53; 95%-KI 1,34–1,74), Hypertonie allein (HR 1,68; 95%-KI 1,46–1,93) und beide kombiniert (HR 2,29; 95%-KI 2,02–2,59) erhöhte kardiovaskuläre Ereignisrisiken. Das Modell mit IC-Messung erhöhte die C-Index-Diskriminierung von 0,619 auf 0,649. Progressive Risikozunahme mit jeder zusätzlich beeinträchtigten IC-Domäne.</w:t>
      </w:r>
    </w:p>
    <w:p>
      <w:r>
        <w:rPr>
          <w:b/>
          <w:sz w:val="19"/>
        </w:rPr>
        <w:t xml:space="preserve">Übertragbarkeit: </w:t>
      </w:r>
      <w:r>
        <w:rPr>
          <w:sz w:val="19"/>
        </w:rPr>
        <w:t>Drei Kohorten auf vier Kontinenten, vergleichbare Outcomemessung, Übertragbarkeit hoch</w:t>
      </w:r>
    </w:p>
    <w:p>
      <w:r>
        <w:rPr>
          <w:color w:val="5A7D3A"/>
          <w:sz w:val="18"/>
        </w:rPr>
        <w:t>https://pubmed.ncbi.nlm.nih.gov/42612584/</w:t>
      </w:r>
    </w:p>
    <w:p>
      <w:pPr>
        <w:pStyle w:val="Heading2"/>
      </w:pPr>
      <w:r>
        <w:t>Multidomain-Rehabilitation nach Herzinfarkt wirkt auch bei Frailty – Frailty sollte nicht abschrecken</w:t>
      </w:r>
    </w:p>
    <w:p>
      <w:r>
        <w:rPr>
          <w:i/>
          <w:color w:val="666666"/>
          <w:sz w:val="18"/>
        </w:rPr>
        <w:t>Dal Passo B et al.  ·  Circ Popul Health Outcomes  ·  17.08.2026  ·  PMID 42605666</w:t>
      </w:r>
    </w:p>
    <w:p>
      <w:r>
        <w:t>Prespecified-Subgruppen-Analyse der italienischen PIpELINe-RCT mit 512 Patienten ≥65 Jahren nach Myokardinfarkt; getestet, ob Gebrechlichkeit (Fried-Phänotyp) den Nutzen von multidomäner Rehabilitation (Bewegung, Ernährung, Psyche, Beckenbodentraining) mindert.</w:t>
      </w:r>
    </w:p>
    <w:p>
      <w:r>
        <w:rPr>
          <w:b/>
        </w:rPr>
        <w:t xml:space="preserve">Ergebnis: </w:t>
      </w:r>
      <w:r>
        <w:t>68,4 % (350 von 512) waren prefrail/frail; davon profitierten die 232 der Interventionsgruppe signifikant mit 43 % relativem Risikoreduktion (HR 0,57; 95%-KI 0,34–0,94; p=0,028) für die primäre Endpunkte (kardiovaskulärer Tod oder ungeplante Hospitalisierung). Kein signifikanter Interaktionseffekt: Frailty mindert den Rehabilitations-Nutzen nicht.</w:t>
      </w:r>
    </w:p>
    <w:p>
      <w:r>
        <w:rPr>
          <w:b/>
          <w:sz w:val="19"/>
        </w:rPr>
        <w:t xml:space="preserve">Übertragbarkeit: </w:t>
      </w:r>
      <w:r>
        <w:rPr>
          <w:sz w:val="19"/>
        </w:rPr>
        <w:t>Multizentrische italienische RCT, europäisches Setting, direkt auf deutsches Gesundheitswesen übertragbar</w:t>
      </w:r>
    </w:p>
    <w:p>
      <w:r>
        <w:rPr>
          <w:color w:val="5A7D3A"/>
          <w:sz w:val="18"/>
        </w:rPr>
        <w:t>https://pubmed.ncbi.nlm.nih.gov/42605666/</w:t>
      </w:r>
    </w:p>
    <w:p>
      <w:pPr>
        <w:pStyle w:val="Heading2"/>
      </w:pPr>
      <w:r>
        <w:t>Gebrechlichkeit steigert Demenzrisiko durch Entzündung, Stoffwechsel und vorzeigte Hirnalterung</w:t>
      </w:r>
    </w:p>
    <w:p>
      <w:r>
        <w:rPr>
          <w:i/>
          <w:color w:val="666666"/>
          <w:sz w:val="18"/>
        </w:rPr>
        <w:t>Chen W et al.  ·  J Nutr Health Aging  ·  10.07.2026  ·  PMID 42430904</w:t>
      </w:r>
    </w:p>
    <w:p>
      <w:r>
        <w:t>Kohortenstudie mit 452.516 UK-Biobank-Probanden ohne Demenz-Baseline, Verfolgung 13,7 Jahre: untersucht, ob der Fried-Frailty-Phänotyp das Demenzrisiko steigert und welche Pfade (Entzündung, Stoffwechsel, Hirn-Age-Gap) diese Assoziation vermitteln.</w:t>
      </w:r>
    </w:p>
    <w:p>
      <w:r>
        <w:rPr>
          <w:b/>
        </w:rPr>
        <w:t xml:space="preserve">Ergebnis: </w:t>
      </w:r>
      <w:r>
        <w:t>7.777 Demenzneuerkrankungen; Frailty erhöhte Risiko mit HR 2,21 (95%-KI 2,02–2,42). Mediation: Entzündungs-Score vermittelte 4 %, Stoffwechsel-Score 13 %, beschleunigtes Hirn-Alter (brain-age-gap) 20 % der Frailty-Demenz-Assoziation. Genetische Interaktion nachgewiesen (p=0,033).</w:t>
      </w:r>
    </w:p>
    <w:p>
      <w:r>
        <w:rPr>
          <w:b/>
          <w:sz w:val="19"/>
        </w:rPr>
        <w:t xml:space="preserve">Übertragbarkeit: </w:t>
      </w:r>
      <w:r>
        <w:rPr>
          <w:sz w:val="19"/>
        </w:rPr>
        <w:t>UK Biobank, Bildgebung, Biomarker, Konzept der Frailty-Prävention gegen Demenz auf deutsches Gesundheitswesen übertragbar</w:t>
      </w:r>
    </w:p>
    <w:p>
      <w:r>
        <w:rPr>
          <w:color w:val="5A7D3A"/>
          <w:sz w:val="18"/>
        </w:rPr>
        <w:t>https://pubmed.ncbi.nlm.nih.gov/42430904/</w:t>
      </w:r>
    </w:p>
    <w:p>
      <w:pPr>
        <w:pStyle w:val="Heading2"/>
      </w:pPr>
      <w:r>
        <w:t>Operative Belastung beschleunigt biologisches Altern, körperliche Aktivität puffert Effekt</w:t>
      </w:r>
    </w:p>
    <w:p>
      <w:r>
        <w:rPr>
          <w:i/>
          <w:color w:val="666666"/>
          <w:sz w:val="18"/>
        </w:rPr>
        <w:t>Wang X et al.  ·  J Nutr Health Aging  ·  09.07.2026  ·  PMID 42424841</w:t>
      </w:r>
    </w:p>
    <w:p>
      <w:r>
        <w:t>Querschnittanalyse von 126.668 UK-Biobank-Probanden ≥60 Jahren mit Operationsgeschichte: geprüft, ob Anzahl, Häufigkeit und zeitliche Nähe von Operationen das biologische Alter (PhenoAge-Acceleration) steigern und ob sportliche Aktivität diesen Effekt abschwächt.</w:t>
      </w:r>
    </w:p>
    <w:p>
      <w:r>
        <w:rPr>
          <w:b/>
        </w:rPr>
        <w:t xml:space="preserve">Ergebnis: </w:t>
      </w:r>
      <w:r>
        <w:t>≥4 Operationen assoziiert mit 0,14–0,39 Jahren PhenoAge-Acceleration. Operationen im Abstand ≤1 Jahr: +0,11 Jahre Beschleunigung. Operation ≤1 Jahr zurück: +0,35 Jahre Beschleunigung. Hohe körperliche Aktivität (≥600 MET-min/Woche) minderte diese Effekte deutlich; nur bei ≥5 Operationen blieb Beschleunigung signifikant.</w:t>
      </w:r>
    </w:p>
    <w:p>
      <w:r>
        <w:rPr>
          <w:b/>
          <w:sz w:val="19"/>
        </w:rPr>
        <w:t xml:space="preserve">Übertragbarkeit: </w:t>
      </w:r>
      <w:r>
        <w:rPr>
          <w:sz w:val="19"/>
        </w:rPr>
        <w:t>UK Biobank, Operationsdaten und PhenoAge-Biomarker verfügbar, Aktivitätsbewertung übertragbar</w:t>
      </w:r>
    </w:p>
    <w:p>
      <w:r>
        <w:rPr>
          <w:color w:val="5A7D3A"/>
          <w:sz w:val="18"/>
        </w:rPr>
        <w:t>https://pubmed.ncbi.nlm.nih.gov/42424841/</w:t>
      </w:r>
    </w:p>
    <w:p>
      <w:pPr>
        <w:pStyle w:val="Heading1"/>
      </w:pPr>
      <w:r>
        <w:t>Aufgenommen am 15.09.2026</w:t>
      </w:r>
    </w:p>
    <w:p>
      <w:pPr>
        <w:pStyle w:val="Heading2"/>
      </w:pPr>
      <w:r>
        <w:t>Loneliness und Benzodiazepine: Assoziationen bei älteren Kanadiern</w:t>
      </w:r>
    </w:p>
    <w:p>
      <w:r>
        <w:rPr>
          <w:i/>
          <w:color w:val="666666"/>
          <w:sz w:val="18"/>
        </w:rPr>
        <w:t>Watt JA et al.  ·  Age Ageing  ·  04.09.2026  ·  PMID 42735388</w:t>
      </w:r>
    </w:p>
    <w:p>
      <w:r>
        <w:t>Querschnittsstudie mit prospektiver Kohortennachbeobachtung (kanadische Longitudinal Study on Aging) zum Zusammenhang zwischen Einsamkeit und neuem Medikamentengebrauch (Benzodiazepine, Opioide).</w:t>
      </w:r>
    </w:p>
    <w:p>
      <w:r>
        <w:rPr>
          <w:b/>
        </w:rPr>
        <w:t xml:space="preserve">Ergebnis: </w:t>
      </w:r>
      <w:r>
        <w:t>Von 29.976 Teilnehmern waren 10,8% einsam. Einsame Teilnehmer hatten höhere Quote neuer Benzodiazepinnutzung (aOR 1,94, 95%-KI 1,47–2,57) und Opioidnutzung (aOR 1,43, 95%-KI 1,05–1,93) als nicht einsame. Einsamkeit blieb mit Benzodiazepinen assoziiert nach Adjustierung für Stimmungs- und Angststörungen. Multimodale Interventionen gegen Einsamkeit könnten Deprescribing unterstützen.</w:t>
      </w:r>
    </w:p>
    <w:p>
      <w:r>
        <w:rPr>
          <w:b/>
          <w:sz w:val="19"/>
        </w:rPr>
        <w:t xml:space="preserve">Übertragbarkeit: </w:t>
      </w:r>
      <w:r>
        <w:rPr>
          <w:sz w:val="19"/>
        </w:rPr>
        <w:t>Kanada, vergleichbares Sozialversicherungssystem, hohe Relevanz für deutsche Versorgung</w:t>
      </w:r>
    </w:p>
    <w:p>
      <w:r>
        <w:rPr>
          <w:color w:val="5A7D3A"/>
          <w:sz w:val="18"/>
        </w:rPr>
        <w:t>https://pubmed.ncbi.nlm.nih.gov/42735388/</w:t>
      </w:r>
    </w:p>
    <w:p>
      <w:pPr>
        <w:pStyle w:val="Heading2"/>
      </w:pPr>
      <w:r>
        <w:t>Schweregrad der Frailty: Schwellen und minimale klinisch relevante Unterschiede</w:t>
      </w:r>
    </w:p>
    <w:p>
      <w:r>
        <w:rPr>
          <w:i/>
          <w:color w:val="666666"/>
          <w:sz w:val="18"/>
        </w:rPr>
        <w:t>Álvarez-Bustos A et al.  ·  Age Ageing  ·  04.09.2026  ·  PMID 42735387</w:t>
      </w:r>
    </w:p>
    <w:p>
      <w:r>
        <w:t>Prospektive Kohortenstudie (n=1.811, Alter ≥65 Jahre) zur Validation der Frailty Trait Scale (FTS) mit Outcomes Behinderung, Hospitalisierung und Mortalität.</w:t>
      </w:r>
    </w:p>
    <w:p>
      <w:r>
        <w:rPr>
          <w:b/>
        </w:rPr>
        <w:t xml:space="preserve">Ergebnis: </w:t>
      </w:r>
      <w:r>
        <w:t>Dosis-Wirkungs-Beziehung zwischen Frailty-Score und allen Outcomes mit unterschiedlichen Schwellen: Behinderungsrisiko ab 25/100 FTS, Hospitalisierung ab 40/100, Mortalität ab 50/100. Reductions in FTS-Scores ≥10,3 schützten vor Hospitalisierung (HR 0,74, 95%-KI 0,56–0,99) und ≥4,5 vor Mortalität (HR 0,65, 95%-KI 0,45–0,95). Tool überwindet Grenzen klassischer Assessment-Instrumente.</w:t>
      </w:r>
    </w:p>
    <w:p>
      <w:r>
        <w:rPr>
          <w:b/>
          <w:sz w:val="19"/>
        </w:rPr>
        <w:t xml:space="preserve">Übertragbarkeit: </w:t>
      </w:r>
      <w:r>
        <w:rPr>
          <w:sz w:val="19"/>
        </w:rPr>
        <w:t>Spanien, vergleichbares europäisches Sozialversicherungssystem und Altersstruktur</w:t>
      </w:r>
    </w:p>
    <w:p>
      <w:r>
        <w:rPr>
          <w:color w:val="5A7D3A"/>
          <w:sz w:val="18"/>
        </w:rPr>
        <w:t>https://pubmed.ncbi.nlm.nih.gov/42735387/</w:t>
      </w:r>
    </w:p>
    <w:p>
      <w:pPr>
        <w:pStyle w:val="Heading2"/>
      </w:pPr>
      <w:r>
        <w:t>Internet-Nutzung und kognitive Funktionsfähigkeit: Effekt bei älteren Erwachsenen während COVID-19</w:t>
      </w:r>
    </w:p>
    <w:p>
      <w:r>
        <w:rPr>
          <w:i/>
          <w:color w:val="666666"/>
          <w:sz w:val="18"/>
        </w:rPr>
        <w:t>Xu J et al.  ·  Arch Clin Neuropsychol  ·  09.09.2026  ·  PMID 42734926</w:t>
      </w:r>
    </w:p>
    <w:p>
      <w:r>
        <w:t>Längsschnittstudie (China Health and Retirement Longitudinal Study, n=3.346 Baseline-Offline-Nutzer, davon 1.699 neue Internet-Adopter) zu kognitiven und depressiven Veränderungen nach Internetadoption.</w:t>
      </w:r>
    </w:p>
    <w:p>
      <w:r>
        <w:rPr>
          <w:b/>
        </w:rPr>
        <w:t xml:space="preserve">Ergebnis: </w:t>
      </w:r>
      <w:r>
        <w:t>Neue Internet-Adoption war assoziiert mit stärkerer Zunahme der kognitiven Funktion (10-Punkt MMSE-Score β=0,28, 95%-KI 0,11–0,44, p&lt;0,001) gegenüber konstanter Nicht-Nutzung. Effekt blieb in Sensitivitätsanalysen stabil. Keine signifikante Assoziation mit depressiven Symptomveränderungen (β=-0,18, p=0,40). Digital inclusion relevant für kognitive Gesundheit älterer Erwachsener.</w:t>
      </w:r>
    </w:p>
    <w:p>
      <w:r>
        <w:rPr>
          <w:b/>
          <w:sz w:val="19"/>
        </w:rPr>
        <w:t xml:space="preserve">Übertragbarkeit: </w:t>
      </w:r>
      <w:r>
        <w:rPr>
          <w:sz w:val="19"/>
        </w:rPr>
        <w:t>China, andere Altersstruktur und Digitalisierungskontext; kognitiver Effekt kulturunabhängig wahrscheinlich</w:t>
      </w:r>
    </w:p>
    <w:p>
      <w:r>
        <w:rPr>
          <w:color w:val="5A7D3A"/>
          <w:sz w:val="18"/>
        </w:rPr>
        <w:t>https://pubmed.ncbi.nlm.nih.gov/42734926/</w:t>
      </w:r>
    </w:p>
    <w:p>
      <w:pPr>
        <w:pStyle w:val="Heading2"/>
      </w:pPr>
      <w:r>
        <w:t>Frailty-Konzept in der Patientenkommunikation: kreative Beteiligungsmethoden</w:t>
      </w:r>
    </w:p>
    <w:p>
      <w:r>
        <w:rPr>
          <w:i/>
          <w:color w:val="666666"/>
          <w:sz w:val="18"/>
        </w:rPr>
        <w:t>Lammons W et al.  ·  Health Expect  ·  Okt. 2026  ·  PMID 42734162</w:t>
      </w:r>
    </w:p>
    <w:p>
      <w:r>
        <w:t>Qualitative Studie mit 3 kreativen Public-Involvement-Workshops (Gedichte, Quilting, n=22) zur Exploration von Patientenperspektiven auf Gebrechlichkeit und Patientenkommunikation.</w:t>
      </w:r>
    </w:p>
    <w:p>
      <w:r>
        <w:rPr>
          <w:b/>
        </w:rPr>
        <w:t xml:space="preserve">Ergebnis: </w:t>
      </w:r>
      <w:r>
        <w:t>Partizipanten kritisierten Begriff 'Frailty' als stigmatisierend und ungenau; forderten personalisierte, erfahrungsorientierte Kommunikation. Themen: Schwierigkeiten mit Frailty-Begriff, Personalisierung in Patientengesprächsen, Zeitdruck im Gesundheitswesen. Kreative Methoden ermöglichten nicht-diskursiven Zugang zu kontroversen Konzepten, verbesserten Topic Guide und Datenanalyse der Forschung.</w:t>
      </w:r>
    </w:p>
    <w:p>
      <w:r>
        <w:rPr>
          <w:b/>
          <w:sz w:val="19"/>
        </w:rPr>
        <w:t xml:space="preserve">Übertragbarkeit: </w:t>
      </w:r>
      <w:r>
        <w:rPr>
          <w:sz w:val="19"/>
        </w:rPr>
        <w:t>Großbritannien, NHS-System; patientenzentrierte Versorgungsfragen gelten länderübergreifend</w:t>
      </w:r>
    </w:p>
    <w:p>
      <w:r>
        <w:rPr>
          <w:color w:val="5A7D3A"/>
          <w:sz w:val="18"/>
        </w:rPr>
        <w:t>https://pubmed.ncbi.nlm.nih.gov/42734162/</w:t>
      </w:r>
    </w:p>
    <w:p>
      <w:pPr>
        <w:pStyle w:val="Heading2"/>
      </w:pPr>
      <w:r>
        <w:t>Lebenserwartung USA 2024: Zuwächse nach Rückgang in Vorjahren</w:t>
      </w:r>
    </w:p>
    <w:p>
      <w:r>
        <w:rPr>
          <w:i/>
          <w:color w:val="666666"/>
          <w:sz w:val="18"/>
        </w:rPr>
        <w:t>Arias E et al.  ·  Natl Vital Stat Rep  ·  Aug. 2026  ·  PMID 42727234</w:t>
      </w:r>
    </w:p>
    <w:p>
      <w:r>
        <w:t>Amtliche amerikanische Sterbetafel basierend auf 2024-Mortalitätsdaten; Gesamtpopulation und stratifiziert nach Ethnie, Rasse und Geschlecht.</w:t>
      </w:r>
    </w:p>
    <w:p>
      <w:r>
        <w:rPr>
          <w:b/>
        </w:rPr>
        <w:t xml:space="preserve">Ergebnis: </w:t>
      </w:r>
      <w:r>
        <w:t>Gesamtlebenserwartung bei Geburt 79,0 Jahre (+0,6 vs. 2023). Männer +0,7 Jahre (75,8→76,5), Frauen +0,3 Jahre (81,1→81,4). Nach Ethnie: American Indian/Alaska Native +1,0 (70,1→71,1), Black +0,8 (74,0→74,8), Asian +0,6 (85,2→85,8), Hispanic +0,5 (81,3→81,8), White +0,5 (78,4→78,9). Fortsetzung des Wiederaufwärts-Trends nach COVID-19-Dip.</w:t>
      </w:r>
    </w:p>
    <w:p>
      <w:r>
        <w:rPr>
          <w:b/>
          <w:sz w:val="19"/>
        </w:rPr>
        <w:t xml:space="preserve">Übertragbarkeit: </w:t>
      </w:r>
      <w:r>
        <w:rPr>
          <w:sz w:val="19"/>
        </w:rPr>
        <w:t>USA, grundlegend andere Finanzierungsstruktur des Gesundheitswesens; Trend-Aussage transnational relevant</w:t>
      </w:r>
    </w:p>
    <w:p>
      <w:r>
        <w:rPr>
          <w:color w:val="5A7D3A"/>
          <w:sz w:val="18"/>
        </w:rPr>
        <w:t>https://pubmed.ncbi.nlm.nih.gov/42727234/</w:t>
      </w:r>
    </w:p>
    <w:p>
      <w:pPr>
        <w:pStyle w:val="Heading1"/>
      </w:pPr>
      <w:r>
        <w:t>Aufgenommen am 14.09.2026</w:t>
      </w:r>
    </w:p>
    <w:p>
      <w:pPr>
        <w:pStyle w:val="Heading2"/>
      </w:pPr>
      <w:r>
        <w:t>Umweltbelastung und Frailty bei älteren Menschen nach Trauma: WTC-Responder-Kohorte</w:t>
      </w:r>
    </w:p>
    <w:p>
      <w:r>
        <w:rPr>
          <w:i/>
          <w:color w:val="666666"/>
          <w:sz w:val="18"/>
        </w:rPr>
        <w:t>Krasnov H et al.  ·  Nat Commun  ·  11.09.2026  ·  PMID 42728266</w:t>
      </w:r>
    </w:p>
    <w:p>
      <w:r>
        <w:t>Analysierte in Längsschnittkohort (18.734 WTC-Responder) den Zusammenhang zwischen städtischen Umweltexpositionen (Feinstaub, Temperatur, Grünflächen) und Frailty sowie psychiatrischen Symptomen, adjustiert für Traumaexposition.</w:t>
      </w:r>
    </w:p>
    <w:p>
      <w:r>
        <w:rPr>
          <w:b/>
        </w:rPr>
        <w:t xml:space="preserve">Ergebnis: </w:t>
      </w:r>
      <w:r>
        <w:t>Ein Dezil-Anstieg der Gesamt-Expositionsmischung assoziiert mit erhöhter Frailty (0,56%; 95%-KI: 0,14%-0,98%) und Post-Traumatic-Stress-Disorder-Scores (0,31%; 95%-KI: 0,07%-0,55%); Effekte stärker bei Responders mit höherer WTC-Exposition. Deutet auf biologische Langzeitvulnerabilität nach Trauma und Toxinexposition hin.</w:t>
      </w:r>
    </w:p>
    <w:p>
      <w:r>
        <w:rPr>
          <w:b/>
          <w:sz w:val="19"/>
        </w:rPr>
        <w:t xml:space="preserve">Übertragbarkeit: </w:t>
      </w:r>
      <w:r>
        <w:rPr>
          <w:sz w:val="19"/>
        </w:rPr>
        <w:t>USA-Kohorte; Befunde zu Umwelteffekten auf Frailty übertragbar, aber langfristige Trauma-Exposition länderspezifisch</w:t>
      </w:r>
    </w:p>
    <w:p>
      <w:r>
        <w:rPr>
          <w:color w:val="5A7D3A"/>
          <w:sz w:val="18"/>
        </w:rPr>
        <w:t>https://pubmed.ncbi.nlm.nih.gov/42728266/</w:t>
      </w:r>
    </w:p>
    <w:p>
      <w:pPr>
        <w:pStyle w:val="Heading2"/>
      </w:pPr>
      <w:r>
        <w:t>Terpenoide und Seneszenz in Lungenkrebszellen: Versorgungsrelevanz begrenzt</w:t>
      </w:r>
    </w:p>
    <w:p>
      <w:r>
        <w:rPr>
          <w:i/>
          <w:color w:val="666666"/>
          <w:sz w:val="18"/>
        </w:rPr>
        <w:t>Niharika K et al.  ·  Daru  ·  11.09.2026  ·  PMID 42726380</w:t>
      </w:r>
    </w:p>
    <w:p>
      <w:r>
        <w:t>Übersichtsarbeit zu 46 Terpenoiden mit Effekten auf Autophagie und zelluläre Seneszenz in Lungenkrebszellen in vitro (ohne In-vivo-Studien oder klinische Endpunkte).</w:t>
      </w:r>
    </w:p>
    <w:p>
      <w:r>
        <w:rPr>
          <w:b/>
        </w:rPr>
        <w:t xml:space="preserve">Ergebnis: </w:t>
      </w:r>
      <w:r>
        <w:t>Terpenoide beeinflussen zentrale Signalweg-Knoten (AMPK, NF-κB, MAPK, PI3K/AKT/mTOR, ROS, p53); begrenzte klinische Translation durch schlechte Löslichkeit und Bioverfügbarkeit. Überblick ohne Angabe von Effektgrößen oder klinischen Ergebnissen - ausgeschlossen da keine gemessenen Endpunkte beim Menschen.</w:t>
      </w:r>
    </w:p>
    <w:p>
      <w:r>
        <w:rPr>
          <w:color w:val="5A7D3A"/>
          <w:sz w:val="18"/>
        </w:rPr>
        <w:t>https://pubmed.ncbi.nlm.nih.gov/42726380/</w:t>
      </w:r>
    </w:p>
    <w:p>
      <w:pPr>
        <w:pStyle w:val="Heading2"/>
      </w:pPr>
      <w:r>
        <w:t>Muskelkraft und Mortalität im Alter: Versorgungsepidemiologie und Prävention</w:t>
      </w:r>
    </w:p>
    <w:p>
      <w:r>
        <w:rPr>
          <w:i/>
          <w:color w:val="666666"/>
          <w:sz w:val="18"/>
        </w:rPr>
        <w:t>Puelles-Diaz A  ·  Front Public Health  ·  27.08.2026  ·  PMID 42724145</w:t>
      </w:r>
    </w:p>
    <w:p>
      <w:r>
        <w:t>Analysierte Evidenz zur Muskelgesundheit (Kraft, Masse, Funktion) als eigenständiges Versorgungsziel in der Altersmedizin und entwickelte einen Implementierungsrahmen für Primary-Care-Assessment und Resistenztraining.</w:t>
      </w:r>
    </w:p>
    <w:p>
      <w:r>
        <w:rPr>
          <w:b/>
        </w:rPr>
        <w:t xml:space="preserve">Ergebnis: </w:t>
      </w:r>
      <w:r>
        <w:t>Muskelkraft sagt Mortalität voraus, unabhängig von körperlicher Aktivität; Randomisierte Studien mit bis zu 36 Monaten Nachverfolgung zeigen größere Nutzen durch Widerstands- und multimodale Trainingsprogramme (speziell bei Personen mit funktioneller Beeinträchtigung). Identifizierte drei Versorgungslücken: begrenzte Assessment-Nutzung in der Primärversorgung, fragmentierte Prävention mit Unterbewertung von Resistenztraining, fehlende funktionale Kapazität in globalen NCD-Rahmen.</w:t>
      </w:r>
    </w:p>
    <w:p>
      <w:r>
        <w:rPr>
          <w:b/>
          <w:sz w:val="19"/>
        </w:rPr>
        <w:t xml:space="preserve">Übertragbarkeit: </w:t>
      </w:r>
      <w:r>
        <w:rPr>
          <w:sz w:val="19"/>
        </w:rPr>
        <w:t>Internationale Evidenz aus Japan, Europa, Nordamerika und Brasilien mit direktem deutschem Versorgungsbezug</w:t>
      </w:r>
    </w:p>
    <w:p>
      <w:r>
        <w:rPr>
          <w:color w:val="5A7D3A"/>
          <w:sz w:val="18"/>
        </w:rPr>
        <w:t>https://pubmed.ncbi.nlm.nih.gov/42724145/</w:t>
      </w:r>
    </w:p>
    <w:p>
      <w:pPr>
        <w:pStyle w:val="Heading2"/>
      </w:pPr>
      <w:r>
        <w:t>Transitions-Care-Programm in Australien: Effektivität und Kosten 2006-2024</w:t>
      </w:r>
    </w:p>
    <w:p>
      <w:r>
        <w:rPr>
          <w:i/>
          <w:color w:val="666666"/>
          <w:sz w:val="18"/>
        </w:rPr>
        <w:t>Reid N et al.  ·  Australas J Ageing  ·  Sept. 2026  ·  PMID 42712137</w:t>
      </w:r>
    </w:p>
    <w:p>
      <w:r>
        <w:t>Analysierte 18 Jahre öffentlicher Daten zum australischen Kurz-Rehabilitations-Programm nach Klinikaufenthalt (Demografie, Inanspruchnahme, Kosten, funktioneller Status mit Modified-Barthel-Index).</w:t>
      </w:r>
    </w:p>
    <w:p>
      <w:r>
        <w:rPr>
          <w:b/>
        </w:rPr>
        <w:t xml:space="preserve">Ergebnis: </w:t>
      </w:r>
      <w:r>
        <w:t>351.981 Klienten über Studienzeitraum; Fallzahlen pro anno +143% (2006-2007 bis 2016-2017), dann Rückgang auf 14.388 (2022-2023). Verweildauer +60% (48 auf 77 Tage), Durchschnittskosten pro Episode +261% (A$9.996 auf A$36.093), jedoch minimale Änderung in Ein- (69,7-72,1) oder Austritts-MBI (79,5-83). Weniger Menschen erhalten Zugang trotz wachsender Bevölkerung und steigender zugeteilter Plätze.</w:t>
      </w:r>
    </w:p>
    <w:p>
      <w:r>
        <w:rPr>
          <w:b/>
          <w:sz w:val="19"/>
        </w:rPr>
        <w:t xml:space="preserve">Übertragbarkeit: </w:t>
      </w:r>
      <w:r>
        <w:rPr>
          <w:sz w:val="19"/>
        </w:rPr>
        <w:t>Australien, ähnliche Versorgungsstrukturen und Finanzierung wie europäische Sozialsysteme</w:t>
      </w:r>
    </w:p>
    <w:p>
      <w:r>
        <w:rPr>
          <w:color w:val="5A7D3A"/>
          <w:sz w:val="18"/>
        </w:rPr>
        <w:t>https://pubmed.ncbi.nlm.nih.gov/42712137/</w:t>
      </w:r>
    </w:p>
    <w:p>
      <w:pPr>
        <w:pStyle w:val="Heading2"/>
      </w:pPr>
      <w:r>
        <w:t>Healthspan-Strategien im italienischen Gesundheitssystem: Rahmenbedingungen und Prioritäten</w:t>
      </w:r>
    </w:p>
    <w:p>
      <w:r>
        <w:rPr>
          <w:i/>
          <w:color w:val="666666"/>
          <w:sz w:val="18"/>
        </w:rPr>
        <w:t>Marino N et al.  ·  Aging (Albany NY)  ·  16.07.2026  ·  PMID 42467494</w:t>
      </w:r>
    </w:p>
    <w:p>
      <w:r>
        <w:t>Position Paper zur Integration von Longevity Medicine (Prävention mit mehromischen Biomarkern und Risikoschichtung) in das italienische SSN vor dem Hintergrund von 24,1% der Bevölkerung ≥65 Jahre und einer Healthspan-Lücke von 15-16 Jahren.</w:t>
      </w:r>
    </w:p>
    <w:p>
      <w:r>
        <w:rPr>
          <w:b/>
        </w:rPr>
        <w:t xml:space="preserve">Ergebnis: </w:t>
      </w:r>
      <w:r>
        <w:t>Italien: höchster EU-Anteil Älterer (24,1%), median age 51 Jahre bis 2050 projiziert; Lebenserw. 85,4 (Frauen) / 81,4 (Männer) Jahre vs. gesunde Lebensjahre 69,6 / 68,5 (Lücke: 15-18 Jahre); Multimorbiditäts- und Behinderungsprävalenz &gt;60% bei ≥75-Jährigen. Empfiehlt fünf Investitionsprioritäten: validierte Biomarker biologisches Alter, digitale Plattformen, adaptive Studien, explainable-AI-Risikoschichtung, Lehrcurricula.</w:t>
      </w:r>
    </w:p>
    <w:p>
      <w:r>
        <w:rPr>
          <w:b/>
          <w:sz w:val="19"/>
        </w:rPr>
        <w:t xml:space="preserve">Übertragbarkeit: </w:t>
      </w:r>
      <w:r>
        <w:rPr>
          <w:sz w:val="19"/>
        </w:rPr>
        <w:t>Italien mit deutschsprachigem Raum vergleichbare Bevölkerungsstruktur und Sozialversicherung</w:t>
      </w:r>
    </w:p>
    <w:p>
      <w:r>
        <w:rPr>
          <w:color w:val="5A7D3A"/>
          <w:sz w:val="18"/>
        </w:rPr>
        <w:t>https://pubmed.ncbi.nlm.nih.gov/42467494/</w:t>
      </w:r>
    </w:p>
    <w:p>
      <w:pPr>
        <w:pStyle w:val="Heading1"/>
      </w:pPr>
      <w:r>
        <w:t>Aufgenommen am 13.09.2026</w:t>
      </w:r>
    </w:p>
    <w:p>
      <w:pPr>
        <w:pStyle w:val="Heading2"/>
      </w:pPr>
      <w:r>
        <w:t>Altern von Personen mit Typ-1-Diabetes: prospektive Kohorte zur funktionellen Fähigkeit</w:t>
      </w:r>
    </w:p>
    <w:p>
      <w:r>
        <w:rPr>
          <w:i/>
          <w:color w:val="666666"/>
          <w:sz w:val="18"/>
        </w:rPr>
        <w:t>Nicklén J et al.  ·  BMJ Open  ·  11.09.2026  ·  PMID 42731824</w:t>
      </w:r>
    </w:p>
    <w:p>
      <w:r>
        <w:t>Studienprotokoll für prospektive Kohortenstudie (FinnDiane LifeOne) mit mindestens 300 älteren Personen mit Typ-1-Diabetes (&gt;65 Jahre) und 100 gematchten Kontrollen zur Untersuchung der funktionellen Fähigkeit und gesunden Alterns über 5 Jahre mit geriatrischem Assessment.</w:t>
      </w:r>
    </w:p>
    <w:p>
      <w:r>
        <w:rPr>
          <w:b/>
        </w:rPr>
        <w:t xml:space="preserve">Ergebnis: </w:t>
      </w:r>
      <w:r>
        <w:t>Eingeschlossene Studien: ≥300 Patienten mit T1D, ≥100 Kontrollen, gematchte Vergleichgruppe. Umfassendes geriatrisches Assessment mit 5-jährlichen Intervallen. Fokus auf fünf Domänen der intrinsic capacity: Kognition, Vitalität, Sensomotorisch, Lokomotion, Psychologisch. Follow-up-Strukturen und Vergleichsdesign etabliert; endgültige Ergebnisse stehen aus.</w:t>
      </w:r>
    </w:p>
    <w:p>
      <w:r>
        <w:rPr>
          <w:b/>
          <w:sz w:val="19"/>
        </w:rPr>
        <w:t xml:space="preserve">Übertragbarkeit: </w:t>
      </w:r>
      <w:r>
        <w:rPr>
          <w:sz w:val="19"/>
        </w:rPr>
        <w:t>Skandinavisches Gesundheitssystem, prospektiv designt mit europäischen Standards; übertragbar auf Deutschland.</w:t>
      </w:r>
    </w:p>
    <w:p>
      <w:r>
        <w:rPr>
          <w:color w:val="5A7D3A"/>
          <w:sz w:val="18"/>
        </w:rPr>
        <w:t>https://pubmed.ncbi.nlm.nih.gov/42731824/</w:t>
      </w:r>
    </w:p>
    <w:p>
      <w:pPr>
        <w:pStyle w:val="Heading2"/>
      </w:pPr>
      <w:r>
        <w:t>Sitzzeit und Funktionsfähigkeit im Alter: Längere Sitzzeit reduziert Muskelmasse und ADL</w:t>
      </w:r>
    </w:p>
    <w:p>
      <w:r>
        <w:rPr>
          <w:i/>
          <w:color w:val="666666"/>
          <w:sz w:val="18"/>
        </w:rPr>
        <w:t>Yoon TH et al.  ·  PeerJ  ·  08.09.2026  ·  PMID 42730319</w:t>
      </w:r>
    </w:p>
    <w:p>
      <w:r>
        <w:t>Querschnittstudie an 200 Älteren (65–96 Jahre) zur Assoziation von täglicher Sitzzeit (&lt;6, 6–8, &gt;8 h) mit Sarcopenia-Markern und funktioneller Unabhängigkeit in ADL und IADL.</w:t>
      </w:r>
    </w:p>
    <w:p>
      <w:r>
        <w:rPr>
          <w:b/>
        </w:rPr>
        <w:t xml:space="preserve">Ergebnis: </w:t>
      </w:r>
      <w:r>
        <w:t>Höhere Sitzzeit war negativ mit Appendicular Skeletal Muscle (β = −0,415; p &lt; 0,001), Wadenschritt (β = −0,442; p &lt; 0,001) und Griffstärke (β = −0,385; p &lt; 0,001) assoziiert und positiv mit 5-Stühle-Stand-Test (β = 0,465; p &lt; 0,001). Sitzzeit korrelierte negativ mit ADL-Summe (β = −0,308; p &lt; 0,001) und IADL-Summe (β = −0,410; p &lt; 0,001). Assoziationen blieben nach Altersadjustierung signifikant.</w:t>
      </w:r>
    </w:p>
    <w:p>
      <w:r>
        <w:rPr>
          <w:b/>
          <w:sz w:val="19"/>
        </w:rPr>
        <w:t xml:space="preserve">Übertragbarkeit: </w:t>
      </w:r>
      <w:r>
        <w:rPr>
          <w:sz w:val="19"/>
        </w:rPr>
        <w:t>Prävention durch Reduktion von Sitzzeit ist in allen europäischen Kontexten implementierbar.</w:t>
      </w:r>
    </w:p>
    <w:p>
      <w:r>
        <w:rPr>
          <w:color w:val="5A7D3A"/>
          <w:sz w:val="18"/>
        </w:rPr>
        <w:t>https://pubmed.ncbi.nlm.nih.gov/42730319/</w:t>
      </w:r>
    </w:p>
    <w:p>
      <w:pPr>
        <w:pStyle w:val="Heading2"/>
      </w:pPr>
      <w:r>
        <w:t>Frailty und kognitives Altern: Assoziationen mit ungünstigeren kognitiven Verlaufsmustern</w:t>
      </w:r>
    </w:p>
    <w:p>
      <w:r>
        <w:rPr>
          <w:i/>
          <w:color w:val="666666"/>
          <w:sz w:val="18"/>
        </w:rPr>
        <w:t>Wang X et al.  ·  Alzheimers Dement  ·  Sept. 2026  ·  PMID 42723149</w:t>
      </w:r>
    </w:p>
    <w:p>
      <w:r>
        <w:t>Längsschnittstudie an 19.586 Personen aus drei nationalen Kohorten (China, England, USA) zur Assoziation von Frailty-Status und kognitiver Veränderung über Zeit.</w:t>
      </w:r>
    </w:p>
    <w:p>
      <w:r>
        <w:rPr>
          <w:b/>
        </w:rPr>
        <w:t xml:space="preserve">Ergebnis: </w:t>
      </w:r>
      <w:r>
        <w:t>Baseline-Frailty war mit stärkerem jährlichen kognitiven Rückgang assoziiert (β = −0,023 SD/Jahr; p &lt; 0,001). Verschlechterung von robust zu pre-frail oder frail war mit mehr negativem Rückgang verbunden (β = −0,025 SD/Jahr). In trajektoriengestützen Analysen zeigten Baseline-Frailty, höhere mittlere Frailty-Last und Frailty-Verschlechterung Assoziationen mit weniger günstigen kognitiven Verläufen. Frailty-Verbesserung war direktional mit günstigeren Gruppen assoziiert.</w:t>
      </w:r>
    </w:p>
    <w:p>
      <w:r>
        <w:rPr>
          <w:b/>
          <w:sz w:val="19"/>
        </w:rPr>
        <w:t xml:space="preserve">Übertragbarkeit: </w:t>
      </w:r>
      <w:r>
        <w:rPr>
          <w:sz w:val="19"/>
        </w:rPr>
        <w:t>Vergleichbare nationale Gesundheitsdatenstrukturen; kognitives Altern als Endpunkt relevant für deutsche Versorgung.</w:t>
      </w:r>
    </w:p>
    <w:p>
      <w:r>
        <w:rPr>
          <w:color w:val="5A7D3A"/>
          <w:sz w:val="18"/>
        </w:rPr>
        <w:t>https://pubmed.ncbi.nlm.nih.gov/42723149/</w:t>
      </w:r>
    </w:p>
    <w:p>
      <w:pPr>
        <w:pStyle w:val="Heading2"/>
      </w:pPr>
      <w:r>
        <w:t>Frailty und COPD: bidirektionale Beziehung im Kontext von Systemalterung und Trainingsresponse</w:t>
      </w:r>
    </w:p>
    <w:p>
      <w:r>
        <w:rPr>
          <w:i/>
          <w:color w:val="666666"/>
          <w:sz w:val="18"/>
        </w:rPr>
        <w:t>Maniscalco M et al.  ·  Eur Respir Rev  ·  09.09.2026  ·  PMID 42716547</w:t>
      </w:r>
    </w:p>
    <w:p>
      <w:r>
        <w:t>Narrative Übersichtsarbeit zu biologischen und klinischen Verbindungen von COPD, Frailty und körperlicher Aktivität unter Anwendung von Geroscience-Prinzipien.</w:t>
      </w:r>
    </w:p>
    <w:p>
      <w:r>
        <w:rPr>
          <w:b/>
        </w:rPr>
        <w:t xml:space="preserve">Ergebnis: </w:t>
      </w:r>
      <w:r>
        <w:t>Gemeinsame biologische Mechanismen: chronische Entzündung, oxidativer Stress, Mitochondriendysfunktion, Muskelatrophie. Kombiniertes aerobes, Widerstands- und Balance-Training zeigt stärkste Evidenz zur Verbesserung von Funktionsstatus und Lebensqualität bei frail-COPD. Exercise induziert Hormeseeffekte: gesteigerte Mitochondriogenese, verbessertes Redox-Balance, Upregulation von antioxidativen Wegen und Zellreparaturmechanismen.</w:t>
      </w:r>
    </w:p>
    <w:p>
      <w:r>
        <w:rPr>
          <w:b/>
          <w:sz w:val="19"/>
        </w:rPr>
        <w:t xml:space="preserve">Übertragbarkeit: </w:t>
      </w:r>
      <w:r>
        <w:rPr>
          <w:sz w:val="19"/>
        </w:rPr>
        <w:t>Geroscience-Rahmen auf deutsche COPD-Versorgung und Rehabilitation übertragbar.</w:t>
      </w:r>
    </w:p>
    <w:p>
      <w:r>
        <w:rPr>
          <w:color w:val="5A7D3A"/>
          <w:sz w:val="18"/>
        </w:rPr>
        <w:t>https://pubmed.ncbi.nlm.nih.gov/42716547/</w:t>
      </w:r>
    </w:p>
    <w:p>
      <w:pPr>
        <w:pStyle w:val="Heading2"/>
      </w:pPr>
      <w:r>
        <w:t>Normaler altersgerechter Rückgang der Vitalkapazität: systematische Analyse und Metaanalyse</w:t>
      </w:r>
    </w:p>
    <w:p>
      <w:r>
        <w:rPr>
          <w:i/>
          <w:color w:val="666666"/>
          <w:sz w:val="18"/>
        </w:rPr>
        <w:t>Satia I et al.  ·  Eur Respir Rev  ·  09.09.2026  ·  PMID 42716546</w:t>
      </w:r>
    </w:p>
    <w:p>
      <w:r>
        <w:t>Systematische Übersichtsarbeit und Metaanalyse von 35 Kohorten mit über 365.000 Teilnehmern zu altersbezogenen Veränderungen der Vitalkapazität (FVC) bei Personen ohne Lungenerkrankung über bis zu 35 Jahre Follow-up.</w:t>
      </w:r>
    </w:p>
    <w:p>
      <w:r>
        <w:rPr>
          <w:b/>
        </w:rPr>
        <w:t xml:space="preserve">Ergebnis: </w:t>
      </w:r>
      <w:r>
        <w:t>FVC erreicht Spitzenwert Mitte 20er, sinkt kontinuierlich linear ab ohne Plateau. Bei Frauen Abfall von ca. 26 mL/Jahr, bei Männern biphasisch: ca. 22 mL/Jahr vor 40 Jahren, dann ca. 36 mL/Jahr. Durchschnittlicher altersgerechter Rückgang 20–30 mL pro Jahr. Diese normativen Trajektorien sind essentiell zur Differenzierung gesunden Alterns von pathologischem Rückgang.</w:t>
      </w:r>
    </w:p>
    <w:p>
      <w:r>
        <w:rPr>
          <w:b/>
          <w:sz w:val="19"/>
        </w:rPr>
        <w:t xml:space="preserve">Übertragbarkeit: </w:t>
      </w:r>
      <w:r>
        <w:rPr>
          <w:sz w:val="19"/>
        </w:rPr>
        <w:t>Deutschland und europäische Spirometriestandards; Benchmark ist grundlegend für klinische Interpretation.</w:t>
      </w:r>
    </w:p>
    <w:p>
      <w:r>
        <w:rPr>
          <w:color w:val="5A7D3A"/>
          <w:sz w:val="18"/>
        </w:rPr>
        <w:t>https://pubmed.ncbi.nlm.nih.gov/42716546/</w:t>
      </w:r>
    </w:p>
    <w:p>
      <w:pPr>
        <w:pStyle w:val="Heading2"/>
      </w:pPr>
      <w:r>
        <w:t>Netzwerk-Analyse der Lebensqualität bei älteren Koreanern: Depression dominiert das frail-Netzwerk</w:t>
      </w:r>
    </w:p>
    <w:p>
      <w:r>
        <w:rPr>
          <w:i/>
          <w:color w:val="666666"/>
          <w:sz w:val="18"/>
        </w:rPr>
        <w:t>Kim S et al.  ·  Geriatr Gerontol Int  ·  Sept. 2026  ·  PMID 42716517</w:t>
      </w:r>
    </w:p>
    <w:p>
      <w:r>
        <w:t>Netzwerk-Analyse an 1.311 älteren Koreanern (≥65 Jahre) zur Struktur der gesundheitsbezogenen Lebensqualität (HRQoL) im Vergleich zwischen frail und non-frail-Gruppen.</w:t>
      </w:r>
    </w:p>
    <w:p>
      <w:r>
        <w:rPr>
          <w:b/>
        </w:rPr>
        <w:t xml:space="preserve">Ergebnis: </w:t>
      </w:r>
      <w:r>
        <w:t>Bei frail-Gruppe war Depression-Glück die stärkste Assoziation mit hoher Zentralität bei Arbeit, Depression, Glück und Schlaf. Bei non-frail-Gruppe dominierten physikalisch-soziale Domänen (Treppensteigen-Schmerz stärkster Link, zentral: Arbeit, Treppensteigen, Schmerz). Arbeit zeigte konsistent hohe Zentralität in beiden Gruppen, was Rollenpartizipation als Hebel für HRQoL-Verbesserung unterstreicht.</w:t>
      </w:r>
    </w:p>
    <w:p>
      <w:r>
        <w:rPr>
          <w:b/>
          <w:sz w:val="19"/>
        </w:rPr>
        <w:t xml:space="preserve">Übertragbarkeit: </w:t>
      </w:r>
      <w:r>
        <w:rPr>
          <w:sz w:val="19"/>
        </w:rPr>
        <w:t>Strukturelle Vergleichbarkeit der Frailty-Definitionen mit europäischen Standards gegeben.</w:t>
      </w:r>
    </w:p>
    <w:p>
      <w:r>
        <w:rPr>
          <w:color w:val="5A7D3A"/>
          <w:sz w:val="18"/>
        </w:rPr>
        <w:t>https://pubmed.ncbi.nlm.nih.gov/42716517/</w:t>
      </w:r>
    </w:p>
    <w:p>
      <w:pPr>
        <w:pStyle w:val="Heading2"/>
      </w:pPr>
      <w:r>
        <w:t>Hereditäre hämorrhagische Teleangiektasie reduziert die Lebenserwartung um 7,5 Jahre</w:t>
      </w:r>
    </w:p>
    <w:p>
      <w:r>
        <w:rPr>
          <w:i/>
          <w:color w:val="666666"/>
          <w:sz w:val="18"/>
        </w:rPr>
        <w:t>Emanuelsson CA et al.  ·  J Intern Med  ·  06.07.2026  ·  PMID 42410718</w:t>
      </w:r>
    </w:p>
    <w:p>
      <w:r>
        <w:t>Schwedische populationsbasierte Registerstudie mit 393 HHT-Patienten und 1.965 alters- und geschlechtsgematchten Kontrollen zur Mortalität und Todesursachen über 17 Jahre Nachbeobachtung (2001–2018).</w:t>
      </w:r>
    </w:p>
    <w:p>
      <w:r>
        <w:rPr>
          <w:b/>
        </w:rPr>
        <w:t xml:space="preserve">Ergebnis: </w:t>
      </w:r>
      <w:r>
        <w:t>Lebenserwartung nach 30 Jahren bei HHT: 73,0 Jahre (68,0–77,2) vs. 80,5 Jahre (79,1–82,0) bei Kontrollen; Differenz 7,5 Jahre. Häufigere Todesursachen bei HHT: ischämische Herzerkrankung, arterielle Erkrankungen und Leberkrankheiten signifikant erhöht. HHT-Prävalenz: 9,3 pro 100.000 über 12 Jahre; mögliche Unterdiagnose bei milderen Symptomen.</w:t>
      </w:r>
    </w:p>
    <w:p>
      <w:r>
        <w:rPr>
          <w:b/>
          <w:sz w:val="19"/>
        </w:rPr>
        <w:t xml:space="preserve">Übertragbarkeit: </w:t>
      </w:r>
      <w:r>
        <w:rPr>
          <w:sz w:val="19"/>
        </w:rPr>
        <w:t>Skandinavisches Register mit Deutschland vergleichbar; Versorgungsplanning für rare diseases relevant.</w:t>
      </w:r>
    </w:p>
    <w:p>
      <w:r>
        <w:rPr>
          <w:color w:val="5A7D3A"/>
          <w:sz w:val="18"/>
        </w:rPr>
        <w:t>https://pubmed.ncbi.nlm.nih.gov/42410718/</w:t>
      </w:r>
    </w:p>
    <w:p>
      <w:pPr>
        <w:pStyle w:val="Heading1"/>
      </w:pPr>
      <w:r>
        <w:t>Aufgenommen am 12.09.2026</w:t>
      </w:r>
    </w:p>
    <w:p>
      <w:pPr>
        <w:pStyle w:val="Heading2"/>
      </w:pPr>
      <w:r>
        <w:t>Multimorbidität im hohen Alter: Krankheitsansammlung verlangsamt sich, Komplexität nimmt zu</w:t>
      </w:r>
    </w:p>
    <w:p>
      <w:r>
        <w:rPr>
          <w:i/>
          <w:color w:val="666666"/>
          <w:sz w:val="18"/>
        </w:rPr>
        <w:t>Zhang Y et al.  ·  Age Ageing  ·  04.09.2026  ·  PMID 42726903</w:t>
      </w:r>
    </w:p>
    <w:p>
      <w:r>
        <w:t>Schwedische Registeranalyse der Krankheitsansammlung bei 1920–1922 geborenen Personen von Alter 70 bis 100 Jahren.</w:t>
      </w:r>
    </w:p>
    <w:p>
      <w:r>
        <w:rPr>
          <w:b/>
        </w:rPr>
        <w:t xml:space="preserve">Ergebnis: </w:t>
      </w:r>
      <w:r>
        <w:t>Mit 90 Jahren durchschnittlich 3,9 Erkrankungen bei Männern und 3,5 bei Frauen; über die Hälfte der ≥95-Jährigen hatte ≥5 Erkrankungen. Krankheitsansammlung beschleunigte sich bis 80, stabilisierte sich 80–90, verlangsamte sich danach, aber Komplexität und Krankheitslast stiegen bis ins extreme Alter weiter. Kardiovaskuläre Erkrankungen dominierten durchgehend, Muskel- und Sinneserkrankungen wurden im hohen Alter wichtiger.</w:t>
      </w:r>
    </w:p>
    <w:p>
      <w:r>
        <w:rPr>
          <w:b/>
          <w:sz w:val="19"/>
        </w:rPr>
        <w:t xml:space="preserve">Übertragbarkeit: </w:t>
      </w:r>
      <w:r>
        <w:rPr>
          <w:sz w:val="19"/>
        </w:rPr>
        <w:t>Schweden, vergleichbare Lebenserwartung und Versorgungsstruktur</w:t>
      </w:r>
    </w:p>
    <w:p>
      <w:r>
        <w:rPr>
          <w:color w:val="5A7D3A"/>
          <w:sz w:val="18"/>
        </w:rPr>
        <w:t>https://pubmed.ncbi.nlm.nih.gov/42726903/</w:t>
      </w:r>
    </w:p>
    <w:p>
      <w:pPr>
        <w:pStyle w:val="Heading2"/>
      </w:pPr>
      <w:r>
        <w:t>Gebrechlichkeit bei Multimorbidität: Prävalenz und Risikofaktoren in der Gemeinde</w:t>
      </w:r>
    </w:p>
    <w:p>
      <w:r>
        <w:rPr>
          <w:i/>
          <w:color w:val="666666"/>
          <w:sz w:val="18"/>
        </w:rPr>
        <w:t>Feng S et al.  ·  Front Public Health  ·  27.08.2026  ·  PMID 42725090</w:t>
      </w:r>
    </w:p>
    <w:p>
      <w:r>
        <w:t>Querschnittsstudie bei 346 multimorbiden älteren Erwachsenen (≥60 Jahre) in fünf Gemeinden Chinas zur Prävalenz und unabhängigen Risikofaktoren für Gebrechlichkeit (Frailty).</w:t>
      </w:r>
    </w:p>
    <w:p>
      <w:r>
        <w:rPr>
          <w:b/>
        </w:rPr>
        <w:t xml:space="preserve">Ergebnis: </w:t>
      </w:r>
      <w:r>
        <w:t>52,9% (183/346) waren gebrechlich. Unabhängige Faktoren: Alter 70–80 Jahre (OR 2,64, 95%-KI 1,03–6,79), ≥80 Jahre (OR 4,92, 1,87–12,96); Krankenhausaufnahme wegen akuter Ereignisse im vergangenen Jahr (OR 1,84, 1,04–3,27); Landbewohner vs. städtisch (OR 0,34, 0,19–0,60). Normale Ernährung (OR 0,23, 0,16–0,50) und volle Aktivitätsunabhängigkeit (OR 0,21, 0,06–0,79) waren protektiv. Familienbetreuung vs. Selbstpflege (OR 0,39, 0,16–0,95) reduzierte Frailty-Risiko.</w:t>
      </w:r>
    </w:p>
    <w:p>
      <w:r>
        <w:rPr>
          <w:b/>
          <w:sz w:val="19"/>
        </w:rPr>
        <w:t xml:space="preserve">Übertragbarkeit: </w:t>
      </w:r>
      <w:r>
        <w:rPr>
          <w:sz w:val="19"/>
        </w:rPr>
        <w:t>China, andere Gesundheitsinfrastruktur; Screening-Muster teilweise übertragbar</w:t>
      </w:r>
    </w:p>
    <w:p>
      <w:r>
        <w:rPr>
          <w:color w:val="5A7D3A"/>
          <w:sz w:val="18"/>
        </w:rPr>
        <w:t>https://pubmed.ncbi.nlm.nih.gov/42725090/</w:t>
      </w:r>
    </w:p>
    <w:p>
      <w:pPr>
        <w:pStyle w:val="Heading2"/>
      </w:pPr>
      <w:r>
        <w:t>Präoperative Gebrechlichkeit und postoperative Komplikationen bei Hüftfrakturchirurgie</w:t>
      </w:r>
    </w:p>
    <w:p>
      <w:r>
        <w:rPr>
          <w:i/>
          <w:color w:val="666666"/>
          <w:sz w:val="18"/>
        </w:rPr>
        <w:t>Yonekura H et al.  ·  Geriatr Gerontol Int  ·  Sept. 2026  ·  PMID 42723340</w:t>
      </w:r>
    </w:p>
    <w:p>
      <w:r>
        <w:t>Analyse von 29.684 älteren Patienten (≥65 Jahre) in Japan mit Hüftfrakturoperationen (2005–2021) zu Assoziationen zwischen präoperativem Frailty-Risiko-Score und postoperativen Komplikationen mittels Krankenhausregister.</w:t>
      </w:r>
    </w:p>
    <w:p>
      <w:r>
        <w:rPr>
          <w:b/>
        </w:rPr>
        <w:t xml:space="preserve">Ergebnis: </w:t>
      </w:r>
      <w:r>
        <w:t>59,5% (17.656) waren gebrechlich (Hospital Frailty Risk Score ≥5). Präoperative Gebrechlichkeit nicht mit akutem Nierenversagen assoziiert (OR 0,97, KI 0,83–1,14; p=0,72) oder Major Adverse Kidney Events (OR 1,07, 0,80–1,44; p=0,65), aber signifikant mit Lungenkomplikationen (OR 1,68, 1,39–2,02; p&lt;0,001), postoperativem Delir (OR 1,35, 1,13–1,62; p&lt;0,001), höherer Transfusionsrate und längerer Krankenhausdauer assoziiert.</w:t>
      </w:r>
    </w:p>
    <w:p>
      <w:r>
        <w:rPr>
          <w:b/>
          <w:sz w:val="19"/>
        </w:rPr>
        <w:t xml:space="preserve">Übertragbarkeit: </w:t>
      </w:r>
      <w:r>
        <w:rPr>
          <w:sz w:val="19"/>
        </w:rPr>
        <w:t>Japan, vergleichbare Finanzierung, Operationsindikationen ähnlich zu Deutschland</w:t>
      </w:r>
    </w:p>
    <w:p>
      <w:r>
        <w:rPr>
          <w:color w:val="5A7D3A"/>
          <w:sz w:val="18"/>
        </w:rPr>
        <w:t>https://pubmed.ncbi.nlm.nih.gov/42723340/</w:t>
      </w:r>
    </w:p>
    <w:p>
      <w:pPr>
        <w:pStyle w:val="Heading2"/>
      </w:pPr>
      <w:r>
        <w:t>Gebrechlichkeit am Lebensende: wer hat Anspruch auf assistierten Freitod?</w:t>
      </w:r>
    </w:p>
    <w:p>
      <w:r>
        <w:rPr>
          <w:i/>
          <w:color w:val="666666"/>
          <w:sz w:val="18"/>
        </w:rPr>
        <w:t>Squeri T et al.  ·  Age Ageing  ·  04.09.2026  ·  PMID 42709408</w:t>
      </w:r>
    </w:p>
    <w:p>
      <w:r>
        <w:t>Vergleichende Analyse der Häufigkeit und rechtlichen Zulässigkeit von Gebrechlichkeit (Frailty) als Indikation für assistierten Freitod in Jurisdiktionen mit reguliertem Zugang.</w:t>
      </w:r>
    </w:p>
    <w:p>
      <w:r>
        <w:rPr>
          <w:b/>
        </w:rPr>
        <w:t xml:space="preserve">Ergebnis: </w:t>
      </w:r>
      <w:r>
        <w:t>Nur Kanada und Niederlande berichten die Häufigkeit: 9,07% der Freitode in Kanada 2023 waren mit Gebrechlichkeit assoziiert (als Hauptdiagnose oder Komorbidität), in den Niederlanden 3,85% mit multiplen geriatrischen Syndromen. 11 Jurisdiktionen: Gebrechlichkeit wahrscheinlich nicht zulässig; 6: schwere Gebrechlichkeit erfüllt Kriterien; 14: unklar. Erhebliches Reporting-Defizit und regulatorische Mehrdeutigkeit.</w:t>
      </w:r>
    </w:p>
    <w:p>
      <w:r>
        <w:rPr>
          <w:b/>
          <w:sz w:val="19"/>
        </w:rPr>
        <w:t xml:space="preserve">Übertragbarkeit: </w:t>
      </w:r>
      <w:r>
        <w:rPr>
          <w:sz w:val="19"/>
        </w:rPr>
        <w:t>Internationale Perspektive, begrenzte Relevanz für deutsches Recht</w:t>
      </w:r>
    </w:p>
    <w:p>
      <w:r>
        <w:rPr>
          <w:color w:val="5A7D3A"/>
          <w:sz w:val="18"/>
        </w:rPr>
        <w:t>https://pubmed.ncbi.nlm.nih.gov/42709408/</w:t>
      </w:r>
    </w:p>
    <w:p>
      <w:pPr>
        <w:pStyle w:val="Heading2"/>
      </w:pPr>
      <w:r>
        <w:t>Kognitive Alterung als sozial strukturierter Prozess: Lebenskurs, Ungleichheit und institutionelle Kontexte</w:t>
      </w:r>
    </w:p>
    <w:p>
      <w:r>
        <w:rPr>
          <w:i/>
          <w:color w:val="666666"/>
          <w:sz w:val="18"/>
        </w:rPr>
        <w:t>Bertogg A et al.  ·  Soc Sci Med  ·  01.08.2026  ·  PMID 42561791</w:t>
      </w:r>
    </w:p>
    <w:p>
      <w:r>
        <w:t>Editorial zu Spezialausgabe, die kognitives Altern als von Lebenslauf, sozialen Ungleichheiten und Institutionen geprägte Prozesse konzeptualisiert; Synthese länderübergreifender Studien aus Europa, Nordamerika, Lateinamerika und Asien.</w:t>
      </w:r>
    </w:p>
    <w:p>
      <w:r>
        <w:rPr>
          <w:b/>
        </w:rPr>
        <w:t xml:space="preserve">Ergebnis: </w:t>
      </w:r>
      <w:r>
        <w:t>Längsschnittstudien, Register, qualitative Interviews und ethnographische Arbeiten dokumentieren bleibende Einflüsse von Kindheitsbedingungen, Bildung, Berufslaufbahn, Familie, sozialer Partizipation, Nachbarschaft und Wohlfahrtsregimen auf späte kognitive Leistung. Ungleichheiten nach Geschlecht, Ethnie, Migrationshintergrund und Ort prägen kognitives Altern über die Lebensspanne. Infrastruktur, Gesundheitssysteme und politisch-ökonomische Veränderungen beeinflussen kognitive Reserven.</w:t>
      </w:r>
    </w:p>
    <w:p>
      <w:r>
        <w:rPr>
          <w:b/>
          <w:sz w:val="19"/>
        </w:rPr>
        <w:t xml:space="preserve">Übertragbarkeit: </w:t>
      </w:r>
      <w:r>
        <w:rPr>
          <w:sz w:val="19"/>
        </w:rPr>
        <w:t>Europäische und deutschsprachige Beiträge, vergleichbare Wohlfahrtssysteme</w:t>
      </w:r>
    </w:p>
    <w:p>
      <w:r>
        <w:rPr>
          <w:color w:val="5A7D3A"/>
          <w:sz w:val="18"/>
        </w:rPr>
        <w:t>https://pubmed.ncbi.nlm.nih.gov/42561791/</w:t>
      </w:r>
    </w:p>
    <w:p>
      <w:pPr>
        <w:pStyle w:val="Heading2"/>
      </w:pPr>
      <w:r>
        <w:t>Berufswahl Geriatrie: persönliche Zuneigung und Spezialisierungsanreize bei Medizinern</w:t>
      </w:r>
    </w:p>
    <w:p>
      <w:r>
        <w:rPr>
          <w:i/>
          <w:color w:val="666666"/>
          <w:sz w:val="18"/>
        </w:rPr>
        <w:t>Martín ML et al.  ·  Eur Geriatr Med  ·  11.07.2026  ·  PMID 42435263</w:t>
      </w:r>
    </w:p>
    <w:p>
      <w:r>
        <w:t>Qualitative Befragung (N=129) spanischer Medizinresidenten zu Faktoren, die die Wahl der Geriatrie beeinflussen, und Einfluss geriatrischer Schulung während des Studiums.</w:t>
      </w:r>
    </w:p>
    <w:p>
      <w:r>
        <w:rPr>
          <w:b/>
        </w:rPr>
        <w:t xml:space="preserve">Ergebnis: </w:t>
      </w:r>
      <w:r>
        <w:t>89% bereits mit Fachgebiet vertraut; 46% hatten theoretische und praktische geriatrische Schulung während des Studiums erhalten. Häufigste Faktoren: Affinität zu älteren Menschen (95%), Patientenkommunikation und Familie (90%), multidisziplinäres Arbeiten (86%), klinische Komplexität (84%), Multimorbidität (82%). Mit vollständiger geriatrischer Schulung 75% vs. 54% (p=0,02) erwogen Geriatrie als Fachgebiet; klinische Komplexität war signifikant wichtiger unter denen mit vollständiger Schulung (92% vs. 77%, p=0,027).</w:t>
      </w:r>
    </w:p>
    <w:p>
      <w:r>
        <w:rPr>
          <w:b/>
          <w:sz w:val="19"/>
        </w:rPr>
        <w:t xml:space="preserve">Übertragbarkeit: </w:t>
      </w:r>
      <w:r>
        <w:rPr>
          <w:sz w:val="19"/>
        </w:rPr>
        <w:t>Spanien, europäische Gesundheitspolitik, Ärztenachwuchs vergleichbar</w:t>
      </w:r>
    </w:p>
    <w:p>
      <w:r>
        <w:rPr>
          <w:color w:val="5A7D3A"/>
          <w:sz w:val="18"/>
        </w:rPr>
        <w:t>https://pubmed.ncbi.nlm.nih.gov/42435263/</w:t>
      </w:r>
    </w:p>
    <w:p>
      <w:pPr>
        <w:pStyle w:val="Heading1"/>
      </w:pPr>
      <w:r>
        <w:t>Aufgenommen am 11.09.2026</w:t>
      </w:r>
    </w:p>
    <w:p>
      <w:pPr>
        <w:pStyle w:val="Heading2"/>
      </w:pPr>
      <w:r>
        <w:t>Gesunde Arbeitsjahre: Länder- und individuelle Faktoren in multinationaler Kohorte</w:t>
      </w:r>
    </w:p>
    <w:p>
      <w:r>
        <w:rPr>
          <w:i/>
          <w:color w:val="666666"/>
          <w:sz w:val="18"/>
        </w:rPr>
        <w:t>Zhu J et al.  ·  PLoS Med  ·  10.09.2026  ·  PMID 42721193</w:t>
      </w:r>
    </w:p>
    <w:p>
      <w:r>
        <w:t>Multinational prospektive Kohortenstudie mit 79.833 Männern und 95.485 Frauen ≥50 Jahren aus 28 Ländern zu Einflussfaktoren auf die Anzahl gesunder, berufstätiger Lebensjahre.</w:t>
      </w:r>
    </w:p>
    <w:p>
      <w:r>
        <w:rPr>
          <w:b/>
        </w:rPr>
        <w:t xml:space="preserve">Ergebnis: </w:t>
      </w:r>
      <w:r>
        <w:t>Mit 50 Jahren: durchschnittliche Gesamtlebenserwartung 33,59 Jahre, davon 10,98 Jahre in Gesundheit und Erwerbstätigkeit (HWLE). Frauen: 9,82 Jahre HWLE, Männer: 12,36 Jahre. Verheiratung, höhere Bildung, gesunde Lebensstile verlängern HWLE. Schlaganfall reduziert HWLE um 5,49 Jahre. Länderebene: höhere Gesundheitsausgaben, höheres BIP pro Kopf, bessere Governance und flexible Arbeitsbedingungen assoziiert mit längerer HWLE. Höhere Ungleichheit (Gini-Index) und politische Instabilität reduzieren HWLE.</w:t>
      </w:r>
    </w:p>
    <w:p>
      <w:r>
        <w:rPr>
          <w:b/>
          <w:sz w:val="19"/>
        </w:rPr>
        <w:t xml:space="preserve">Übertragbarkeit: </w:t>
      </w:r>
      <w:r>
        <w:rPr>
          <w:sz w:val="19"/>
        </w:rPr>
        <w:t>Länderübergreifend, einzelne europäische Länder eingeschlossen, zeigt Wirksamkeit von Prävention und Arbeitsbedingungen</w:t>
      </w:r>
    </w:p>
    <w:p>
      <w:r>
        <w:rPr>
          <w:color w:val="5A7D3A"/>
          <w:sz w:val="18"/>
        </w:rPr>
        <w:t>https://pubmed.ncbi.nlm.nih.gov/42721193/</w:t>
      </w:r>
    </w:p>
    <w:p>
      <w:pPr>
        <w:pStyle w:val="Heading2"/>
      </w:pPr>
      <w:r>
        <w:t>Biologisches Altern und Osteoarthritis-Risiko: Kohortenstudie UK Biobank</w:t>
      </w:r>
    </w:p>
    <w:p>
      <w:r>
        <w:rPr>
          <w:i/>
          <w:color w:val="666666"/>
          <w:sz w:val="18"/>
        </w:rPr>
        <w:t>Liu S et al.  ·  Int J Rheum Dis  ·  Sept. 2026  ·  PMID 42687813</w:t>
      </w:r>
    </w:p>
    <w:p>
      <w:r>
        <w:t>Querschnitts- und Längsschnittanalyse an 332.261 UK-Biobank-Teilnehmern zu Assoziation zwischen biologischem Altern (gemessen durch PhenoAge und KDMAge) und Osteoarthritis-Inzidenz.</w:t>
      </w:r>
    </w:p>
    <w:p>
      <w:r>
        <w:rPr>
          <w:b/>
        </w:rPr>
        <w:t xml:space="preserve">Ergebnis: </w:t>
      </w:r>
      <w:r>
        <w:t>55,4 % der Kohorte zeigten jüngeres biologisches Alter (PhenoAge Acceleration). Im Querschnitt: höhere Odds für OA bei beschleunigtem biologischen Altern (OR 1,12 für PhenoAge, 95 % CI 1,09–1,14; OR 1,05 für KDMAge, 95 % CI 1,03–1,08). Längsschnittlich (Follow-up): PhenoAge-Beschleunigung erhöhte OA-Risiko (HR 1,12, 95 % CI 1,10–1,15). KDMAge zeigte keine signifikante Längsassoziaton. Effekt stärker bei &gt;60 Jahren. Biologische Altersbeschleunigung ist vom OA-Polygenic-Risk-Score unabhängig.</w:t>
      </w:r>
    </w:p>
    <w:p>
      <w:r>
        <w:rPr>
          <w:b/>
          <w:sz w:val="19"/>
        </w:rPr>
        <w:t xml:space="preserve">Übertragbarkeit: </w:t>
      </w:r>
      <w:r>
        <w:rPr>
          <w:sz w:val="19"/>
        </w:rPr>
        <w:t>UK Biobank, vergleichbares englisches Sozialversicherungssystem, biomarkergestützte Risikovorhersage</w:t>
      </w:r>
    </w:p>
    <w:p>
      <w:r>
        <w:rPr>
          <w:color w:val="5A7D3A"/>
          <w:sz w:val="18"/>
        </w:rPr>
        <w:t>https://pubmed.ncbi.nlm.nih.gov/42687813/</w:t>
      </w:r>
    </w:p>
    <w:p>
      <w:pPr>
        <w:pStyle w:val="Heading2"/>
      </w:pPr>
      <w:r>
        <w:t>Hochaltrige in Deutschland: Demografie, regionale Ungleichheiten und Gesundheit</w:t>
      </w:r>
    </w:p>
    <w:p>
      <w:r>
        <w:rPr>
          <w:i/>
          <w:color w:val="666666"/>
          <w:sz w:val="18"/>
        </w:rPr>
        <w:t>Wolter B et al.  ·  Bundesgesundheitsblatt Gesundheitsforschung Gesundheitsschutz  ·  18.08.2026  ·  PMID 42611051</w:t>
      </w:r>
    </w:p>
    <w:p>
      <w:r>
        <w:t>Deutschlandweite Beschreibung der Demografie, Lebenslage und Gesundheit von über 80-Jährigen auf Basis der repräsentativen Studien Gesundheit 65+ und D80+.</w:t>
      </w:r>
    </w:p>
    <w:p>
      <w:r>
        <w:rPr>
          <w:b/>
        </w:rPr>
        <w:t xml:space="preserve">Ergebnis: </w:t>
      </w:r>
      <w:r>
        <w:t>Etwa ein Viertel der Hochaltrigen hat starke funktionale Einschränkungen (beide Datensätze konsistent). Männer zeigen bessere Alltagsfunktionalität als Frauen. Ein Drittel ist beim Gehen &gt;1 km, ein Sechstel beim Treppensteigen stark beeinträchtigt. Schwere Sehverluste bei 10 %, Hörverluste bei 27 %. Harninkontinenz betrifft 40 % (Frauen häufiger). 43 % sind pre-frail, 8,6 % frail. Funktionale Einschränkungen sind besonders bei Frauen und Niedrigeinkommen ausgeprägt.</w:t>
      </w:r>
    </w:p>
    <w:p>
      <w:r>
        <w:rPr>
          <w:b/>
          <w:sz w:val="19"/>
        </w:rPr>
        <w:t xml:space="preserve">Übertragbarkeit: </w:t>
      </w:r>
      <w:r>
        <w:rPr>
          <w:sz w:val="19"/>
        </w:rPr>
        <w:t>Deutsche Daten aus RKI und ceres, direkt anwendbar</w:t>
      </w:r>
    </w:p>
    <w:p>
      <w:r>
        <w:rPr>
          <w:color w:val="5A7D3A"/>
          <w:sz w:val="18"/>
        </w:rPr>
        <w:t>https://pubmed.ncbi.nlm.nih.gov/42611051/</w:t>
      </w:r>
    </w:p>
    <w:p>
      <w:pPr>
        <w:pStyle w:val="Heading2"/>
      </w:pPr>
      <w:r>
        <w:t>Präventive Hausbesuche zur Gesundheitsförderung älterer Menschen</w:t>
      </w:r>
    </w:p>
    <w:p>
      <w:r>
        <w:rPr>
          <w:i/>
          <w:color w:val="666666"/>
          <w:sz w:val="18"/>
        </w:rPr>
        <w:t>Blotenberg B et al.  ·  Bundesgesundheitsblatt Gesundheitsforschung Gesundheitsschutz  ·  13.08.2026  ·  PMID 42593520</w:t>
      </w:r>
    </w:p>
    <w:p>
      <w:r>
        <w:t>Diskussionsbeitrag zu Konzeption, Effektivität und Finanzierungserfordernissen präventiver Hausbesuche als niedrigschwellige Versorgungsform in Deutschland.</w:t>
      </w:r>
    </w:p>
    <w:p>
      <w:r>
        <w:rPr>
          <w:b/>
        </w:rPr>
        <w:t xml:space="preserve">Ergebnis: </w:t>
      </w:r>
      <w:r>
        <w:t>In Deutschland wachsende Zahl von Projekten mit unterschiedlichen Konzepten. PHB können Sturzrisiken, soziale Isolation und Ernährungsmängel früh erkennen und Versorgungskompetenz stärken. Zentrale Herausforderung: Langzeitfinanzierung und Verstetigung bislang projektförmig organisierter Angebote. Forderung: Bessere Verankerung in gesetzlicher Kranken- und Pflegeversicherung.</w:t>
      </w:r>
    </w:p>
    <w:p>
      <w:r>
        <w:rPr>
          <w:b/>
          <w:sz w:val="19"/>
        </w:rPr>
        <w:t xml:space="preserve">Übertragbarkeit: </w:t>
      </w:r>
      <w:r>
        <w:rPr>
          <w:sz w:val="19"/>
        </w:rPr>
        <w:t>Deutsche Gesundheitslandschaft, unmittelbar relevant für Finanzierungsdiskurs</w:t>
      </w:r>
    </w:p>
    <w:p>
      <w:r>
        <w:rPr>
          <w:color w:val="5A7D3A"/>
          <w:sz w:val="18"/>
        </w:rPr>
        <w:t>https://pubmed.ncbi.nlm.nih.gov/42593520/</w:t>
      </w:r>
    </w:p>
    <w:p>
      <w:pPr>
        <w:pStyle w:val="Heading2"/>
      </w:pPr>
      <w:r>
        <w:t>Körperliche Funktionsfähigkeit und Frailty im sehr hohen Alter</w:t>
      </w:r>
    </w:p>
    <w:p>
      <w:r>
        <w:rPr>
          <w:i/>
          <w:color w:val="666666"/>
          <w:sz w:val="18"/>
        </w:rPr>
        <w:t>Nowossadeck S et al.  ·  Bundesgesundheitsblatt Gesundheitsforschung Gesundheitsschutz  ·  11.08.2026  ·  PMID 42579141</w:t>
      </w:r>
    </w:p>
    <w:p>
      <w:r>
        <w:t>Analyse von Funktionsfähigkeit und Frailty bei über 80-Jährigen in deutschen Privathaushalten mit GALI und spezifischen Funktionsindikatoren.</w:t>
      </w:r>
    </w:p>
    <w:p>
      <w:r>
        <w:rPr>
          <w:b/>
        </w:rPr>
        <w:t xml:space="preserve">Ergebnis: </w:t>
      </w:r>
      <w:r>
        <w:t>Ein Viertel hat schwere funktionale Einschränkungen (GALI). Mobilität: 33 % bei &gt;1 km Gehstrecke, 17 % beim Treppensteigen stark begrenzt. Sensorische Defizite: 10 % Sehstörungen, 27 % Hörstörungen. Harninkontinenz 40 %. Robustheit 49 %, Pre-Frailty 43 %, Frailty 8,6 %. Geschlechts- und teilweise einkommensspezifische Unterschiede vorhanden.</w:t>
      </w:r>
    </w:p>
    <w:p>
      <w:r>
        <w:rPr>
          <w:b/>
          <w:sz w:val="19"/>
        </w:rPr>
        <w:t xml:space="preserve">Übertragbarkeit: </w:t>
      </w:r>
      <w:r>
        <w:rPr>
          <w:sz w:val="19"/>
        </w:rPr>
        <w:t>Deutsche Alternssurvey (DEAS) und Gesundheit 65+, direkt auf deutsches System übertragbar</w:t>
      </w:r>
    </w:p>
    <w:p>
      <w:r>
        <w:rPr>
          <w:color w:val="5A7D3A"/>
          <w:sz w:val="18"/>
        </w:rPr>
        <w:t>https://pubmed.ncbi.nlm.nih.gov/42579141/</w:t>
      </w:r>
    </w:p>
    <w:p>
      <w:pPr>
        <w:pStyle w:val="Heading2"/>
      </w:pPr>
      <w:r>
        <w:t>Genexpression in Mikroglia über die Lebensspanne: nichtlineare Muster und AD-Implikationen</w:t>
      </w:r>
    </w:p>
    <w:p>
      <w:r>
        <w:rPr>
          <w:i/>
          <w:color w:val="666666"/>
          <w:sz w:val="18"/>
        </w:rPr>
        <w:t>Muedano-Sosa A et al.  ·  Exp Gerontol  ·  01.10.2026  ·  PMID 42551772</w:t>
      </w:r>
    </w:p>
    <w:p>
      <w:r>
        <w:t>In-silico-Transkriptomanalyse öffentlicher Datensätze zur Charakterisierung von Genexpressions-Trajektorien während physiologischen und pathologischen Alterns von Mikroglia.</w:t>
      </w:r>
    </w:p>
    <w:p>
      <w:r>
        <w:rPr>
          <w:b/>
        </w:rPr>
        <w:t xml:space="preserve">Ergebnis: </w:t>
      </w:r>
      <w:r>
        <w:t>Physiologisches Alter der Mikroglia zeigt nichtlineare, spiegelsymmetrische Expressionsmuster bei Genen der Mitochondrienfunktion, lysosomalen Degradation und Immunantwort. Dieses Muster ist in humanen Daten konserviert. Bei pathologischem Altern (APP/PS1 transgene Mäuse) wird dieses adaptive Muster gestört – anhaltende Entzündungs- und Mitochondriendysfunktion. Mittleres Alter könnte kritischer Übergangspunkt sein, bevor Neuroinflammation einsetzt. Gene, die in transgenen Mäusen dysreguliert sind, zeigen ähnliche Trends in AD-Patienten.</w:t>
      </w:r>
    </w:p>
    <w:p>
      <w:r>
        <w:rPr>
          <w:b/>
          <w:sz w:val="19"/>
        </w:rPr>
        <w:t xml:space="preserve">Übertragbarkeit: </w:t>
      </w:r>
      <w:r>
        <w:rPr>
          <w:sz w:val="19"/>
        </w:rPr>
        <w:t>Mausmodelle und humane Daten, grundlagenwissenschaftlich; translational zu AD</w:t>
      </w:r>
    </w:p>
    <w:p>
      <w:r>
        <w:rPr>
          <w:color w:val="5A7D3A"/>
          <w:sz w:val="18"/>
        </w:rPr>
        <w:t>https://pubmed.ncbi.nlm.nih.gov/42551772/</w:t>
      </w:r>
    </w:p>
    <w:p>
      <w:pPr>
        <w:pStyle w:val="Heading1"/>
      </w:pPr>
      <w:r>
        <w:t>Aufgenommen am 10.09.2026</w:t>
      </w:r>
    </w:p>
    <w:p>
      <w:pPr>
        <w:pStyle w:val="Heading2"/>
      </w:pPr>
      <w:r>
        <w:t>Altersgerechte Umgebungen reduzieren Motoric-Cognitive-Risk-Syndrom</w:t>
      </w:r>
    </w:p>
    <w:p>
      <w:r>
        <w:rPr>
          <w:i/>
          <w:color w:val="666666"/>
          <w:sz w:val="18"/>
        </w:rPr>
        <w:t>Zhang H et al.  ·  Alzheimers Dement  ·  Sept. 2026  ·  PMID 42712112</w:t>
      </w:r>
    </w:p>
    <w:p>
      <w:r>
        <w:t>Prospektive Kohortenstudie aus den USA, die den Zusammenhang zwischen altersgerechten Lebensumgebungen und Inzidenz des Motoric Cognitive Risk Syndrome (Prädemenzsyndrom) untersucht.</w:t>
      </w:r>
    </w:p>
    <w:p>
      <w:r>
        <w:rPr>
          <w:b/>
        </w:rPr>
        <w:t xml:space="preserve">Ergebnis: </w:t>
      </w:r>
      <w:r>
        <w:t>Über 4 Jahre Nachbeobachtung: 801 Neuerkrankungen bei 7.608 älteren Erwachsenen (Durchschnittsalter 76,8 Jahre). Mit höherem altersgerechten Umgebungsscore geringeres MCR-Risiko (Q3: HR 0,75; 95%-KI 0,61–0,91; Q4: HR 0,62; 95%-KI 0,50–0,78); Dosis-Wirkungs-Beziehung nachgewiesen (HR 0,96 pro Punkt; p&lt;0,01).</w:t>
      </w:r>
    </w:p>
    <w:p>
      <w:r>
        <w:rPr>
          <w:b/>
          <w:sz w:val="19"/>
        </w:rPr>
        <w:t xml:space="preserve">Übertragbarkeit: </w:t>
      </w:r>
      <w:r>
        <w:rPr>
          <w:sz w:val="19"/>
        </w:rPr>
        <w:t>USA-Daten – Umweltgestaltung ist länderübergreifend adaptierbar, Outcome-Messung jedoch populationsspezifisch.</w:t>
      </w:r>
    </w:p>
    <w:p>
      <w:r>
        <w:rPr>
          <w:color w:val="5A7D3A"/>
          <w:sz w:val="18"/>
        </w:rPr>
        <w:t>https://pubmed.ncbi.nlm.nih.gov/42712112/</w:t>
      </w:r>
    </w:p>
    <w:p>
      <w:pPr>
        <w:pStyle w:val="Heading2"/>
      </w:pPr>
      <w:r>
        <w:t>Mundgesundheit und Gebrechlichkeit bei Krebspatienten: Metaanalyse</w:t>
      </w:r>
    </w:p>
    <w:p>
      <w:r>
        <w:rPr>
          <w:i/>
          <w:color w:val="666666"/>
          <w:sz w:val="18"/>
        </w:rPr>
        <w:t>Liu W et al.  ·  Front Public Health  ·  24.08.2026  ·  PMID 42707137</w:t>
      </w:r>
    </w:p>
    <w:p>
      <w:r>
        <w:t>Systematische Übersicht und Metaanalyse von 13 Studien (n=3.524) zur Prävalenz und Einflussfaktoren von Mundgebrechlichkeit (oral frailty) bei Krebspatienten.</w:t>
      </w:r>
    </w:p>
    <w:p>
      <w:r>
        <w:rPr>
          <w:b/>
        </w:rPr>
        <w:t xml:space="preserve">Ergebnis: </w:t>
      </w:r>
      <w:r>
        <w:t>Mundgebrechlichkeit-Prävalenz 52 % (95%-KI: 46–59 %). Signifikante Assoziationen mit: Zahnersatz (OR 15,09; KI 6,78–33,58), schlechter Mundgesundheit (OR 4,70; KI 2,13–10,39), körperlicher Frailty (OR 3,63; KI 2,40–5,50), Rauchen (OR 3,53; KI 2,34–5,31), Mangelernährung (OR 3,40; KI 2,01–5,75), Xerostomie (OR 3,46; KI 2,11–5,68) und Radiotherapie (OR 2,62; KI 1,67–4,11).</w:t>
      </w:r>
    </w:p>
    <w:p>
      <w:r>
        <w:rPr>
          <w:b/>
          <w:sz w:val="19"/>
        </w:rPr>
        <w:t xml:space="preserve">Übertragbarkeit: </w:t>
      </w:r>
      <w:r>
        <w:rPr>
          <w:sz w:val="19"/>
        </w:rPr>
        <w:t>Internationale Metaanalyse – risikofaktoren geriatrierelevant, aber Mundhygiene-Standards regional unterschiedlich.</w:t>
      </w:r>
    </w:p>
    <w:p>
      <w:r>
        <w:rPr>
          <w:color w:val="5A7D3A"/>
          <w:sz w:val="18"/>
        </w:rPr>
        <w:t>https://pubmed.ncbi.nlm.nih.gov/42707137/</w:t>
      </w:r>
    </w:p>
    <w:p>
      <w:pPr>
        <w:pStyle w:val="Heading2"/>
      </w:pPr>
      <w:r>
        <w:t>Demenzkonversion bei milder kognitiver Beeinträchtigung: Inzidenzraten in Brasilien</w:t>
      </w:r>
    </w:p>
    <w:p>
      <w:r>
        <w:rPr>
          <w:i/>
          <w:color w:val="666666"/>
          <w:sz w:val="18"/>
        </w:rPr>
        <w:t>Engelmann GTO et al.  ·  Alzheimers Dement  ·  Sept. 2026  ·  PMID 42706593</w:t>
      </w:r>
    </w:p>
    <w:p>
      <w:r>
        <w:t>15-Jahres-Kohortenstudie der kognitiven Entwicklung brasilianischer Älterer, die Übergangsraten von milder kognitiver Beeinträchtigung zu Demenz vom Alzheimer-Typ quantifiziert.</w:t>
      </w:r>
    </w:p>
    <w:p>
      <w:r>
        <w:rPr>
          <w:b/>
        </w:rPr>
        <w:t xml:space="preserve">Ergebnis: </w:t>
      </w:r>
      <w:r>
        <w:t>Jährliche Demenzkonversionsrate in der MCI-Gruppe 10,72 pro 100 Personenjahre (95%-KI: 8,54–13,29 %); kumulative Inzidenz nach 3 Jahren 29,85 % (95%-KI: 22,74–36,96 %), unter Berücksichtigung von Sterblichkeit als konkurrierende Ereignis. Die Studie belegt rasche Progression in Ländern mit mittlerem und niedrigem Einkommen.</w:t>
      </w:r>
    </w:p>
    <w:p>
      <w:r>
        <w:rPr>
          <w:b/>
          <w:sz w:val="19"/>
        </w:rPr>
        <w:t xml:space="preserve">Übertragbarkeit: </w:t>
      </w:r>
      <w:r>
        <w:rPr>
          <w:sz w:val="19"/>
        </w:rPr>
        <w:t>Brasilien - Daten für Länder mit niedrigerer Lebenserwartung; Übertragbarkeit auf Deutschland begrenzt.</w:t>
      </w:r>
    </w:p>
    <w:p>
      <w:r>
        <w:rPr>
          <w:color w:val="5A7D3A"/>
          <w:sz w:val="18"/>
        </w:rPr>
        <w:t>https://pubmed.ncbi.nlm.nih.gov/42706593/</w:t>
      </w:r>
    </w:p>
    <w:p>
      <w:pPr>
        <w:pStyle w:val="Heading2"/>
      </w:pPr>
      <w:r>
        <w:t>Lifestyle und Telomerlänge bei psychischen Erkrankungen</w:t>
      </w:r>
    </w:p>
    <w:p>
      <w:r>
        <w:rPr>
          <w:i/>
          <w:color w:val="666666"/>
          <w:sz w:val="18"/>
        </w:rPr>
        <w:t>Mlakar V et al.  ·  Transl Psychiatry  ·  02.09.2026  ·  PMID 42706234</w:t>
      </w:r>
    </w:p>
    <w:p>
      <w:r>
        <w:t>Querschnittstudie, die den Zusammenhang zwischen Lebensstilfaktoren und biologischem Alterungsmarker (Telomerlänge) bei 410 Personen mit schweren psychischen Störungen untersucht.</w:t>
      </w:r>
    </w:p>
    <w:p>
      <w:r>
        <w:rPr>
          <w:b/>
        </w:rPr>
        <w:t xml:space="preserve">Ergebnis: </w:t>
      </w:r>
      <w:r>
        <w:t>Personen mit ungesundem Lebensstil hatten kürzere Telomere als solche mit gesundem Lebensstil (Cohens d = 0,58, F = 8,62, p = 0,004). Mit zunehmender Anzahl ungesunder Verhaltensweisen kürzere Telomere (F = 2,69, p = 0,02, adjustiert für Alter, Geschlecht, Ethnizität, Trauma, Medikation, Bildung, Diagnose). Gesunder Lebensstil assoziiert mit etwa 6 Jahren niedrigerem biologischem Alter.</w:t>
      </w:r>
    </w:p>
    <w:p>
      <w:r>
        <w:rPr>
          <w:b/>
          <w:sz w:val="19"/>
        </w:rPr>
        <w:t xml:space="preserve">Übertragbarkeit: </w:t>
      </w:r>
      <w:r>
        <w:rPr>
          <w:sz w:val="19"/>
        </w:rPr>
        <w:t>Norwegen-England – psychische Grundpopulation, methodisch solid; Übertragbarkeit auf deutsches Versorgungssystem moderat.</w:t>
      </w:r>
    </w:p>
    <w:p>
      <w:r>
        <w:rPr>
          <w:color w:val="5A7D3A"/>
          <w:sz w:val="18"/>
        </w:rPr>
        <w:t>https://pubmed.ncbi.nlm.nih.gov/42706234/</w:t>
      </w:r>
    </w:p>
    <w:p>
      <w:pPr>
        <w:pStyle w:val="Heading2"/>
      </w:pPr>
      <w:r>
        <w:t>Perspektivenübernahme reduziert Altersstereotypen bei Onlineinterventionen</w:t>
      </w:r>
    </w:p>
    <w:p>
      <w:r>
        <w:rPr>
          <w:i/>
          <w:color w:val="666666"/>
          <w:sz w:val="18"/>
        </w:rPr>
        <w:t>Stecker L et al.  ·  J Aging Stud  ·  08.08.2026  ·  PMID 42705830</w:t>
      </w:r>
    </w:p>
    <w:p>
      <w:r>
        <w:t>Experimentelle Studie, welche von drei Kurzzeitinterventionen gegen Altersdiskriminierung und Hassrede im Internet die Wirksamkeit vergleicht.</w:t>
      </w:r>
    </w:p>
    <w:p>
      <w:r>
        <w:rPr>
          <w:b/>
        </w:rPr>
        <w:t xml:space="preserve">Ergebnis: </w:t>
      </w:r>
      <w:r>
        <w:t>Perspektivenübernahme war die einzige Intervention, die explizite Stereotype signifikant reduzierte (zwischen den Gruppen gemessen mit IAT und Likert-Skalen); implizite Ageism-Verzerrung wurde durch keine der drei kurzen Interventionen verschoben. Altersangst moderierte die Effektivität nicht, sagte aber explizite Altersdiskriminierung voraus.</w:t>
      </w:r>
    </w:p>
    <w:p>
      <w:r>
        <w:rPr>
          <w:b/>
          <w:sz w:val="19"/>
        </w:rPr>
        <w:t xml:space="preserve">Übertragbarkeit: </w:t>
      </w:r>
      <w:r>
        <w:rPr>
          <w:sz w:val="19"/>
        </w:rPr>
        <w:t>Deutschland - universitäre Stichprobe, aber Onlineformat länderübergreifend einsetzbar.</w:t>
      </w:r>
    </w:p>
    <w:p>
      <w:r>
        <w:rPr>
          <w:color w:val="5A7D3A"/>
          <w:sz w:val="18"/>
        </w:rPr>
        <w:t>https://pubmed.ncbi.nlm.nih.gov/42705830/</w:t>
      </w:r>
    </w:p>
    <w:p>
      <w:pPr>
        <w:pStyle w:val="Heading2"/>
      </w:pPr>
      <w:r>
        <w:t>Schichtarbeit, biologische Altersbeschleunigung und Sterblichkeit</w:t>
      </w:r>
    </w:p>
    <w:p>
      <w:r>
        <w:rPr>
          <w:i/>
          <w:color w:val="666666"/>
          <w:sz w:val="18"/>
        </w:rPr>
        <w:t>Wang R et al.  ·  Int Arch Occup Environ Health  ·  06.09.2026  ·  PMID 42701914</w:t>
      </w:r>
    </w:p>
    <w:p>
      <w:r>
        <w:t>Prospektive Kohortenstudie von 7.548 US-Erwachsenen mit Mortality-Follow-up, die Assoziationen zwischen Schichtarbeit und All-cause-Mortalität sowie die Rolle biologischer Altersbeschleunigung untersucht.</w:t>
      </w:r>
    </w:p>
    <w:p>
      <w:r>
        <w:rPr>
          <w:b/>
        </w:rPr>
        <w:t xml:space="preserve">Ergebnis: </w:t>
      </w:r>
      <w:r>
        <w:t>Schichtarbeit assoziiert mit erhöhter Gesamtsterblichkeit (HR 1,52; 95%-KI 1,09–2,13). Schichtarbeiter zeigten stärkere PhenoAge-Beschleunigung (β = 0,39 Jahre). PhenoAge-Beschleunigung statistisch verantwortlich für 6,18 % der Assoziation zwischen Schichtarbeit und Sterblichkeit (kausale Mediation nicht inferierbar).</w:t>
      </w:r>
    </w:p>
    <w:p>
      <w:r>
        <w:rPr>
          <w:b/>
          <w:sz w:val="19"/>
        </w:rPr>
        <w:t xml:space="preserve">Übertragbarkeit: </w:t>
      </w:r>
      <w:r>
        <w:rPr>
          <w:sz w:val="19"/>
        </w:rPr>
        <w:t>USA-NHANES-Daten – Schichtarbeit-Definition international vergleichbar, aber Arbeitsmarkt und Sozialversicherung unterscheiden sich erheblich.</w:t>
      </w:r>
    </w:p>
    <w:p>
      <w:r>
        <w:rPr>
          <w:color w:val="5A7D3A"/>
          <w:sz w:val="18"/>
        </w:rPr>
        <w:t>https://pubmed.ncbi.nlm.nih.gov/42701914/</w:t>
      </w:r>
    </w:p>
    <w:p>
      <w:pPr>
        <w:pStyle w:val="Heading1"/>
      </w:pPr>
      <w:r>
        <w:t>Aufgenommen am 09.09.2026</w:t>
      </w:r>
    </w:p>
    <w:p>
      <w:pPr>
        <w:pStyle w:val="Heading2"/>
      </w:pPr>
      <w:r>
        <w:t>Sozioökonomische Ungleichheiten in der Lebenserwartung nach Diagnose: Dänemark 64 Erkrankungen</w:t>
      </w:r>
    </w:p>
    <w:p>
      <w:r>
        <w:rPr>
          <w:i/>
          <w:color w:val="666666"/>
          <w:sz w:val="18"/>
        </w:rPr>
        <w:t>Pallesen AVJ et al.  ·  Eur J Public Health  ·  04.08.2026  ·  PMID 42709676</w:t>
      </w:r>
    </w:p>
    <w:p>
      <w:r>
        <w:t>Bevölkerungsregister-Studie (4,4 Mio. Dänen) mit Multistate-Modellen zur Abbildung von Bildungs- und Einkommensungleichheiten in der Lebenserwartung nach Diagnose von 64 nichtübertragbaren Erkrankungen.</w:t>
      </w:r>
    </w:p>
    <w:p>
      <w:r>
        <w:rPr>
          <w:b/>
        </w:rPr>
        <w:t xml:space="preserve">Ergebnis: </w:t>
      </w:r>
      <w:r>
        <w:t>Bildungs- und Einkommensungleichheiten in der Lebenserwartung nach Diagnosestellung waren konsistent über alle 64 Erkrankungen hinweg vorhanden. Beispiel Leberzirrhose: Hochgebildete 50-Jährige mit Diagnose lebten 17 Jahre (Frauen) bzw. 13 Jahre (Männer) länger als Niedriggebildete (14 bzw. 10 Jahre). Befund zeigt universelles Muster: Sozioökonomische Position beeinflusst Krankheitsverlauf und Mortalität unabhängig von der Erkrankung.</w:t>
      </w:r>
    </w:p>
    <w:p>
      <w:r>
        <w:rPr>
          <w:b/>
          <w:sz w:val="19"/>
        </w:rPr>
        <w:t xml:space="preserve">Übertragbarkeit: </w:t>
      </w:r>
      <w:r>
        <w:rPr>
          <w:sz w:val="19"/>
        </w:rPr>
        <w:t>Dänische Vollpopulationsdaten, Sozialversicherungssystem vergleichbar mit Deutschland.</w:t>
      </w:r>
    </w:p>
    <w:p>
      <w:r>
        <w:rPr>
          <w:color w:val="5A7D3A"/>
          <w:sz w:val="18"/>
        </w:rPr>
        <w:t>https://pubmed.ncbi.nlm.nih.gov/42709676/</w:t>
      </w:r>
    </w:p>
    <w:p>
      <w:pPr>
        <w:pStyle w:val="Heading2"/>
      </w:pPr>
      <w:r>
        <w:t>Allostatic Load vorhersagt Frailty-Entwicklung: 12-Jahres-Längsschnittstudie</w:t>
      </w:r>
    </w:p>
    <w:p>
      <w:r>
        <w:rPr>
          <w:i/>
          <w:color w:val="666666"/>
          <w:sz w:val="18"/>
        </w:rPr>
        <w:t>Arkesteijn M et al.  ·  Stress Health  ·  Okt. 2026  ·  PMID 42708507</w:t>
      </w:r>
    </w:p>
    <w:p>
      <w:r>
        <w:t>English Longitudinal Survey on Ageing (ELSA): 3248 Personen 50–89 Jahre über 12 Jahre; Analyse, ob Allostatic Load (Multimarkerbiomarker chronischen Stresses) die Neuonset von Prä-Frailty oder Frailty vorhersagt.</w:t>
      </w:r>
    </w:p>
    <w:p>
      <w:r>
        <w:rPr>
          <w:b/>
        </w:rPr>
        <w:t xml:space="preserve">Ergebnis: </w:t>
      </w:r>
      <w:r>
        <w:t>Erhöhte Allostatic Load war signifikanter Prädiktor für Onset von Prä-Frailty und Frailty (Hazard Ratio nicht in Abstract beziffert). Soziale Unterstützung modifizierte diesen Effekt modifizierbar. Alter und Geschlecht interagierten nicht mit Allostatic Load und Frailty-Vorhersage. Allostatic Load könnte als Screening-Instrument für Frailty-Risiko bei aktuell nicht-frailem Individuen dienen.</w:t>
      </w:r>
    </w:p>
    <w:p>
      <w:r>
        <w:rPr>
          <w:b/>
          <w:sz w:val="19"/>
        </w:rPr>
        <w:t xml:space="preserve">Übertragbarkeit: </w:t>
      </w:r>
      <w:r>
        <w:rPr>
          <w:sz w:val="19"/>
        </w:rPr>
        <w:t>Großbritannien, NHS-System, nationale Surveydaten vergleichbar mit deutschem Setting.</w:t>
      </w:r>
    </w:p>
    <w:p>
      <w:r>
        <w:rPr>
          <w:color w:val="5A7D3A"/>
          <w:sz w:val="18"/>
        </w:rPr>
        <w:t>https://pubmed.ncbi.nlm.nih.gov/42708507/</w:t>
      </w:r>
    </w:p>
    <w:p>
      <w:pPr>
        <w:pStyle w:val="Heading2"/>
      </w:pPr>
      <w:r>
        <w:t>Zivilgesellschaftliche Beteiligung älterer Menschen und wahrgenommene Gesundheit</w:t>
      </w:r>
    </w:p>
    <w:p>
      <w:r>
        <w:rPr>
          <w:i/>
          <w:color w:val="666666"/>
          <w:sz w:val="18"/>
        </w:rPr>
        <w:t>Cantore M et al.  ·  Front Public Health  ·  24.08.2026  ·  PMID 42707366</w:t>
      </w:r>
    </w:p>
    <w:p>
      <w:r>
        <w:t>Qualitative Studie (Italien, 2025): 12 ältere Erwachsene (≥70 Jahre) zu Erfahrungen mit zivilgesellschaftlicher und politischer Partizipation und deren Auswirkungen auf Gesundheit und Wohlbefinden.</w:t>
      </w:r>
    </w:p>
    <w:p>
      <w:r>
        <w:rPr>
          <w:b/>
        </w:rPr>
        <w:t xml:space="preserve">Ergebnis: </w:t>
      </w:r>
      <w:r>
        <w:t>Freiwilliges Engagement fördert körperliche Mobilität, Handlungsfähigkeit und Selbstwirksamkeit. Politische Partizipation wirkt kognitiv stimulierend, führt aber häufig zu emotionaler Erschöpfung, Entfremdung und Frustration. Intergenerationale Lernprozesse und Dialog gelten als zentral für nachhaltiges Engagement. Befund belegt, dass emotionale Belastung durch politische Enttäuschung zu beachten ist.</w:t>
      </w:r>
    </w:p>
    <w:p>
      <w:r>
        <w:rPr>
          <w:b/>
          <w:sz w:val="19"/>
        </w:rPr>
        <w:t xml:space="preserve">Übertragbarkeit: </w:t>
      </w:r>
      <w:r>
        <w:rPr>
          <w:sz w:val="19"/>
        </w:rPr>
        <w:t>Italien, Südeuropa; Gesundheitssystem und zivilgesellschaftliche Strukturen unterscheiden sich von Deutschland.</w:t>
      </w:r>
    </w:p>
    <w:p>
      <w:r>
        <w:rPr>
          <w:color w:val="5A7D3A"/>
          <w:sz w:val="18"/>
        </w:rPr>
        <w:t>https://pubmed.ncbi.nlm.nih.gov/42707366/</w:t>
      </w:r>
    </w:p>
    <w:p>
      <w:pPr>
        <w:pStyle w:val="Heading2"/>
      </w:pPr>
      <w:r>
        <w:t>Altern ohne Verwandte: Transnigration, Sehnsucht und Desillusionierung</w:t>
      </w:r>
    </w:p>
    <w:p>
      <w:r>
        <w:rPr>
          <w:i/>
          <w:color w:val="666666"/>
          <w:sz w:val="18"/>
        </w:rPr>
        <w:t>Mishra J et al.  ·  J Aging Stud  ·  26.06.2026  ·  PMID 42705826</w:t>
      </w:r>
    </w:p>
    <w:p>
      <w:r>
        <w:t>Ethnografische Studie in Patiala (Nordindien) mit älteren Erwachsenen: Erfahrungen mit transnationaler Migration ihrer Familienangehörigen und deren Auswirkungen auf Wahrnehmung von Sorge, Zugehörigkeit und Familienrekonfiguration im Alter.</w:t>
      </w:r>
    </w:p>
    <w:p>
      <w:r>
        <w:rPr>
          <w:b/>
        </w:rPr>
        <w:t xml:space="preserve">Ergebnis: </w:t>
      </w:r>
      <w:r>
        <w:t>Ältere Ermöglichen Emigration ihrer Kinder durch Ressourcen-Pooling; erleben aber Abwesenheit emigrierter Kinder in paradoxer Liminalität. Zunehmende Desillusionierung mit Staat (Arbeitslosigkeit, Agrarkrise, Korruption), komplexe Beziehungen zu internen Migranten aus anderen Bundesstaaten. Migration produziert mehrschichtige affektive, soziale und politische Verflechtungen, die Alterserfahrung prägen.</w:t>
      </w:r>
    </w:p>
    <w:p>
      <w:r>
        <w:rPr>
          <w:b/>
          <w:sz w:val="19"/>
        </w:rPr>
        <w:t xml:space="preserve">Übertragbarkeit: </w:t>
      </w:r>
      <w:r>
        <w:rPr>
          <w:sz w:val="19"/>
        </w:rPr>
        <w:t>Indien, nicht übertragbar; dokumentiert Mechanismen familiärer und sozialer Strukturen beim Altern unter Migrationsdruck.</w:t>
      </w:r>
    </w:p>
    <w:p>
      <w:r>
        <w:rPr>
          <w:color w:val="5A7D3A"/>
          <w:sz w:val="18"/>
        </w:rPr>
        <w:t>https://pubmed.ncbi.nlm.nih.gov/42705826/</w:t>
      </w:r>
    </w:p>
    <w:p>
      <w:pPr>
        <w:pStyle w:val="Heading2"/>
      </w:pPr>
      <w:r>
        <w:t>Kognitives Frailty bei hospitalisierten älteren Patienten mit Herzinsuffizienz</w:t>
      </w:r>
    </w:p>
    <w:p>
      <w:r>
        <w:rPr>
          <w:i/>
          <w:color w:val="666666"/>
          <w:sz w:val="18"/>
        </w:rPr>
        <w:t>Mou Y et al.  ·  Front Public Health  ·  21.08.2026  ·  PMID 42698449</w:t>
      </w:r>
    </w:p>
    <w:p>
      <w:r>
        <w:t>Systematischer Review (8 Querschnittsstudien, 20 Modelle zur Identifikation von kognitiver Frailty bei hospitalisierten älteren Patienten mit chronischer Herzinsuffizienz in China).</w:t>
      </w:r>
    </w:p>
    <w:p>
      <w:r>
        <w:rPr>
          <w:b/>
        </w:rPr>
        <w:t xml:space="preserve">Ergebnis: </w:t>
      </w:r>
      <w:r>
        <w:t>Alle Modelle waren Screening-/Diagnosemodelle für prävalentes kognitives Frailty (nicht prognostisch). Externe Validierung zeigte AUC 0,770–0,852. Häufigste Prädiktoren: Alter, NYHA-Klassifikation, Depression, Ernährungsstatus und Schlaf-Faktoren. Alle Studien mit hohem Bias-Risiko; Modelle nicht reif für klinische Routineentscheidungen. Prospektive Modellentwicklung, Multicenter-Validierung und klinische Effektivitätsanalysen erforderlich.</w:t>
      </w:r>
    </w:p>
    <w:p>
      <w:r>
        <w:rPr>
          <w:b/>
          <w:sz w:val="19"/>
        </w:rPr>
        <w:t xml:space="preserve">Übertragbarkeit: </w:t>
      </w:r>
      <w:r>
        <w:rPr>
          <w:sz w:val="19"/>
        </w:rPr>
        <w:t>China, andere Strukturen; Befund zeigt, welche Faktoren kognitives Frailty bestimmen – relevant für deutsches geriatrisches Assessment.</w:t>
      </w:r>
    </w:p>
    <w:p>
      <w:r>
        <w:rPr>
          <w:color w:val="5A7D3A"/>
          <w:sz w:val="18"/>
        </w:rPr>
        <w:t>https://pubmed.ncbi.nlm.nih.gov/42698449/</w:t>
      </w:r>
    </w:p>
    <w:p>
      <w:pPr>
        <w:pStyle w:val="Heading2"/>
      </w:pPr>
      <w:r>
        <w:t>SFRP2 und FSTL1 regulieren DHT-induzierte Seneszenz in Haarfollikeln</w:t>
      </w:r>
    </w:p>
    <w:p>
      <w:r>
        <w:rPr>
          <w:i/>
          <w:color w:val="666666"/>
          <w:sz w:val="18"/>
        </w:rPr>
        <w:t>Huang Y et al.  ·  Aging Cell  ·  Sept. 2026  ·  PMID 42698274</w:t>
      </w:r>
    </w:p>
    <w:p>
      <w:r>
        <w:t>Mechanistische Studie zu androgenetischer Alopezie (AGA): Knock-down-Experimente und Mausmodell zur Rolle der SFRP2-FSTL1-Achse bei DHT-induzierten mitochondrialen Dysfunktionen und Seneszenz von Dermalapilla-Zellen.</w:t>
      </w:r>
    </w:p>
    <w:p>
      <w:r>
        <w:rPr>
          <w:b/>
        </w:rPr>
        <w:t xml:space="preserve">Ergebnis: </w:t>
      </w:r>
      <w:r>
        <w:t>SFRP2 hochexprimiert in AGA-Dermalapilla-Zellen. SFRP2-Knockdown verbesserte Haaregeneration und Follikel-Morphologie in vivo, förderte DPC-Proliferation/Migration in vitro. SFRP2 beeinflusst FSTL1-Proteinstabilität. Knockdown von FSTL1 hob negative Effekte von SFRP2-Überexpression auf. SFRP2-FSTL1-Achse als neuer therapeutischer Ansatzpunkt für AGA-Verlangsamung identifiziert.</w:t>
      </w:r>
    </w:p>
    <w:p>
      <w:r>
        <w:rPr>
          <w:b/>
          <w:sz w:val="19"/>
        </w:rPr>
        <w:t xml:space="preserve">Übertragbarkeit: </w:t>
      </w:r>
      <w:r>
        <w:rPr>
          <w:sz w:val="19"/>
        </w:rPr>
        <w:t>Grundlagenforschung mit klinischem Ansatz (AGA-Behandlung); zelluläre Seneszenz-Mechanismen relevant für Aging-Verständnis.</w:t>
      </w:r>
    </w:p>
    <w:p>
      <w:r>
        <w:rPr>
          <w:color w:val="5A7D3A"/>
          <w:sz w:val="18"/>
        </w:rPr>
        <w:t>https://pubmed.ncbi.nlm.nih.gov/42698274/</w:t>
      </w:r>
    </w:p>
    <w:p>
      <w:pPr>
        <w:pStyle w:val="Heading2"/>
      </w:pPr>
      <w:r>
        <w:t>Körperliche Aktivität moderiert psychische Belastung im Alter unterschiedlich</w:t>
      </w:r>
    </w:p>
    <w:p>
      <w:r>
        <w:rPr>
          <w:i/>
          <w:color w:val="666666"/>
          <w:sz w:val="18"/>
        </w:rPr>
        <w:t>Järvensivu L et al.  ·  J Psychiatr Res  ·  07.08.2026  ·  PMID 42585821</w:t>
      </w:r>
    </w:p>
    <w:p>
      <w:r>
        <w:t>Finnische Kohortenstudie (Helsinki Health Study 2017–2022): Zwei Altersgruppen (19–39 Jahre und 55–75 Jahre) zur Assoziation zwischen Intensität der Freizeit-Bewegungsaktivität und psychischer Belastung nach 5 Jahren.</w:t>
      </w:r>
    </w:p>
    <w:p>
      <w:r>
        <w:rPr>
          <w:b/>
        </w:rPr>
        <w:t xml:space="preserve">Ergebnis: </w:t>
      </w:r>
      <w:r>
        <w:t>Höhere moderate Aktivität assoziiert mit weniger psychischer Belastung nur in der älteren Kohorte (β = −0,163; p &lt; 0,001). Vigorous Activity zeigte altersunabhängig protektive Wirkung (β = −0,053 für beide; p &lt; 0,001). Effekt blieb nach Anpassung für Soziodemografika und Gesundheitsfaktoren signifikant.</w:t>
      </w:r>
    </w:p>
    <w:p>
      <w:r>
        <w:rPr>
          <w:b/>
          <w:sz w:val="19"/>
        </w:rPr>
        <w:t xml:space="preserve">Übertragbarkeit: </w:t>
      </w:r>
      <w:r>
        <w:rPr>
          <w:sz w:val="19"/>
        </w:rPr>
        <w:t>Finnland, skandinavisches Versicherungssystem, vergleichbare Erfassungsstandards.</w:t>
      </w:r>
    </w:p>
    <w:p>
      <w:r>
        <w:rPr>
          <w:color w:val="5A7D3A"/>
          <w:sz w:val="18"/>
        </w:rPr>
        <w:t>https://pubmed.ncbi.nlm.nih.gov/42585821/</w:t>
      </w:r>
    </w:p>
    <w:p>
      <w:pPr>
        <w:pStyle w:val="Heading1"/>
      </w:pPr>
      <w:r>
        <w:t>Aufgenommen am 08.09.2026</w:t>
      </w:r>
    </w:p>
    <w:p>
      <w:pPr>
        <w:pStyle w:val="Heading2"/>
      </w:pPr>
      <w:r>
        <w:t>Langzeitpflege für Ältere in Südostasien: Verfügbarkeit, Qualität und Lücken</w:t>
      </w:r>
    </w:p>
    <w:p>
      <w:r>
        <w:rPr>
          <w:i/>
          <w:color w:val="666666"/>
          <w:sz w:val="18"/>
        </w:rPr>
        <w:t>Sasaki Y et al.  ·  Geriatr Gerontol Int  ·  Sept. 2026  ·  PMID 42705630</w:t>
      </w:r>
    </w:p>
    <w:p>
      <w:r>
        <w:t>Mixed-Methods-Studie (Sekundärdaten zu UHC, demografische Trends, Expertinneninterviews, 7 Evaluationsdomänen) zur Organisation und Qualität der Langzeitpflege in Kambodscha, Thailand, Philippinen, Malaysia und Myanmar während des demographischen Wandels.</w:t>
      </w:r>
    </w:p>
    <w:p>
      <w:r>
        <w:rPr>
          <w:b/>
        </w:rPr>
        <w:t xml:space="preserve">Ergebnis: </w:t>
      </w:r>
      <w:r>
        <w:t>Positive Assoziation zwischen UHC-Fortschritt und Altersstruktur. Langzeitpflege-Organisation und -Versorgung variieren stark; Heimbasierte Pflege dominiert, Verfügbarkeit und Integration öffentlicher Dienste inkonsistent. Demenzbetreuung weitgehend unerkannt, haushaltszentriert. Informations- und Kommunikationstechnologien minimal/absent. Thailand zeigt Fortschritt bei Rehabilitations-UHC-Verknüpfung, aber Personalengpässe und Zugangsbarrieren. Präventivversorgung, einschließlich Frailty-Prävention, unterentwickelt.</w:t>
      </w:r>
    </w:p>
    <w:p>
      <w:r>
        <w:rPr>
          <w:b/>
          <w:sz w:val="19"/>
        </w:rPr>
        <w:t xml:space="preserve">Übertragbarkeit: </w:t>
      </w:r>
      <w:r>
        <w:rPr>
          <w:sz w:val="19"/>
        </w:rPr>
        <w:t>Südostasien, unterschiedliche Finanzierungssysteme und Entwicklungslagen; Befunde zeigen regionale Unterschiede, Übertragung auf Deutschland begrenzt, aber Policy-Implikationen relevant</w:t>
      </w:r>
    </w:p>
    <w:p>
      <w:r>
        <w:rPr>
          <w:color w:val="5A7D3A"/>
          <w:sz w:val="18"/>
        </w:rPr>
        <w:t>https://pubmed.ncbi.nlm.nih.gov/42705630/</w:t>
      </w:r>
    </w:p>
    <w:p>
      <w:pPr>
        <w:pStyle w:val="Heading2"/>
      </w:pPr>
      <w:r>
        <w:t>Gezieltes Kraft- und Balancetraining verbessert Mobilität älterer Aboriginal-Menschen</w:t>
      </w:r>
    </w:p>
    <w:p>
      <w:r>
        <w:rPr>
          <w:i/>
          <w:color w:val="666666"/>
          <w:sz w:val="18"/>
        </w:rPr>
        <w:t>Ivers R et al.  ·  Age Ageing  ·  04.09.2026  ·  PMID 42704260</w:t>
      </w:r>
    </w:p>
    <w:p>
      <w:r>
        <w:t>Kontrollierte Vorher-nachher-Studie (n=19 Standorte Australien, Ironbark-Programm) zum Effekt eines Co-Design-Sturzvorsorgeprogramms mit Übungen und Yarning Circles auf funktionelle Mobilität und Stürze bei Aboriginal-Älteren (≥45 Jahre, n=vor allem Intervention).</w:t>
      </w:r>
    </w:p>
    <w:p>
      <w:r>
        <w:rPr>
          <w:b/>
        </w:rPr>
        <w:t xml:space="preserve">Ergebnis: </w:t>
      </w:r>
      <w:r>
        <w:t>Signifikante Verbesserung der primären Outcome funktionelle Mobilität (SPPB-Veränderung +0,8 Punkte, 95 % CI 0,4–1,1), kürzere Schrittzeiten, bessere Beinstabilität, mehr geplante und beiläufige Bewegung. Keine signifikanten Änderungen bei Stürzen, Lebensqualität oder psychischer Belastung. Kontrollgruppe (Healthy Community) zeigte Verschlechterungen.</w:t>
      </w:r>
    </w:p>
    <w:p>
      <w:r>
        <w:rPr>
          <w:b/>
          <w:sz w:val="19"/>
        </w:rPr>
        <w:t xml:space="preserve">Übertragbarkeit: </w:t>
      </w:r>
      <w:r>
        <w:rPr>
          <w:sz w:val="19"/>
        </w:rPr>
        <w:t>Australien, Kontrollstudie mit funktionellem Endpunkt, Design übertragbar auf andere First-Nations-Settings</w:t>
      </w:r>
    </w:p>
    <w:p>
      <w:r>
        <w:rPr>
          <w:color w:val="5A7D3A"/>
          <w:sz w:val="18"/>
        </w:rPr>
        <w:t>https://pubmed.ncbi.nlm.nih.gov/42704260/</w:t>
      </w:r>
    </w:p>
    <w:p>
      <w:pPr>
        <w:pStyle w:val="Heading2"/>
      </w:pPr>
      <w:r>
        <w:t>Individuelle Ernährungsintervention mit Krafttraining verbessert Frailty bei hospitalisierten Älteren</w:t>
      </w:r>
    </w:p>
    <w:p>
      <w:r>
        <w:rPr>
          <w:i/>
          <w:color w:val="666666"/>
          <w:sz w:val="18"/>
        </w:rPr>
        <w:t>Chen L et al.  ·  J Int Med Res  ·  07.09.2026  ·  PMID 42704222</w:t>
      </w:r>
    </w:p>
    <w:p>
      <w:r>
        <w:t>Prospektive Pilotkohorte ohne Kontrolle (n=120, Durchschnittsalter 87 Jahre) zur Wirkung von Screening-gesteuerter individualisierter Ernährungsunterstützung (bei MNA-SF ≤11) kombiniert mit dosiertem Theraband-Krafttraining 3x wöchentlich über 12 Wochen.</w:t>
      </w:r>
    </w:p>
    <w:p>
      <w:r>
        <w:rPr>
          <w:b/>
        </w:rPr>
        <w:t xml:space="preserve">Ergebnis: </w:t>
      </w:r>
      <w:r>
        <w:t>Signifikante Verbesserungen: Serum-Transferrin, Präalbumin und Albumin (alle p&lt;0,05), MNA-SF-Scores, SPPB-Scores, Mobilität, ADL/IADL-Funktionen, Griffstärke und Gehgeschwindigkeit (alle p&lt;0,05). SPPB-Mindesteffekt erreicht bei höherem Bildungsniveau (aOR=1,96) und niedrigerem Ausgangs-Mobilitätswert (aOR=1,81). Ohne externe Validierung; Ergebnisse vorläufig.</w:t>
      </w:r>
    </w:p>
    <w:p>
      <w:r>
        <w:rPr>
          <w:b/>
          <w:sz w:val="19"/>
        </w:rPr>
        <w:t xml:space="preserve">Übertragbarkeit: </w:t>
      </w:r>
      <w:r>
        <w:rPr>
          <w:sz w:val="19"/>
        </w:rPr>
        <w:t>China (Klinikdaten), Struktur auf deutsche Geriatrie übertragbar (Assessment, Ernährung, Rehabilitation), klinische Dosierung dokumentiert</w:t>
      </w:r>
    </w:p>
    <w:p>
      <w:r>
        <w:rPr>
          <w:color w:val="5A7D3A"/>
          <w:sz w:val="18"/>
        </w:rPr>
        <w:t>https://pubmed.ncbi.nlm.nih.gov/42704222/</w:t>
      </w:r>
    </w:p>
    <w:p>
      <w:pPr>
        <w:pStyle w:val="Heading2"/>
      </w:pPr>
      <w:r>
        <w:t>Gestaffelte Auswahl von Frailty-Assessment-Instrumenten für die klinische Praxis</w:t>
      </w:r>
    </w:p>
    <w:p>
      <w:r>
        <w:rPr>
          <w:i/>
          <w:color w:val="666666"/>
          <w:sz w:val="18"/>
        </w:rPr>
        <w:t>Sládeček S et al.  ·  Clin Interv Aging  ·  02.09.2026  ·  PMID 42703386</w:t>
      </w:r>
    </w:p>
    <w:p>
      <w:r>
        <w:t>Narrative Übersicht über zehn validierte Frailty-Assessments (FRAIL, SOF, CFS, PRISMA-7, VES-13, Fried phenotype, TFI, GFI, EFS, FI-CGA) mit Analyse ihrer konzeptionellen Grundlagen, Einsatzdomänen und praktischen Anforderungen.</w:t>
      </w:r>
    </w:p>
    <w:p>
      <w:r>
        <w:rPr>
          <w:b/>
        </w:rPr>
        <w:t xml:space="preserve">Ergebnis: </w:t>
      </w:r>
      <w:r>
        <w:t>Gegenüberstellung zeigt: Kurze Screening-Tools (PRISMA-7, FRAIL) für erste Kontakte in Ambulanz/Gemeinde; CFS für schnelle klinische Stratifizierung in Akutaufnahme/Notfall; mehrdimensionale Instrumente (EFS) wenn breiterer Überblick nötig, aber keine vollständige geriatrische Diagnostik; CGA+FI-CGA für spezialisierte geriatrische Versorgung. Instrumentwahl hängt von Versorgungskontext, Zweck und Kapazität ab – keine Austauschbarkeit.</w:t>
      </w:r>
    </w:p>
    <w:p>
      <w:r>
        <w:rPr>
          <w:b/>
          <w:sz w:val="19"/>
        </w:rPr>
        <w:t xml:space="preserve">Übertragbarkeit: </w:t>
      </w:r>
      <w:r>
        <w:rPr>
          <w:sz w:val="19"/>
        </w:rPr>
        <w:t>Mehrsprachig validiert (europäischer und nordamerikanischer Raum), klinische Empfehlungen universell anwendbar, deutschsprachige Literatur einbezogen</w:t>
      </w:r>
    </w:p>
    <w:p>
      <w:r>
        <w:rPr>
          <w:color w:val="5A7D3A"/>
          <w:sz w:val="18"/>
        </w:rPr>
        <w:t>https://pubmed.ncbi.nlm.nih.gov/42703386/</w:t>
      </w:r>
    </w:p>
    <w:p>
      <w:pPr>
        <w:pStyle w:val="Heading2"/>
      </w:pPr>
      <w:r>
        <w:t>Digitale Technologien für aktives Altern: Bibliometrie und Forschungslandkarte</w:t>
      </w:r>
    </w:p>
    <w:p>
      <w:r>
        <w:rPr>
          <w:i/>
          <w:color w:val="666666"/>
          <w:sz w:val="18"/>
        </w:rPr>
        <w:t>Wang Y et al.  ·  Inquiry  ·  04.09.2026  ·  PMID 42695810</w:t>
      </w:r>
    </w:p>
    <w:p>
      <w:r>
        <w:t>Bibliometrische Analyse (n=837 Publikationen 2006–2025, Web of Science) zur Kartierung der Forschungslandschaft digitaler Technologien für aktives Altern, Identifikation von Clustern, Trends und thematischen Strukturen.</w:t>
      </w:r>
    </w:p>
    <w:p>
      <w:r>
        <w:rPr>
          <w:b/>
        </w:rPr>
        <w:t xml:space="preserve">Ergebnis: </w:t>
      </w:r>
      <w:r>
        <w:t>Publikationen steigen ab 2018 deutlich an. Fünf Forschungscluster: Technologieakzeptanz und Befähigung, digitale Lifestyle-Interventionen, digitale Partizipation und Smart Environments, eHealth-gestützte Verhaltensänderung, Machine-Learning-basierte Altersassessments. Schlüsselthemen: digitale Inklusion, körperliche Aktivität, Gesundheitsrisiko-Analytik, Lebensqualität. Verschiebung hin zu Funktionsfähigkeit und personalisierter Unterstützung; KI-basierte Assessments noch früh, sollten vorsichtig interpretiert werden.</w:t>
      </w:r>
    </w:p>
    <w:p>
      <w:r>
        <w:rPr>
          <w:b/>
          <w:sz w:val="19"/>
        </w:rPr>
        <w:t xml:space="preserve">Übertragbarkeit: </w:t>
      </w:r>
      <w:r>
        <w:rPr>
          <w:sz w:val="19"/>
        </w:rPr>
        <w:t>Globale Analyse, beschreibend (keine Wirksamkeitsdaten), Anwendbarkeit hängt von lokalen Systemen ab</w:t>
      </w:r>
    </w:p>
    <w:p>
      <w:r>
        <w:rPr>
          <w:color w:val="5A7D3A"/>
          <w:sz w:val="18"/>
        </w:rPr>
        <w:t>https://pubmed.ncbi.nlm.nih.gov/42695810/</w:t>
      </w:r>
    </w:p>
    <w:p>
      <w:pPr>
        <w:pStyle w:val="Heading2"/>
      </w:pPr>
      <w:r>
        <w:t>Körperliche Aktivität mindert Frailty-Risiko trotz belastender Kindheitserfahrungen</w:t>
      </w:r>
    </w:p>
    <w:p>
      <w:r>
        <w:rPr>
          <w:i/>
          <w:color w:val="666666"/>
          <w:sz w:val="18"/>
        </w:rPr>
        <w:t>Dong X et al.  ·  Gen Hosp Psychiatry  ·  15.08.2026  ·  PMID 42660041</w:t>
      </w:r>
    </w:p>
    <w:p>
      <w:r>
        <w:t>Prospektive Kohortenstudie (SHARE-Daten, n=23.385) zur Frage, ob ausreichende körperliche Aktivität die negativen Auswirkungen ungünstiger Kindheitserfahrungen (Adverse Childhood Experiences) auf kognitives Frailty im mittleren und höheren Alter abpuffert.</w:t>
      </w:r>
    </w:p>
    <w:p>
      <w:r>
        <w:rPr>
          <w:b/>
        </w:rPr>
        <w:t xml:space="preserve">Ergebnis: </w:t>
      </w:r>
      <w:r>
        <w:t>Jede zusätzliche ungünstige Kindheitserfahrung erhöhte das Frailty-Risiko um 9 % (HR=1,09). Ein Jahr ausreichende körperliche Aktivität senkte das Risiko um 25 % (HR=0,75). Langfristige Aufrechterhaltung (≥6 Jahre) reduzierte das Frailty-Risiko bei ungünstigen Erfahrungen um 54 % (HR=0,46); die Assoziation wurde zu 23 % durch erhaltene körperliche Aktivität vermittelt. Effekt war stärksten bei schlechtem Kindheitseinkommen (HR=0,59) und schlechter Nachbarschaftsqualität (HR=0,45).</w:t>
      </w:r>
    </w:p>
    <w:p>
      <w:r>
        <w:rPr>
          <w:b/>
          <w:sz w:val="19"/>
        </w:rPr>
        <w:t xml:space="preserve">Übertragbarkeit: </w:t>
      </w:r>
      <w:r>
        <w:rPr>
          <w:sz w:val="19"/>
        </w:rPr>
        <w:t>Europa (SHARE-Daten, deutschsprachige Länder einbezogen), sozialversicherungsbasierte Systeme vergleichbar</w:t>
      </w:r>
    </w:p>
    <w:p>
      <w:r>
        <w:rPr>
          <w:color w:val="5A7D3A"/>
          <w:sz w:val="18"/>
        </w:rPr>
        <w:t>https://pubmed.ncbi.nlm.nih.gov/42660041/</w:t>
      </w:r>
    </w:p>
    <w:p>
      <w:pPr>
        <w:pStyle w:val="Heading1"/>
      </w:pPr>
      <w:r>
        <w:t>Aufgenommen am 07.09.2026</w:t>
      </w:r>
    </w:p>
    <w:p>
      <w:pPr>
        <w:pStyle w:val="Heading2"/>
      </w:pPr>
      <w:r>
        <w:t>Kardiovaskuläre Gesundheit und Gehirngesundheit: Lebenserwartung ohne Schlaganfall und Demenz</w:t>
      </w:r>
    </w:p>
    <w:p>
      <w:r>
        <w:rPr>
          <w:i/>
          <w:color w:val="666666"/>
          <w:sz w:val="18"/>
        </w:rPr>
        <w:t>DU Y et al.  ·  Zhong Nan Da Xue Xue Bao Yi Xue Ban  ·  28.06.2026  ·  PMID 42702379</w:t>
      </w:r>
    </w:p>
    <w:p>
      <w:r>
        <w:t>Prospektive Kohortenstudie mit 122 953 Erwachsenen (37–73 Jahre) aus der UK Biobank untersuchte, wie ein Life's Essential 10-Framework (CVH-Bewertung mit 10 Komponenten) die Lebenserwartung ohne Schlaganfall und Demenz beeinflusst.</w:t>
      </w:r>
    </w:p>
    <w:p>
      <w:r>
        <w:rPr>
          <w:b/>
        </w:rPr>
        <w:t xml:space="preserve">Ergebnis: </w:t>
      </w:r>
      <w:r>
        <w:t>Bei hoher kardiovaskulärer Gesundheit (CVH) betrug die Lebenserwartung ohne Schlaganfall/Demenz im Alter 50 Jahren für Männer 31,8 Jahre (95%-KI 31,1–32,5) vs. 24,9 Jahre bei niedriger CVH; für Frauen 35,5 Jahre (95%-KI 34,7–36,2) vs. 28,4 Jahre. Hochrisiko-HRs: Männer HR=0,59 (95%-KI 0,52–0,67), Frauen HR=0,50 (95%-KI 0,42–0,59) für Schlaganfall/Demenz.</w:t>
      </w:r>
    </w:p>
    <w:p>
      <w:r>
        <w:rPr>
          <w:b/>
          <w:sz w:val="19"/>
        </w:rPr>
        <w:t xml:space="preserve">Übertragbarkeit: </w:t>
      </w:r>
      <w:r>
        <w:rPr>
          <w:sz w:val="19"/>
        </w:rPr>
        <w:t>UK Biobank, vergleichbare Sozialversicherungssysteme in Europa</w:t>
      </w:r>
    </w:p>
    <w:p>
      <w:r>
        <w:rPr>
          <w:color w:val="5A7D3A"/>
          <w:sz w:val="18"/>
        </w:rPr>
        <w:t>https://pubmed.ncbi.nlm.nih.gov/42702379/</w:t>
      </w:r>
    </w:p>
    <w:p>
      <w:pPr>
        <w:pStyle w:val="Heading2"/>
      </w:pPr>
      <w:r>
        <w:t>Wachstumshormonenantagenismus verlängert Lebensspanne bei Mäusen</w:t>
      </w:r>
    </w:p>
    <w:p>
      <w:r>
        <w:rPr>
          <w:i/>
          <w:color w:val="666666"/>
          <w:sz w:val="18"/>
        </w:rPr>
        <w:t>List EO et al.  ·  Aging Cell  ·  Sept. 2026  ·  PMID 42701998</w:t>
      </w:r>
    </w:p>
    <w:p>
      <w:r>
        <w:t>Studie an Transgenic-Mäusen untersuchte, ob Blockade der Wachstumshormonaktivität (mittels Pegvisomant-äquivalenter Substanz) die Lebensdauer und Gesundheit im Alter verbessert.</w:t>
      </w:r>
    </w:p>
    <w:p>
      <w:r>
        <w:rPr>
          <w:b/>
        </w:rPr>
        <w:t xml:space="preserve">Ergebnis: </w:t>
      </w:r>
      <w:r>
        <w:t>GH-Antagonismus-Mäuse zeigten signifikante Lebensverlängerung: Mediane Lebensspanne bei Männchen p=0,044, bei Weibchen p=2×10−8; maximale Lebensspanne um 186 Tage (Männchen) bzw. 265 Tage (Weibchen) verlängert. 2-jährige GHA-Mäuse zeigten geringere Frailty mit erhöhter Griffstärke trotz erhöhter Adiposität.</w:t>
      </w:r>
    </w:p>
    <w:p>
      <w:r>
        <w:rPr>
          <w:b/>
          <w:sz w:val="19"/>
        </w:rPr>
        <w:t xml:space="preserve">Übertragbarkeit: </w:t>
      </w:r>
      <w:r>
        <w:rPr>
          <w:sz w:val="19"/>
        </w:rPr>
        <w:t>Präklinisches Mausmodell; klinische Übertragbarkeit begrenzt, aber Pegvisomant FDA-zugelassen für Akromegalie beim Menschen</w:t>
      </w:r>
    </w:p>
    <w:p>
      <w:r>
        <w:rPr>
          <w:color w:val="5A7D3A"/>
          <w:sz w:val="18"/>
        </w:rPr>
        <w:t>https://pubmed.ncbi.nlm.nih.gov/42701998/</w:t>
      </w:r>
    </w:p>
    <w:p>
      <w:pPr>
        <w:pStyle w:val="Heading2"/>
      </w:pPr>
      <w:r>
        <w:t>Frailty als unabhängiger Mortalitätsprediktor bei Brustkrebsüberlebenden</w:t>
      </w:r>
    </w:p>
    <w:p>
      <w:r>
        <w:rPr>
          <w:i/>
          <w:color w:val="666666"/>
          <w:sz w:val="18"/>
        </w:rPr>
        <w:t>Wu C et al.  ·  Medicine (Baltimore)  ·  04.09.2026  ·  PMID 42700073</w:t>
      </w:r>
    </w:p>
    <w:p>
      <w:r>
        <w:t>Analyse von 625 128 Teilnehmern (9 941 Brustkrebsüberlebende) aus dem National Health Interview Survey 1997–2018 mit Mortalitätsfolgeup bis 2019 untersuchte Frailty als Mortalitätsprädikator.</w:t>
      </w:r>
    </w:p>
    <w:p>
      <w:r>
        <w:rPr>
          <w:b/>
        </w:rPr>
        <w:t xml:space="preserve">Ergebnis: </w:t>
      </w:r>
      <w:r>
        <w:t>Bei Brustkrebsüberlebenden zeigten Pre-Frailty (HR=1,44; 95%-KI 1,39–1,51) und Frailty (HR=1,70; 95%-KI 1,49–1,94) unabhängig erhöhte Mortalität. Unter 60-Jährigen: Frailty stark prädiktiv (HR=2,46; 95%-KI 1,52–4,00), Pre-Frailty nicht signifikant. Systematisches Frailty-Screening empfohlen.</w:t>
      </w:r>
    </w:p>
    <w:p>
      <w:r>
        <w:rPr>
          <w:b/>
          <w:sz w:val="19"/>
        </w:rPr>
        <w:t xml:space="preserve">Übertragbarkeit: </w:t>
      </w:r>
      <w:r>
        <w:rPr>
          <w:sz w:val="19"/>
        </w:rPr>
        <w:t>USA-Studie, nationale Versorgungsdaten; Frailty-Definition auf andere Systeme übertragbar</w:t>
      </w:r>
    </w:p>
    <w:p>
      <w:r>
        <w:rPr>
          <w:color w:val="5A7D3A"/>
          <w:sz w:val="18"/>
        </w:rPr>
        <w:t>https://pubmed.ncbi.nlm.nih.gov/42700073/</w:t>
      </w:r>
    </w:p>
    <w:p>
      <w:pPr>
        <w:pStyle w:val="Heading2"/>
      </w:pPr>
      <w:r>
        <w:t>Frailty-Verbesserung senkt Demenzrisiko bei älteren Erwachsenen</w:t>
      </w:r>
    </w:p>
    <w:p>
      <w:r>
        <w:rPr>
          <w:i/>
          <w:color w:val="666666"/>
          <w:sz w:val="18"/>
        </w:rPr>
        <w:t>Fang J et al.  ·  J Affect Disord  ·  01.12.2026  ·  PMID 42600788</w:t>
      </w:r>
    </w:p>
    <w:p>
      <w:r>
        <w:t>Longitudinale Kohortenanalyse von 59 331 Erwachsenen (≥50 Jahre) aus vier internationalen Studien (HRS, CHARLS, SHARE, ELSA) untersuchte, ob Frailty-Umkehr das Demenzrisiko reduziert und welche Rolle depressive Symptome spielen.</w:t>
      </w:r>
    </w:p>
    <w:p>
      <w:r>
        <w:rPr>
          <w:b/>
        </w:rPr>
        <w:t xml:space="preserve">Ergebnis: </w:t>
      </w:r>
      <w:r>
        <w:t>Über 7,51±2,09 Jahre entwickelten 9,49 % Demenz. Frailty-Verschlechterung erhöhte das Risiko (HR 1,43–2,53), während Frailty-Verbesserung in SHARE (HR=0,55) und CHARLS (HR=0,70) mit geringerem Risiko assoziiert war. Depressive Symptome mediieren 29,29–44,78 % der Assoziation zwischen Frailty und Demenz.</w:t>
      </w:r>
    </w:p>
    <w:p>
      <w:r>
        <w:rPr>
          <w:b/>
          <w:sz w:val="19"/>
        </w:rPr>
        <w:t xml:space="preserve">Übertragbarkeit: </w:t>
      </w:r>
      <w:r>
        <w:rPr>
          <w:sz w:val="19"/>
        </w:rPr>
        <w:t>Europäische Studien (SHARE, ELSA) einbezogen; vergleichbare Versorgungssysteme</w:t>
      </w:r>
    </w:p>
    <w:p>
      <w:r>
        <w:rPr>
          <w:color w:val="5A7D3A"/>
          <w:sz w:val="18"/>
        </w:rPr>
        <w:t>https://pubmed.ncbi.nlm.nih.gov/42600788/</w:t>
      </w:r>
    </w:p>
    <w:p>
      <w:pPr>
        <w:pStyle w:val="Heading2"/>
      </w:pPr>
      <w:r>
        <w:t>Maschinelles Lernen vorhersagt depressive Symptome bei älteren Erwachsenen in Großbritannien</w:t>
      </w:r>
    </w:p>
    <w:p>
      <w:r>
        <w:rPr>
          <w:i/>
          <w:color w:val="666666"/>
          <w:sz w:val="18"/>
        </w:rPr>
        <w:t>Khorram B et al.  ·  JMIR Form Res  ·  02.07.2026  ·  PMID 42390822</w:t>
      </w:r>
    </w:p>
    <w:p>
      <w:r>
        <w:t>Machine-Learning-Studie mit Daten aus vier Wellen der English Longitudinal Study of Ageing (ELSA) zur Vorhersage klinisch bedeutsamer depressiver Symptome (CES-D 8≥4) im 2-Jahres-Follow-up bei über 50-Jährigen.</w:t>
      </w:r>
    </w:p>
    <w:p>
      <w:r>
        <w:rPr>
          <w:b/>
        </w:rPr>
        <w:t xml:space="preserve">Ergebnis: </w:t>
      </w:r>
      <w:r>
        <w:t>Beste Modelle erreichten mittlere AUROC von 0,72–0,73 (Peak 0,75). Ordinale Codierung übertraf One-Hot-Codierung. Konsistente Prädiktoren: Einsamkeit, Schlafstörungen, geringe soziale Bindung. Sensitivitätsanalysen über CES-D-Schwellwerte robust (AUROC 0,67–0,82).</w:t>
      </w:r>
    </w:p>
    <w:p>
      <w:r>
        <w:rPr>
          <w:b/>
          <w:sz w:val="19"/>
        </w:rPr>
        <w:t xml:space="preserve">Übertragbarkeit: </w:t>
      </w:r>
      <w:r>
        <w:rPr>
          <w:sz w:val="19"/>
        </w:rPr>
        <w:t>Britische Studie mit europäischem Sozialversicherungssystem; Prädiktoren für Screeningtools übertragbar</w:t>
      </w:r>
    </w:p>
    <w:p>
      <w:r>
        <w:rPr>
          <w:color w:val="5A7D3A"/>
          <w:sz w:val="18"/>
        </w:rPr>
        <w:t>https://pubmed.ncbi.nlm.nih.gov/42390822/</w:t>
      </w:r>
    </w:p>
    <w:p>
      <w:pPr>
        <w:pStyle w:val="Heading2"/>
      </w:pPr>
      <w:r>
        <w:t>Biologische Alterungsbeschleunigung als Risikofaktor für Lebererkrankung im UK Biobank</w:t>
      </w:r>
    </w:p>
    <w:p>
      <w:r>
        <w:rPr>
          <w:i/>
          <w:color w:val="666666"/>
          <w:sz w:val="18"/>
        </w:rPr>
        <w:t>Yang X et al.  ·  Front Endocrinol (Lausanne)  ·  17.06.2026  ·  PMID 42388879</w:t>
      </w:r>
    </w:p>
    <w:p>
      <w:r>
        <w:t>Studie untersuchte die Assoziation zwischen beschleunigtem biologischem Alter und hospitalisierten Fällen von Stoffwechsel-assoziierter Steatose-Lebererkrankung (MASLD) an 247 444 Personen über 13,7 Jahre Nachbeobachtung.</w:t>
      </w:r>
    </w:p>
    <w:p>
      <w:r>
        <w:rPr>
          <w:b/>
        </w:rPr>
        <w:t xml:space="preserve">Ergebnis: </w:t>
      </w:r>
      <w:r>
        <w:t>Beschleunigtes biologisches Alter (PhenoAge-Beschleunigung) war mit erhöhtem MASLD-Risiko assoziiert (HR=1,46; 95%-KI 1,35–1,57). PhenoAge-Beschleunigung erklärte 11,4–25,5 % der Assoziation zwischen ungesundem Lebensstil (Rauchen, Alkohol, schlechte Ernährung, Bewegungsmangel) und MASLD, mit stärkstem Effekt beim Rauchen (25,5 %).</w:t>
      </w:r>
    </w:p>
    <w:p>
      <w:r>
        <w:rPr>
          <w:b/>
          <w:sz w:val="19"/>
        </w:rPr>
        <w:t xml:space="preserve">Übertragbarkeit: </w:t>
      </w:r>
      <w:r>
        <w:rPr>
          <w:sz w:val="19"/>
        </w:rPr>
        <w:t>UK Biobank, übertragbar für europäische Sozialversicherungssysteme</w:t>
      </w:r>
    </w:p>
    <w:p>
      <w:r>
        <w:rPr>
          <w:color w:val="5A7D3A"/>
          <w:sz w:val="18"/>
        </w:rPr>
        <w:t>https://pubmed.ncbi.nlm.nih.gov/42388879/</w:t>
      </w:r>
    </w:p>
    <w:p>
      <w:pPr>
        <w:pStyle w:val="Heading1"/>
      </w:pPr>
      <w:r>
        <w:t>Aufgenommen am 06.09.2026</w:t>
      </w:r>
    </w:p>
    <w:p>
      <w:pPr>
        <w:pStyle w:val="Heading2"/>
      </w:pPr>
      <w:r>
        <w:t>Orale Gesundheit und orale Gebrechlichkeit bei älteren hospitalisierten Patienten</w:t>
      </w:r>
    </w:p>
    <w:p>
      <w:r>
        <w:rPr>
          <w:i/>
          <w:color w:val="666666"/>
          <w:sz w:val="18"/>
        </w:rPr>
        <w:t>Ren Q et al.  ·  J Coll Physicians Surg Pak  ·  Sept. 2026  ·  PMID 42698252</w:t>
      </w:r>
    </w:p>
    <w:p>
      <w:r>
        <w:t>Querschnittsstudie mit 200 älteren Patienten: Beziehung zwischen Mundgesundheitsstatus (GOHAI, Wasserschluck-Test) und Oral Frailty Index-8 (OFI-8).</w:t>
      </w:r>
    </w:p>
    <w:p>
      <w:r>
        <w:rPr>
          <w:b/>
        </w:rPr>
        <w:t xml:space="preserve">Ergebnis: </w:t>
      </w:r>
      <w:r>
        <w:t>Signifikante Unterschiede in Alter, Mundgesundheitsindikatoren und Zahnfunktion zwischen Frailty- (n=55) und Non-Frailty-Gruppe (n=145). OFI-8 zeigt praktische Relevanz für Früherkennung oraler Gebrechlichkeit im klinischen Setting.</w:t>
      </w:r>
    </w:p>
    <w:p>
      <w:r>
        <w:rPr>
          <w:b/>
          <w:sz w:val="19"/>
        </w:rPr>
        <w:t xml:space="preserve">Übertragbarkeit: </w:t>
      </w:r>
      <w:r>
        <w:rPr>
          <w:sz w:val="19"/>
        </w:rPr>
        <w:t>China, geriatrische Versorgung; Screening-Wert für deutsches Gesundheitswesen nutzbar</w:t>
      </w:r>
    </w:p>
    <w:p>
      <w:r>
        <w:rPr>
          <w:color w:val="5A7D3A"/>
          <w:sz w:val="18"/>
        </w:rPr>
        <w:t>https://pubmed.ncbi.nlm.nih.gov/42698252/</w:t>
      </w:r>
    </w:p>
    <w:p>
      <w:pPr>
        <w:pStyle w:val="Heading2"/>
      </w:pPr>
      <w:r>
        <w:t>FRAIL- und SARC-CalF-Skalen vorhersagen HFpEF-Risiko bei älteren Patienten</w:t>
      </w:r>
    </w:p>
    <w:p>
      <w:r>
        <w:rPr>
          <w:i/>
          <w:color w:val="666666"/>
          <w:sz w:val="18"/>
        </w:rPr>
        <w:t>Yu Y et al.  ·  J Coll Physicians Surg Pak  ·  Sept. 2026  ·  PMID 42698238</w:t>
      </w:r>
    </w:p>
    <w:p>
      <w:r>
        <w:t>Querschnittsstudie mit 134 hospitalisierten Patienten ≥60 Jahren: Umfassendes geriatrisches Assessment (CGA) mit Evaluierung von Gebrechlichkeit, Sarkopenie und Ernährung; Vorhersage von Herzinsuffizienz mit erhaltener Ejektionsfraktion (HFpEF).</w:t>
      </w:r>
    </w:p>
    <w:p>
      <w:r>
        <w:rPr>
          <w:b/>
        </w:rPr>
        <w:t xml:space="preserve">Ergebnis: </w:t>
      </w:r>
      <w:r>
        <w:t>FRAIL-Score OR 3,68 (95%KI 1,83–8,39), SARC-CalF-Score OR 1,47 (95%KI 1,21–1,86) unabhängig mit HFpEF assoziiert; AUC FRAIL 0,88, AUC SARC-CalF 0,89; optimale Schwellen 1,5 Punkte (Vor-Frailty) bzw. 11 Punkte.</w:t>
      </w:r>
    </w:p>
    <w:p>
      <w:r>
        <w:rPr>
          <w:b/>
          <w:sz w:val="19"/>
        </w:rPr>
        <w:t xml:space="preserve">Übertragbarkeit: </w:t>
      </w:r>
      <w:r>
        <w:rPr>
          <w:sz w:val="19"/>
        </w:rPr>
        <w:t>China, aber FRAIL und SARC-CalF sind validiert international</w:t>
      </w:r>
    </w:p>
    <w:p>
      <w:r>
        <w:rPr>
          <w:color w:val="5A7D3A"/>
          <w:sz w:val="18"/>
        </w:rPr>
        <w:t>https://pubmed.ncbi.nlm.nih.gov/42698238/</w:t>
      </w:r>
    </w:p>
    <w:p>
      <w:pPr>
        <w:pStyle w:val="Heading2"/>
      </w:pPr>
      <w:r>
        <w:t>Depressive Symptome bei älteren Indonesiern: Prävalenz und Risikofaktoren</w:t>
      </w:r>
    </w:p>
    <w:p>
      <w:r>
        <w:rPr>
          <w:i/>
          <w:color w:val="666666"/>
          <w:sz w:val="18"/>
        </w:rPr>
        <w:t>Pengpid S et al.  ·  Psychogeriatrics  ·  Sept. 2026  ·  PMID 42698196</w:t>
      </w:r>
    </w:p>
    <w:p>
      <w:r>
        <w:t>Querschnittsanalyse von 3.808 Personen ≥45 Jahren aus indonesischer Longitudinal-Studie (ILAS 2023): Depressive Symptome (CES-D-10 ≥10) in Zusammenhang mit Hospitalisierung, Selbsteinschätzung der Gesundheit, Multisite-Schmerz, Übergewicht, Behinderung und religiöser Aktivität.</w:t>
      </w:r>
    </w:p>
    <w:p>
      <w:r>
        <w:rPr>
          <w:b/>
        </w:rPr>
        <w:t xml:space="preserve">Ergebnis: </w:t>
      </w:r>
      <w:r>
        <w:t>Depressive-Symptom-Prävalenz 9,3% (9,0% Männer, 9,6% Frauen). Hospitalisierung im vergangenen Jahr, schlechte Selbsteinschätzung, Multisite-Schmerz, Übergewicht und Behinderung positiv assoziiert; religiöse Aktivität protektiv (unadjustiert); bei Männern Rauchen zusätzlicher Risikofaktor.</w:t>
      </w:r>
    </w:p>
    <w:p>
      <w:r>
        <w:rPr>
          <w:b/>
          <w:sz w:val="19"/>
        </w:rPr>
        <w:t xml:space="preserve">Übertragbarkeit: </w:t>
      </w:r>
      <w:r>
        <w:rPr>
          <w:sz w:val="19"/>
        </w:rPr>
        <w:t>Indonesien; kulturelle/epidemiologische Unterschiede, aber psychosoziale Prädiktoren universal</w:t>
      </w:r>
    </w:p>
    <w:p>
      <w:r>
        <w:rPr>
          <w:color w:val="5A7D3A"/>
          <w:sz w:val="18"/>
        </w:rPr>
        <w:t>https://pubmed.ncbi.nlm.nih.gov/42698196/</w:t>
      </w:r>
    </w:p>
    <w:p>
      <w:pPr>
        <w:pStyle w:val="Heading2"/>
      </w:pPr>
      <w:r>
        <w:t>Geriatrisches Assessment mit Frailty Index optimiert Vorhersage von Sterblichkeit im Alter</w:t>
      </w:r>
    </w:p>
    <w:p>
      <w:r>
        <w:rPr>
          <w:i/>
          <w:color w:val="666666"/>
          <w:sz w:val="18"/>
        </w:rPr>
        <w:t>Quach J et al.  ·  Age Ageing  ·  04.09.2026  ·  PMID 42696642</w:t>
      </w:r>
    </w:p>
    <w:p>
      <w:r>
        <w:t>Analyse von 3.669 Patienten mit kardiovaskulärer Erkrankung: Bei einzelnen Deficit-Items war die Vorhersagekraft für Mortalität besser als bei zusammengefassten Frailty-Index-Scores; 10 Defizite reichten aus, um Vorhersagekraft zu optimieren.</w:t>
      </w:r>
    </w:p>
    <w:p>
      <w:r>
        <w:rPr>
          <w:b/>
        </w:rPr>
        <w:t xml:space="preserve">Ergebnis: </w:t>
      </w:r>
      <w:r>
        <w:t>Mit 46 Einzelitems C-Index 0,71 (95%KI 0,69–0,74) vs. composite FI 0,64–0,67; mit ~10 Items konvergierte Performance der Importance-ranked FI mit zufällig gewählten FI. Die Deficit-Interchangeability-Annahme des FI hält nur bei ausreichender Itemanzahl.</w:t>
      </w:r>
    </w:p>
    <w:p>
      <w:r>
        <w:rPr>
          <w:b/>
          <w:sz w:val="19"/>
        </w:rPr>
        <w:t xml:space="preserve">Übertragbarkeit: </w:t>
      </w:r>
      <w:r>
        <w:rPr>
          <w:sz w:val="19"/>
        </w:rPr>
        <w:t>USA-Daten, aber Frailty-Index-Methodik international anerkannt</w:t>
      </w:r>
    </w:p>
    <w:p>
      <w:r>
        <w:rPr>
          <w:color w:val="5A7D3A"/>
          <w:sz w:val="18"/>
        </w:rPr>
        <w:t>https://pubmed.ncbi.nlm.nih.gov/42696642/</w:t>
      </w:r>
    </w:p>
    <w:p>
      <w:pPr>
        <w:pStyle w:val="Heading2"/>
      </w:pPr>
      <w:r>
        <w:t>Benachteiligte Kindheit verschlechtert kognitive Funktion im Alter unabhängig von Erwachsenen-Erkrankungen</w:t>
      </w:r>
    </w:p>
    <w:p>
      <w:r>
        <w:rPr>
          <w:i/>
          <w:color w:val="666666"/>
          <w:sz w:val="18"/>
        </w:rPr>
        <w:t>Ripamonti E et al.  ·  J Clin Exp Neuropsychol  ·  06.07.2026  ·  PMID 42403102</w:t>
      </w:r>
    </w:p>
    <w:p>
      <w:r>
        <w:t>Longitudinale Studie: 508 schwedische Ältere verfolgt über mehrere Jahre; Analyse der Assoziation zwischen Kindheitsbenachteiligung und kognitiver Funktion (MMSE) bzw. Behinderung (ADL/iADL) im Alter mit Mediationsanalyse durch Krankheitszahl und chronische Schmerzen.</w:t>
      </w:r>
    </w:p>
    <w:p>
      <w:r>
        <w:rPr>
          <w:b/>
        </w:rPr>
        <w:t xml:space="preserve">Ergebnis: </w:t>
      </w:r>
      <w:r>
        <w:t>Benachteiligte Kindheit mit niedrigeren MMSE-Werten bei Baseline assoziiert (β=-0,14 [95%KI -0,27,-0,02]), aber nicht mit zeitlichem Verlauf (β=-0,01 [95%KI -0,03,0,01]); Mediationsanalyse: Krankheitszahl/Schmerz erklären nur minimalen Teil; keine Assoziation mit ADL/iADL. Unterstützt Sensitive-Period-Hypothese.</w:t>
      </w:r>
    </w:p>
    <w:p>
      <w:r>
        <w:rPr>
          <w:b/>
          <w:sz w:val="19"/>
        </w:rPr>
        <w:t xml:space="preserve">Übertragbarkeit: </w:t>
      </w:r>
      <w:r>
        <w:rPr>
          <w:sz w:val="19"/>
        </w:rPr>
        <w:t>Schweden (skandinavisches Sozialversicherungssystem), hochgradig übertragbar auf Deutschland</w:t>
      </w:r>
    </w:p>
    <w:p>
      <w:r>
        <w:rPr>
          <w:color w:val="5A7D3A"/>
          <w:sz w:val="18"/>
        </w:rPr>
        <w:t>https://pubmed.ncbi.nlm.nih.gov/42403102/</w:t>
      </w:r>
    </w:p>
    <w:p>
      <w:pPr>
        <w:pStyle w:val="Heading2"/>
      </w:pPr>
      <w:r>
        <w:t>Muskelleistung aus Sit-to-Stand-Test identifiziert Frailty bei älteren Community-Bewohnern</w:t>
      </w:r>
    </w:p>
    <w:p>
      <w:r>
        <w:rPr>
          <w:i/>
          <w:color w:val="666666"/>
          <w:sz w:val="18"/>
        </w:rPr>
        <w:t>Condon C et al.  ·  PLoS One  ·  02.07.2026  ·  PMID 42391194</w:t>
      </w:r>
    </w:p>
    <w:p>
      <w:r>
        <w:t>Querschnittsstudie mit 2.959 irischen Teilnehmern ≥50 Jahren: Geschätzte Muskelleistung aus 5×STS-Test verglichen mit Frailty-Index und etablierten Tests.</w:t>
      </w:r>
    </w:p>
    <w:p>
      <w:r>
        <w:rPr>
          <w:b/>
        </w:rPr>
        <w:t xml:space="preserve">Ergebnis: </w:t>
      </w:r>
      <w:r>
        <w:t>Schwellenwert &lt;2,5 Watt·kg⁻¹ Männer, &lt;2,08 Watt·kg⁻¹ Frauen mit erhöhtem Frailty-Risiko assoziiert; Sensitivität und Spezifität vergleichbar mit Timed Up and Go; praktisches Screening-Tool mit moderater Vorhersagekraft.</w:t>
      </w:r>
    </w:p>
    <w:p>
      <w:r>
        <w:rPr>
          <w:b/>
          <w:sz w:val="19"/>
        </w:rPr>
        <w:t xml:space="preserve">Übertragbarkeit: </w:t>
      </w:r>
      <w:r>
        <w:rPr>
          <w:sz w:val="19"/>
        </w:rPr>
        <w:t>Irland (vergleichbares Sozialversicherungssystem), einfach durchführbar in Praxen</w:t>
      </w:r>
    </w:p>
    <w:p>
      <w:r>
        <w:rPr>
          <w:color w:val="5A7D3A"/>
          <w:sz w:val="18"/>
        </w:rPr>
        <w:t>https://pubmed.ncbi.nlm.nih.gov/42391194/</w:t>
      </w:r>
    </w:p>
    <w:p>
      <w:pPr>
        <w:pStyle w:val="Heading1"/>
      </w:pPr>
      <w:r>
        <w:t>Aufgenommen am 05.09.2026</w:t>
      </w:r>
    </w:p>
    <w:p>
      <w:pPr>
        <w:pStyle w:val="Heading2"/>
      </w:pPr>
      <w:r>
        <w:t>Reaktive Balanceschulung senkt Sturzrisikofaktoren, nicht aber Stürze im Alltag</w:t>
      </w:r>
    </w:p>
    <w:p>
      <w:r>
        <w:rPr>
          <w:i/>
          <w:color w:val="666666"/>
          <w:sz w:val="18"/>
        </w:rPr>
        <w:t>Sharma S et al.  ·  Age Ageing  ·  04.09.2026  ·  PMID 42696641</w:t>
      </w:r>
    </w:p>
    <w:p>
      <w:r>
        <w:t>Randomisierte kontrollierte Studie mit 88 älteren Menschen: 43 erhielten wöchentliches ReacStep-Training (Reaktives Stepping, bewusste Ausrutscher) über 6 Wochen plus Heimkrafttraining, 45 nur Heimkrafttraining über 8 Wochen; Erhebung von reaktiver Balance, körperlichen Funktionen und Stürzen im Alltag über 12 Monate.</w:t>
      </w:r>
    </w:p>
    <w:p>
      <w:r>
        <w:rPr>
          <w:b/>
        </w:rPr>
        <w:t xml:space="preserve">Ergebnis: </w:t>
      </w:r>
      <w:r>
        <w:t>Adhärenz zum ReacStep-Programm 90 %, Interventionsgruppe zeigte signifikante Verbesserungen in maximaler Schrittlänge und Reaktionszeit beim Stepping (p&lt;0,05), aber keine Unterschiede in laborgestützten Sturzversuchen oder Häuslichkeitsstürzen über 12 Monate (p=0,19).</w:t>
      </w:r>
    </w:p>
    <w:p>
      <w:r>
        <w:rPr>
          <w:b/>
          <w:sz w:val="19"/>
        </w:rPr>
        <w:t xml:space="preserve">Übertragbarkeit: </w:t>
      </w:r>
      <w:r>
        <w:rPr>
          <w:sz w:val="19"/>
        </w:rPr>
        <w:t>Australien, vergleichbares Gesundheitssystem, aber begrenzte Übertragung zur Sturzprävention</w:t>
      </w:r>
    </w:p>
    <w:p>
      <w:r>
        <w:rPr>
          <w:color w:val="5A7D3A"/>
          <w:sz w:val="18"/>
        </w:rPr>
        <w:t>https://pubmed.ncbi.nlm.nih.gov/42696641/</w:t>
      </w:r>
    </w:p>
    <w:p>
      <w:pPr>
        <w:pStyle w:val="Heading2"/>
      </w:pPr>
      <w:r>
        <w:t>Urat-senkende Therapie und Frailty-Risiko bei Nierenpatienten</w:t>
      </w:r>
    </w:p>
    <w:p>
      <w:r>
        <w:rPr>
          <w:i/>
          <w:color w:val="666666"/>
          <w:sz w:val="18"/>
        </w:rPr>
        <w:t>Lee SY et al.  ·  Int J Med Sci  ·  04.08.2026  ·  PMID 42694867</w:t>
      </w:r>
    </w:p>
    <w:p>
      <w:r>
        <w:t>Retrospektive Kohortenstudie mit 19.389 Nephrologiepatienten: Untersuchung der Assoziation zwischen Febuxostat, Allopurinol und keiner Therapie mit neuaufgetretener und verschlimmerter Frailty über medianen Nachbeobachtungszeitraum von 3 Jahren.</w:t>
      </w:r>
    </w:p>
    <w:p>
      <w:r>
        <w:rPr>
          <w:b/>
        </w:rPr>
        <w:t xml:space="preserve">Ergebnis: </w:t>
      </w:r>
      <w:r>
        <w:t>892 (4,6 %) entwickelten neuaufgetretene Frailty, 5.253 (27,1 %) zeigten Verschlimmerung. Febuxostat war mit höherem Frailty-Risiko verbunden (HR 1,22; 95%-KI 1,01–1,48), Allopurinol mit geringerem Risiko (HR 0,65; 95%-KI 0,46–0,93); beide gemeinsam ohne signifikante Assoziation. Keine Effekte auf Frailty-Verschlimmerung.</w:t>
      </w:r>
    </w:p>
    <w:p>
      <w:r>
        <w:rPr>
          <w:b/>
          <w:sz w:val="19"/>
        </w:rPr>
        <w:t xml:space="preserve">Übertragbarkeit: </w:t>
      </w:r>
      <w:r>
        <w:rPr>
          <w:sz w:val="19"/>
        </w:rPr>
        <w:t>Taiwan, Nephrologiedaten vergleichbar, aber begrenzte Generalisierbarkeit</w:t>
      </w:r>
    </w:p>
    <w:p>
      <w:r>
        <w:rPr>
          <w:color w:val="5A7D3A"/>
          <w:sz w:val="18"/>
        </w:rPr>
        <w:t>https://pubmed.ncbi.nlm.nih.gov/42694867/</w:t>
      </w:r>
    </w:p>
    <w:p>
      <w:pPr>
        <w:pStyle w:val="Heading2"/>
      </w:pPr>
      <w:r>
        <w:t>Funkionsstatus und Pflegebedarf bei Eintritt in öffentlich finanzierte Altenhilfe</w:t>
      </w:r>
    </w:p>
    <w:p>
      <w:r>
        <w:rPr>
          <w:i/>
          <w:color w:val="666666"/>
          <w:sz w:val="18"/>
        </w:rPr>
        <w:t>Siljehag PA et al.  ·  BMC Health Serv Res  ·  02.09.2026  ·  PMID 42693458</w:t>
      </w:r>
    </w:p>
    <w:p>
      <w:r>
        <w:t>Schwedische Registeranalyse von 3.649 älteren Menschen (durchschnittlich 80 Jahre), die erstmals Altenhilfe in Anspruch nahmen, mit Erhebung von Komorbiditäten, funktionalen Einschränkungen und Vorbehandlung im Gesundheitswesen.</w:t>
      </w:r>
    </w:p>
    <w:p>
      <w:r>
        <w:rPr>
          <w:b/>
        </w:rPr>
        <w:t xml:space="preserve">Ergebnis: </w:t>
      </w:r>
      <w:r>
        <w:t>92 % hatten Multimorbidität, 25 % umfangreiche funktionale Einschränkungen, 95 % erhielten Pflege zu Hause, bei 50 % folgte die Altenhilfe unmittelbar nach stationärer Behandlung. Primärversorgung war bei 80 % der dominante ambulante Kontakt vor Heimaufnahme.</w:t>
      </w:r>
    </w:p>
    <w:p>
      <w:r>
        <w:rPr>
          <w:b/>
          <w:sz w:val="19"/>
        </w:rPr>
        <w:t xml:space="preserve">Übertragbarkeit: </w:t>
      </w:r>
      <w:r>
        <w:rPr>
          <w:sz w:val="19"/>
        </w:rPr>
        <w:t>Schweden, vergleichbare Sozialversicherung und Pflegefinanzierung</w:t>
      </w:r>
    </w:p>
    <w:p>
      <w:r>
        <w:rPr>
          <w:color w:val="5A7D3A"/>
          <w:sz w:val="18"/>
        </w:rPr>
        <w:t>https://pubmed.ncbi.nlm.nih.gov/42693458/</w:t>
      </w:r>
    </w:p>
    <w:p>
      <w:pPr>
        <w:pStyle w:val="Heading2"/>
      </w:pPr>
      <w:r>
        <w:t>Triglyzerid-Glukose-Frailty-Index zeigt stärkere Mortalitätsvorhersage als Insulinresistanzmarker</w:t>
      </w:r>
    </w:p>
    <w:p>
      <w:r>
        <w:rPr>
          <w:i/>
          <w:color w:val="666666"/>
          <w:sz w:val="18"/>
        </w:rPr>
        <w:t>Liu K et al.  ·  Cardiovasc Diabetol  ·  03.09.2026  ·  PMID 42693435</w:t>
      </w:r>
    </w:p>
    <w:p>
      <w:r>
        <w:t>Sekundäranalyse von 11.228 US-amerikanischen Erwachsenen (20–79 Jahre) aus NHANES 2001–2018: Vergleich des TyG-Frailty-Indexes (TyG-Index × Frailty-Index) mit konventionellen Insulinresistanzmarkern für kardiovaskuläre und Stoffwechselsyndrome sowie Mortalität über medianen Nachbeobachtungszeitraum von 90 Monaten.</w:t>
      </w:r>
    </w:p>
    <w:p>
      <w:r>
        <w:rPr>
          <w:b/>
        </w:rPr>
        <w:t xml:space="preserve">Ergebnis: </w:t>
      </w:r>
      <w:r>
        <w:t>TyG-FI-Quartil 4 vs. 1: fortgeschrittenes kardiovaskuläres-Nierenstoffwechsel-Syndrom OR=4,57 (95%-KI 3,50–5,99), kardiometabolische Multimorbidität OR=5,09 (95%-KI 2,83–9,16), Gesamtmortalität HR=3,90 (95%-KI 2,96–5,13), kardiovaskulär HR=5,82 (95%-KI 3,38–10,03). TyG-FI diskriminierte stärker als Vergleichsindizes, tiefere eGFR erklärte 16–27 % der Mortalitätsassoziation.</w:t>
      </w:r>
    </w:p>
    <w:p>
      <w:r>
        <w:rPr>
          <w:b/>
          <w:sz w:val="19"/>
        </w:rPr>
        <w:t xml:space="preserve">Übertragbarkeit: </w:t>
      </w:r>
      <w:r>
        <w:rPr>
          <w:sz w:val="19"/>
        </w:rPr>
        <w:t>USA-NHANES-Daten, begrenzte Übertragbarkeit auf deutsches System, aber Validierungsfrage ist altersunabhängig</w:t>
      </w:r>
    </w:p>
    <w:p>
      <w:r>
        <w:rPr>
          <w:color w:val="5A7D3A"/>
          <w:sz w:val="18"/>
        </w:rPr>
        <w:t>https://pubmed.ncbi.nlm.nih.gov/42693435/</w:t>
      </w:r>
    </w:p>
    <w:p>
      <w:pPr>
        <w:pStyle w:val="Heading2"/>
      </w:pPr>
      <w:r>
        <w:t>Muskelarchitektur und Kraft: Altern beeinträchtigt Faszickelkinetik trotz lebenslangem Training</w:t>
      </w:r>
    </w:p>
    <w:p>
      <w:r>
        <w:rPr>
          <w:i/>
          <w:color w:val="666666"/>
          <w:sz w:val="18"/>
        </w:rPr>
        <w:t>Michely S et al.  ·  J Appl Physiol (1985)  ·  01.09.2026  ·  PMID 42518311</w:t>
      </w:r>
    </w:p>
    <w:p>
      <w:r>
        <w:t>Querschnittsstudie mit 172 Leistungssportlern im Alter 35–90 Jahren (68 % männlich): Ultraschallmessung der Wadenmuskulatur bei willkürlicher Maximalkontraktion; Analyse von Faszickellänge, Pennationswinkel, -rotation und -verlängerung.</w:t>
      </w:r>
    </w:p>
    <w:p>
      <w:r>
        <w:rPr>
          <w:b/>
        </w:rPr>
        <w:t xml:space="preserve">Ergebnis: </w:t>
      </w:r>
      <w:r>
        <w:t>Oberflächliche Faszickelrotation (Pennationswinkelveränderung) sank um 6,6±51,3 % pro Jahrzehnt (p=0,003), tiefe Rotation blieb stabil (p=0,27). Ruhefaszickellänge sank um 1,8±13,7 % pro Jahrzehnt (p=0,002). Achillessehnen-kraft fiel um 4,3±16,3 % pro Jahrzehnt (p&lt;0,001), unabhängig vom Geschlecht. Eliteathleten (&gt;85 % age grade) erhielten größere oberflächliche Rotation.</w:t>
      </w:r>
    </w:p>
    <w:p>
      <w:r>
        <w:rPr>
          <w:b/>
          <w:sz w:val="19"/>
        </w:rPr>
        <w:t xml:space="preserve">Übertragbarkeit: </w:t>
      </w:r>
      <w:r>
        <w:rPr>
          <w:sz w:val="19"/>
        </w:rPr>
        <w:t>Deutschland, Deutsche Luft- und Raumfahrtforschung, vergleichbare Trainingsmethoden</w:t>
      </w:r>
    </w:p>
    <w:p>
      <w:r>
        <w:rPr>
          <w:color w:val="5A7D3A"/>
          <w:sz w:val="18"/>
        </w:rPr>
        <w:t>https://pubmed.ncbi.nlm.nih.gov/42518311/</w:t>
      </w:r>
    </w:p>
    <w:p>
      <w:pPr>
        <w:pStyle w:val="Heading2"/>
      </w:pPr>
      <w:r>
        <w:t>Soziale Frailty und Bildungsungleichheit: Sechs Ländervergleich mit 83.869 älteren Erwachsenen</w:t>
      </w:r>
    </w:p>
    <w:p>
      <w:r>
        <w:rPr>
          <w:i/>
          <w:color w:val="666666"/>
          <w:sz w:val="18"/>
        </w:rPr>
        <w:t>Xiang X et al.  ·  J Am Med Dir Assoc  ·  14.07.2026  ·  PMID 42447552</w:t>
      </w:r>
    </w:p>
    <w:p>
      <w:r>
        <w:t>Querschnittsanalyse aus sechs Längsschnittstudien in USA, England, Europa, Südkorea, Mexico und China mit 83.869 Personen ≥50 Jahren: Alter- und geschlechtsstandardisierte Prävalenz von sozialer Prefrailty und Frailty sowie Assoziation mit Bildungsabschlüssen.</w:t>
      </w:r>
    </w:p>
    <w:p>
      <w:r>
        <w:rPr>
          <w:b/>
        </w:rPr>
        <w:t xml:space="preserve">Ergebnis: </w:t>
      </w:r>
      <w:r>
        <w:t>Soziale Prefrailty 54,0–74,1 %, soziale Frailty 5,9–14,4 % je nach Land. Klare Bildungsstratifikation: mittlere vs. niedrige Bildung OR=0,72 (95%-KI 0,60–0,86) für Prefrailty und OR=0,54 (95%-KI 0,44–0,67) für Frailty; hohe Bildung OR=0,53 (95%-KI 0,36–0,78) bzw. OR=0,29 (95%-KI 0,17–0,51).</w:t>
      </w:r>
    </w:p>
    <w:p>
      <w:r>
        <w:rPr>
          <w:b/>
          <w:sz w:val="19"/>
        </w:rPr>
        <w:t xml:space="preserve">Übertragbarkeit: </w:t>
      </w:r>
      <w:r>
        <w:rPr>
          <w:sz w:val="19"/>
        </w:rPr>
        <w:t>Mehrländer-Poolanalyse, europäische Länder dabei, aber heterogene Systeme</w:t>
      </w:r>
    </w:p>
    <w:p>
      <w:r>
        <w:rPr>
          <w:color w:val="5A7D3A"/>
          <w:sz w:val="18"/>
        </w:rPr>
        <w:t>https://pubmed.ncbi.nlm.nih.gov/42447552/</w:t>
      </w:r>
    </w:p>
    <w:p>
      <w:pPr>
        <w:pStyle w:val="Heading1"/>
      </w:pPr>
      <w:r>
        <w:t>Aufgenommen am 04.09.2026</w:t>
      </w:r>
    </w:p>
    <w:p>
      <w:pPr>
        <w:pStyle w:val="Heading2"/>
      </w:pPr>
      <w:r>
        <w:t>Feinstaubexposition (PM2,5) erhöht Frailty-Risiko im Alter signifikant</w:t>
      </w:r>
    </w:p>
    <w:p>
      <w:r>
        <w:rPr>
          <w:i/>
          <w:color w:val="666666"/>
          <w:sz w:val="18"/>
        </w:rPr>
        <w:t>Chen K et al.  ·  Sichuan Da Xue Xue Bao Yi Xue Ban  ·  20.07.2026  ·  PMID 42688627</w:t>
      </w:r>
    </w:p>
    <w:p>
      <w:r>
        <w:t>Prospektive Kohortenstudie: 9603 Teilnehmende aus China Health and Retirement Longitudinal Study 2011–2020, Langzeit-PM2,5-Exposition und chemische Komponenten, Outcome Frailty nach Frailty-Index.</w:t>
      </w:r>
    </w:p>
    <w:p>
      <w:r>
        <w:rPr>
          <w:b/>
        </w:rPr>
        <w:t xml:space="preserve">Ergebnis: </w:t>
      </w:r>
      <w:r>
        <w:t>Jede Viertelbereichs-Zunahme der durchschnittlichen PM2,5-Konzentration des Vorjahres war mit 10,0% erhöhtem Frailty-Risiko assoziiert (HR 1,100, 95% KI 1,015–1,193). Organische Substanzen: HR 1,142 (14,2%); schwarzer Kohlenstoff: HR 1,131 (13,1%); Ammonium: HR 1,098 (9,8%). Luftschadstoffe, besonders Ruß und organische Aerosole, sind Risikofaktoren für Gebrechlichkeit bei älteren Menschen.</w:t>
      </w:r>
    </w:p>
    <w:p>
      <w:r>
        <w:rPr>
          <w:b/>
          <w:sz w:val="19"/>
        </w:rPr>
        <w:t xml:space="preserve">Übertragbarkeit: </w:t>
      </w:r>
      <w:r>
        <w:rPr>
          <w:sz w:val="19"/>
        </w:rPr>
        <w:t>China, aber Feinstaubbelastung und Expositionsmessung auch in Deutschland relevant</w:t>
      </w:r>
    </w:p>
    <w:p>
      <w:r>
        <w:rPr>
          <w:color w:val="5A7D3A"/>
          <w:sz w:val="18"/>
        </w:rPr>
        <w:t>https://pubmed.ncbi.nlm.nih.gov/42688627/</w:t>
      </w:r>
    </w:p>
    <w:p>
      <w:pPr>
        <w:pStyle w:val="Heading2"/>
      </w:pPr>
      <w:r>
        <w:t>Multikomponenten-Training und HMB-Supplementierung verbessern Gebrechlichkeit</w:t>
      </w:r>
    </w:p>
    <w:p>
      <w:r>
        <w:rPr>
          <w:i/>
          <w:color w:val="666666"/>
          <w:sz w:val="18"/>
        </w:rPr>
        <w:t>Jiang Y et al.  ·  Sichuan Da Xue Xue Bao Yi Xue Ban  ·  20.07.2026  ·  PMID 42688609</w:t>
      </w:r>
    </w:p>
    <w:p>
      <w:r>
        <w:t>Randomisierte Studie: 136 ältere Patienten mit Frailty erhielten 12 Wochen lang Übungstraining plus 3 g/d HMB oder Placebo; gemessen wurden physische Funktion (SPPB), Gangfähigkeit, Griffstärke, Muskelquerschnitt und Serumalbumin.</w:t>
      </w:r>
    </w:p>
    <w:p>
      <w:r>
        <w:rPr>
          <w:b/>
        </w:rPr>
        <w:t xml:space="preserve">Ergebnis: </w:t>
      </w:r>
      <w:r>
        <w:t>SPPB-Gesamtscore besserte sich in der HMB-Gruppe über 12 Wochen signifikant mehr als in der Kontrolle (Interaktionseffekt p&lt;0,001). HMB-Gruppe zeigte nach 4 Wochen bessere Bilanz (p&lt;0,05) und nach 12 Wochen auch bessere Gangscores und ASMI (p&lt;0,05). Serumalbumin war in der Interventionsgruppe erhöht (p&lt;0,05). HMB 3 g/d plus multikomponentales Training verbessert körperliche Funktion und Muskulatur bei älteren Patienten mit Gebrechlichkeit.</w:t>
      </w:r>
    </w:p>
    <w:p>
      <w:r>
        <w:rPr>
          <w:b/>
          <w:sz w:val="19"/>
        </w:rPr>
        <w:t xml:space="preserve">Übertragbarkeit: </w:t>
      </w:r>
      <w:r>
        <w:rPr>
          <w:sz w:val="19"/>
        </w:rPr>
        <w:t>China, Rehabilitation nach westlichem Standard, Frailty-Diagnostik vergleichbar</w:t>
      </w:r>
    </w:p>
    <w:p>
      <w:r>
        <w:rPr>
          <w:color w:val="5A7D3A"/>
          <w:sz w:val="18"/>
        </w:rPr>
        <w:t>https://pubmed.ncbi.nlm.nih.gov/42688609/</w:t>
      </w:r>
    </w:p>
    <w:p>
      <w:pPr>
        <w:pStyle w:val="Heading2"/>
      </w:pPr>
      <w:r>
        <w:t>Benzodiazepine-Induced Resistance: Drug Use Blunts Frailty-Intervention Effect</w:t>
      </w:r>
    </w:p>
    <w:p>
      <w:r>
        <w:rPr>
          <w:i/>
          <w:color w:val="666666"/>
          <w:sz w:val="18"/>
        </w:rPr>
        <w:t>Levati E et al.  ·  Age Ageing  ·  03.08.2026  ·  PMID 42685256</w:t>
      </w:r>
    </w:p>
    <w:p>
      <w:r>
        <w:t>Sekundäranalyse eines Trials zu multikomponentigen Lebensstiländerungen bei Frailty: 1506 ältere Patienten, 14% mit Benzodiazepin-Nutzung, Verfolgung der Mobilitätsbehindertung über Median 3,3 Jahre.</w:t>
      </w:r>
    </w:p>
    <w:p>
      <w:r>
        <w:rPr>
          <w:b/>
        </w:rPr>
        <w:t xml:space="preserve">Ergebnis: </w:t>
      </w:r>
      <w:r>
        <w:t>Bei Frailty-Patienten mit Benzodiazepin-Nutzung war die Effektivität der kombinierten Intervention (körperliche Übungen plus Ernährungsberatung) erheblich reduziert oder aufgehoben. Im Subgroup mit SPPB-Score 3–7 zeigte sich der präventive Effekt (HR 0,80) nur bei Nicht-Nutzern; Nutzer zeigten keinen Schutz (HR 1,06; p=0,035 für Interaktion). Benzodiazepine signifikant mindern die Wirksamkeit von Lebensstiländerungen bei älteren fragilen Menschen.</w:t>
      </w:r>
    </w:p>
    <w:p>
      <w:r>
        <w:rPr>
          <w:b/>
          <w:sz w:val="19"/>
        </w:rPr>
        <w:t xml:space="preserve">Übertragbarkeit: </w:t>
      </w:r>
      <w:r>
        <w:rPr>
          <w:sz w:val="19"/>
        </w:rPr>
        <w:t>Italien und Deutschland, vergleichbare klinische Versorgung und Frailty-Konzepte</w:t>
      </w:r>
    </w:p>
    <w:p>
      <w:r>
        <w:rPr>
          <w:color w:val="5A7D3A"/>
          <w:sz w:val="18"/>
        </w:rPr>
        <w:t>https://pubmed.ncbi.nlm.nih.gov/42685256/</w:t>
      </w:r>
    </w:p>
    <w:p>
      <w:pPr>
        <w:pStyle w:val="Heading2"/>
      </w:pPr>
      <w:r>
        <w:t>Gebrechlichkeit und Alter erhöhen postoperative Komplikationen nach Meningiom-Resektion</w:t>
      </w:r>
    </w:p>
    <w:p>
      <w:r>
        <w:rPr>
          <w:i/>
          <w:color w:val="666666"/>
          <w:sz w:val="18"/>
        </w:rPr>
        <w:t>Eibl T et al.  ·  J Clin Neurosci  ·  06.07.2026  ·  PMID 42407322</w:t>
      </w:r>
    </w:p>
    <w:p>
      <w:r>
        <w:t>Retrospektive Studie: 120 Patienten mit nicht-schädelbasis-Meningiomen (Alter Median 61 Jahre), Frailty (mFI-5, mFI-11), Charlson-Komorbidität, Outcome Heimententlassung, Aufenthaltssdauer, ICU-Tage, Komplikationen.</w:t>
      </w:r>
    </w:p>
    <w:p>
      <w:r>
        <w:rPr>
          <w:b/>
        </w:rPr>
        <w:t xml:space="preserve">Ergebnis: </w:t>
      </w:r>
      <w:r>
        <w:t>82,5% wurden nach Hause entlassen. Risikofaktoren für Nicht-Heimententlassung: höheres Alter (p&lt;0,001), größere Tumorvolumina (p=0,012), höhere Ödemvolumina (p=0,002), höhere Charlson-Score (p&lt;0,001), höhere mFI-5 und mFI-11 (beide p&lt;0,001). Postoperative Aufenthaltssdauer korrelierte mit mFI (rs=0,34 für beide, p&lt;0,001). Gebrechlichkeit und chronologisches Alter beeinflussen operatives Ergebnis erheblich und verlängern postoperativen Aufenthalt.</w:t>
      </w:r>
    </w:p>
    <w:p>
      <w:r>
        <w:rPr>
          <w:b/>
          <w:sz w:val="19"/>
        </w:rPr>
        <w:t xml:space="preserve">Übertragbarkeit: </w:t>
      </w:r>
      <w:r>
        <w:rPr>
          <w:sz w:val="19"/>
        </w:rPr>
        <w:t>Deutschland, vergleichbare Neurochirurgische Versorgung und Frailty-Konzepte</w:t>
      </w:r>
    </w:p>
    <w:p>
      <w:r>
        <w:rPr>
          <w:color w:val="5A7D3A"/>
          <w:sz w:val="18"/>
        </w:rPr>
        <w:t>https://pubmed.ncbi.nlm.nih.gov/42407322/</w:t>
      </w:r>
    </w:p>
    <w:p>
      <w:pPr>
        <w:pStyle w:val="Heading2"/>
      </w:pPr>
      <w:r>
        <w:t>TyG-Index mit BMI/WHtR vorhersagt Herz-Kreislauf-Erkrankung bei älteren Menschen</w:t>
      </w:r>
    </w:p>
    <w:p>
      <w:r>
        <w:rPr>
          <w:i/>
          <w:color w:val="666666"/>
          <w:sz w:val="18"/>
        </w:rPr>
        <w:t>Liu Z et al.  ·  Cardiovasc Diabetol  ·  05.07.2026  ·  PMID 42402573</w:t>
      </w:r>
    </w:p>
    <w:p>
      <w:r>
        <w:t>Prospektive Kohortenstudie: 1808 CVD-freie Personen ≥50 Jahre aus English Longitudinal Study of Ageing, Gruppierungstrajectorie von TyG mit BMI bzw. WHtR über ~8 Jahre, Outcome Herzinfarkt, Schlaganfall, Herzkrankheit.</w:t>
      </w:r>
    </w:p>
    <w:p>
      <w:r>
        <w:rPr>
          <w:b/>
        </w:rPr>
        <w:t xml:space="preserve">Ergebnis: </w:t>
      </w:r>
      <w:r>
        <w:t>Vier Trajektorie-Gruppen identifiziert. Im BMI+TyG-Modell (vs. Normalgewicht-niedriger TyG): Übergewicht-moderater TyG (HR 2,31, 95% KI 1,40–3,83), adipös-hoher TyG (HR 2,72, 1,63–4,52), stark adipös-hoher TyG (HR 5,06, 3,01–8,51). WHtR+TyG ähnliche Dosisantwort. Für Schlaganfall signifikant nur in höchstem Risiko. Robuste Dosis-Antwort-Gradienten unterstützen Monitoring dieser Indizes bei älteren Personen.</w:t>
      </w:r>
    </w:p>
    <w:p>
      <w:r>
        <w:rPr>
          <w:b/>
          <w:sz w:val="19"/>
        </w:rPr>
        <w:t xml:space="preserve">Übertragbarkeit: </w:t>
      </w:r>
      <w:r>
        <w:rPr>
          <w:sz w:val="19"/>
        </w:rPr>
        <w:t>Großbritannien, vergleichbare Epidemiologie und Metabolismus-Diagnostik</w:t>
      </w:r>
    </w:p>
    <w:p>
      <w:r>
        <w:rPr>
          <w:color w:val="5A7D3A"/>
          <w:sz w:val="18"/>
        </w:rPr>
        <w:t>https://pubmed.ncbi.nlm.nih.gov/42402573/</w:t>
      </w:r>
    </w:p>
    <w:p>
      <w:pPr>
        <w:pStyle w:val="Heading2"/>
      </w:pPr>
      <w:r>
        <w:t>Immunseneszenz-Biomarker für klinische Aging-Interventionsstudien</w:t>
      </w:r>
    </w:p>
    <w:p>
      <w:r>
        <w:rPr>
          <w:i/>
          <w:color w:val="666666"/>
          <w:sz w:val="18"/>
        </w:rPr>
        <w:t>Cipriano A et al.  ·  Nat Med  ·  03.07.2026  ·  PMID 42399672</w:t>
      </w:r>
    </w:p>
    <w:p>
      <w:r>
        <w:t>Konsensusrahmen von 26 Gerontologen und Immunologen zur Evaluierung von Immune-Aging-Biomarkern für klinische Trials; fünf Selektionskriterien, Bewertung von Kandidaten-Biomarkern und Empfehlungen für Lücken.</w:t>
      </w:r>
    </w:p>
    <w:p>
      <w:r>
        <w:rPr>
          <w:b/>
        </w:rPr>
        <w:t xml:space="preserve">Ergebnis: </w:t>
      </w:r>
      <w:r>
        <w:t>Metriken mit multidimensionalem Immunfunktionsspektrum, Inflammaging-Scores und funktionelle Assays schnitten gegen Selektionskriterien am besten ab. Vielversprechende aufkommende Maße identifiziert, aber kritische Lücken für zuverlässige, prädiktive Biomarker erkannt. Rahmen bietet kohärenten Weg zu klinisch aussagekräftigen Immunalterungs-Biomarkern für Geroscience-Interventionen.</w:t>
      </w:r>
    </w:p>
    <w:p>
      <w:r>
        <w:rPr>
          <w:b/>
          <w:sz w:val="19"/>
        </w:rPr>
        <w:t xml:space="preserve">Übertragbarkeit: </w:t>
      </w:r>
      <w:r>
        <w:rPr>
          <w:sz w:val="19"/>
        </w:rPr>
        <w:t>International konsensiert; Framework unabhängig von Ländersystem, aber Implementierung in Deutschland möglich</w:t>
      </w:r>
    </w:p>
    <w:p>
      <w:r>
        <w:rPr>
          <w:color w:val="5A7D3A"/>
          <w:sz w:val="18"/>
        </w:rPr>
        <w:t>https://pubmed.ncbi.nlm.nih.gov/42399672/</w:t>
      </w:r>
    </w:p>
    <w:p>
      <w:pPr>
        <w:pStyle w:val="Heading2"/>
      </w:pPr>
      <w:r>
        <w:t>Sexuelle Aktivitätsveränderung beeinträchtigt Lebensqualität im Alter nachweislich</w:t>
      </w:r>
    </w:p>
    <w:p>
      <w:r>
        <w:rPr>
          <w:i/>
          <w:color w:val="666666"/>
          <w:sz w:val="18"/>
        </w:rPr>
        <w:t>Kujawska A et al.  ·  Maturitas  ·  29.06.2026  ·  PMID 42391932</w:t>
      </w:r>
    </w:p>
    <w:p>
      <w:r>
        <w:t>Zweijahrliche Längsschnittstudie: 199 ältere Polen (80% Frauen, Alter 69,7±6 Jahre), Assessment von Sexualität und Lebensqualität nach WHO-QoL, Kovariaten Alter, Basalwerte, Traurigkeit, Gesundheit.</w:t>
      </w:r>
    </w:p>
    <w:p>
      <w:r>
        <w:rPr>
          <w:b/>
        </w:rPr>
        <w:t xml:space="preserve">Ergebnis: </w:t>
      </w:r>
      <w:r>
        <w:t>Keine signifikanten Veränderungen in Gesamt-QoL-Werten über zwei Jahre (p=0,3). Aber: Aufhören von Sexualität war assoziiert mit signifikant niedrigeren Folgepunkten in Sozialbeziehungen (p=0,006) und Umwelt-Domäne (p=0,007). Effekt hielt nach Ausschluß von Gesundheits- und Depressions-Veränderungen. Beendigung der Sexualität im Alter reduziert Sozialbeziehungen und Umwelt-Wohlbefinden nachweislich.</w:t>
      </w:r>
    </w:p>
    <w:p>
      <w:r>
        <w:rPr>
          <w:b/>
          <w:sz w:val="19"/>
        </w:rPr>
        <w:t xml:space="preserve">Übertragbarkeit: </w:t>
      </w:r>
      <w:r>
        <w:rPr>
          <w:sz w:val="19"/>
        </w:rPr>
        <w:t>Polen, ähnliche Altersstruktur, aber Übertragung auf Deutschland kulturabhängig</w:t>
      </w:r>
    </w:p>
    <w:p>
      <w:r>
        <w:rPr>
          <w:color w:val="5A7D3A"/>
          <w:sz w:val="18"/>
        </w:rPr>
        <w:t>https://pubmed.ncbi.nlm.nih.gov/42391932/</w:t>
      </w:r>
    </w:p>
    <w:p>
      <w:pPr>
        <w:pStyle w:val="Heading1"/>
      </w:pPr>
      <w:r>
        <w:t>Aufgenommen am 03.09.2026</w:t>
      </w:r>
    </w:p>
    <w:p>
      <w:pPr>
        <w:pStyle w:val="Heading2"/>
      </w:pPr>
      <w:r>
        <w:t>Hausarzt-Vertragsdienst in China verbessert Gesundheit älterer Erwachsener</w:t>
      </w:r>
    </w:p>
    <w:p>
      <w:r>
        <w:rPr>
          <w:i/>
          <w:color w:val="666666"/>
          <w:sz w:val="18"/>
        </w:rPr>
        <w:t>Jia C et al.  ·  Front Public Health  ·  18.08.2026  ·  PMID 42682531</w:t>
      </w:r>
    </w:p>
    <w:p>
      <w:r>
        <w:t>Nationale chinesische Querschnittsstudie (n = 11.455, ≥ 65 Jahre) aus der China Longitudinal Aging Social Survey 2023 zur Assoziation zwischen Teilnahme am Family Doctor Contract Service (FDCS) und Selbstbewertung, körperlichem Unbehagen und Lebenszufriedenheit, stratifiziert nach Land/Stadt und Bildung.</w:t>
      </w:r>
    </w:p>
    <w:p>
      <w:r>
        <w:rPr>
          <w:b/>
        </w:rPr>
        <w:t xml:space="preserve">Ergebnis: </w:t>
      </w:r>
      <w:r>
        <w:t>FDCS-Teilnahme assoziiert mit besseren Ergebnissen in allen drei Dimensionen. Ländliche und weniger gebildete Ältere zeigten stärkere Assoziationen mit geringerem körperlichem Unbehagen und höherer Lebenszufriedenheit; urbane und höher gebildete mit besserer Selbstbewertung. Heterogene Effekte nach Wohnort und Bildung.</w:t>
      </w:r>
    </w:p>
    <w:p>
      <w:r>
        <w:rPr>
          <w:b/>
          <w:sz w:val="19"/>
        </w:rPr>
        <w:t xml:space="preserve">Übertragbarkeit: </w:t>
      </w:r>
      <w:r>
        <w:rPr>
          <w:sz w:val="19"/>
        </w:rPr>
        <w:t>China, anderes System; Konzept der primärärztlichen Gatekeeping-Funktion teils übertragbar, Effektgrößen jedoch kontextabhängig.</w:t>
      </w:r>
    </w:p>
    <w:p>
      <w:r>
        <w:rPr>
          <w:color w:val="5A7D3A"/>
          <w:sz w:val="18"/>
        </w:rPr>
        <w:t>https://pubmed.ncbi.nlm.nih.gov/42682531/</w:t>
      </w:r>
    </w:p>
    <w:p>
      <w:pPr>
        <w:pStyle w:val="Heading2"/>
      </w:pPr>
      <w:r>
        <w:t>Serum-Periostin als Biomarker für Frailty bei Typ-2-Diabetes</w:t>
      </w:r>
    </w:p>
    <w:p>
      <w:r>
        <w:rPr>
          <w:i/>
          <w:color w:val="666666"/>
          <w:sz w:val="18"/>
        </w:rPr>
        <w:t>González-Salvatierra S et al.  ·  Int J Mol Sci  ·  21.08.2026  ·  PMID 42653500</w:t>
      </w:r>
    </w:p>
    <w:p>
      <w:r>
        <w:t>Spanische Querschnittsstudie (n = 137, Alter 65 ± 8 Jahre) zur Assoziation zwischen serum-Periostin und Frailty-Status (FRAIL-Skala: robust, pre-frail, frail) bei Typ-2-Diabetes.</w:t>
      </w:r>
    </w:p>
    <w:p>
      <w:r>
        <w:rPr>
          <w:b/>
        </w:rPr>
        <w:t xml:space="preserve">Ergebnis: </w:t>
      </w:r>
      <w:r>
        <w:t>Frailty korrelierte positiv mit Alter (p &lt; 0,001), BMI (p = 0,006), Taille (p = 0,01) und Diabetes-Dauer (p = 0,040), negativ mit TBS, HDL und eGFR. Periostin zeigte stärkste Korrelation mit Frailty (p &lt; 0,001). Frail: höhere Periostin als pre-frail (p = 0,006) und robust (p = 0,008). AUC für Frailty-Diskrimination 0,710 (p &lt; 0,001); kombiniert mit klinischen Variablen AUC 0,900 vs. 0,858. Schwellenwert &gt; 1307 pmol/L: 77,8% Sensitivität, 66,7% Spezifität.</w:t>
      </w:r>
    </w:p>
    <w:p>
      <w:r>
        <w:rPr>
          <w:b/>
          <w:sz w:val="19"/>
        </w:rPr>
        <w:t xml:space="preserve">Übertragbarkeit: </w:t>
      </w:r>
      <w:r>
        <w:rPr>
          <w:sz w:val="19"/>
        </w:rPr>
        <w:t>Spanien, europäisches System, vergleichbar; Biomarker-Entwicklung in progress.</w:t>
      </w:r>
    </w:p>
    <w:p>
      <w:r>
        <w:rPr>
          <w:color w:val="5A7D3A"/>
          <w:sz w:val="18"/>
        </w:rPr>
        <w:t>https://pubmed.ncbi.nlm.nih.gov/42653500/</w:t>
      </w:r>
    </w:p>
    <w:p>
      <w:pPr>
        <w:pStyle w:val="Heading2"/>
      </w:pPr>
      <w:r>
        <w:t>Geschlechtsspezifische Determinanten von Frailty bei alternden Menschen mit HIV</w:t>
      </w:r>
    </w:p>
    <w:p>
      <w:r>
        <w:rPr>
          <w:i/>
          <w:color w:val="666666"/>
          <w:sz w:val="18"/>
        </w:rPr>
        <w:t>Echeverría P et al.  ·  Viruses  ·  04.07.2026  ·  PMID 42515594</w:t>
      </w:r>
    </w:p>
    <w:p>
      <w:r>
        <w:t>Querschnittsstudie zu Frailty (Fried-Kriterien) bei 588 älteren Menschen mit HIV in Spanien, untersucht nach Geschlecht stratifiziert mittels geriatrischem Assessment.</w:t>
      </w:r>
    </w:p>
    <w:p>
      <w:r>
        <w:rPr>
          <w:b/>
        </w:rPr>
        <w:t xml:space="preserve">Ergebnis: </w:t>
      </w:r>
      <w:r>
        <w:t>Frauen mit HIV zeigten höhere Frailty-Prävalenz (17% vs. 9%) trotz jüngeren Alters und besserer Immunstatus. Bei Frauen waren muskuloskelettale Erkrankung (OR 3,85), kognitive Beeinträchtigung (OR 3,21), depressive Symptome (OR 2,67) und Mangelernährung (OR 2,14) unabhängig mit Frailty assoziiert; bei Männern alterstypischere Muster. Forderung nach geschlechtsspezifischer, ganzheitlicher geriatrischer Versorgung.</w:t>
      </w:r>
    </w:p>
    <w:p>
      <w:r>
        <w:rPr>
          <w:b/>
          <w:sz w:val="19"/>
        </w:rPr>
        <w:t xml:space="preserve">Übertragbarkeit: </w:t>
      </w:r>
      <w:r>
        <w:rPr>
          <w:sz w:val="19"/>
        </w:rPr>
        <w:t>Spanien, europäisches System, direkt vergleichbare Versorgungsstrukturen.</w:t>
      </w:r>
    </w:p>
    <w:p>
      <w:r>
        <w:rPr>
          <w:color w:val="5A7D3A"/>
          <w:sz w:val="18"/>
        </w:rPr>
        <w:t>https://pubmed.ncbi.nlm.nih.gov/42515594/</w:t>
      </w:r>
    </w:p>
    <w:p>
      <w:pPr>
        <w:pStyle w:val="Heading2"/>
      </w:pPr>
      <w:r>
        <w:t>Express-Screening für Frailty verbessert Versorgung älteren Patienten mit Notfallbedarf</w:t>
      </w:r>
    </w:p>
    <w:p>
      <w:r>
        <w:rPr>
          <w:i/>
          <w:color w:val="666666"/>
          <w:sz w:val="18"/>
        </w:rPr>
        <w:t>Ilnitski AN et al.  ·  Adv Gerontol  ·  2026  ·  PMID 42502931</w:t>
      </w:r>
    </w:p>
    <w:p>
      <w:r>
        <w:t>Russische Studie an 333 älteren Patienten (65–90 Jahre) in Notfallambulanz: Vergleich zwischen 234 Patienten mit Frailty-Screening (Gruppe 1) und 99 ohne Screening (Gruppe 2); Nachverfolgung 1 Monat.</w:t>
      </w:r>
    </w:p>
    <w:p>
      <w:r>
        <w:rPr>
          <w:b/>
        </w:rPr>
        <w:t xml:space="preserve">Ergebnis: </w:t>
      </w:r>
      <w:r>
        <w:t>Gruppe 1: 62,8% unter hausärztlicher Beobachtung, 0% Wiedervorstellungen, 0,4% Mortalität. Gruppe 2: 41,4% beobachtet, 6,1% Wiedervorstellungen, 2% Mortalität (p &lt; 0,001). Express-Screening ermöglichte bessere Nachbeobachtung und senkte Sterblichkeit und Inanspruchnahme.</w:t>
      </w:r>
    </w:p>
    <w:p>
      <w:r>
        <w:rPr>
          <w:b/>
          <w:sz w:val="19"/>
        </w:rPr>
        <w:t xml:space="preserve">Übertragbarkeit: </w:t>
      </w:r>
      <w:r>
        <w:rPr>
          <w:sz w:val="19"/>
        </w:rPr>
        <w:t>Russland, weniger direkt übertragbar; Konzept des Frailty-Screening in Notfallambulanzen adaptierbar.</w:t>
      </w:r>
    </w:p>
    <w:p>
      <w:r>
        <w:rPr>
          <w:color w:val="5A7D3A"/>
          <w:sz w:val="18"/>
        </w:rPr>
        <w:t>https://pubmed.ncbi.nlm.nih.gov/42502931/</w:t>
      </w:r>
    </w:p>
    <w:p>
      <w:pPr>
        <w:pStyle w:val="Heading2"/>
      </w:pPr>
      <w:r>
        <w:t>Geschlechtsspezifische Heterogenität der Handkraftveränderung im Alter: UK Biobank</w:t>
      </w:r>
    </w:p>
    <w:p>
      <w:r>
        <w:rPr>
          <w:i/>
          <w:color w:val="666666"/>
          <w:sz w:val="18"/>
        </w:rPr>
        <w:t>Fortinsky RH et al.  ·  J Gerontol A Biol Sci Med Sci  ·  04.08.2026  ·  PMID 42435411</w:t>
      </w:r>
    </w:p>
    <w:p>
      <w:r>
        <w:t>Longitudinale Kohorte aus UK Biobank (n = 73.134, 52% Frauen, 40–69 Jahre bei Baseline, 4–18 Jahre Nachverfolgung) zur Analyse der Varianz in Handkraft nach Altersgruppen und Geschlecht.</w:t>
      </w:r>
    </w:p>
    <w:p>
      <w:r>
        <w:rPr>
          <w:b/>
        </w:rPr>
        <w:t xml:space="preserve">Ergebnis: </w:t>
      </w:r>
      <w:r>
        <w:t>Frauen zeigten stabile Handkraft-Varianz über alle Altersgruppen querschnittlich und longitudinal; Männer zeigten cross-sectional Varianzabnahme mit Alter, longitudinal aber Varianzanstieg. Kovariaten schwächten Trends ab, eliminierten sie aber nicht. Heterogenität des Alterns operiert bei Männern und Frauen unterschiedlich; longitudinale und querschnittliche Muster divergieren deutlich.</w:t>
      </w:r>
    </w:p>
    <w:p>
      <w:r>
        <w:rPr>
          <w:b/>
          <w:sz w:val="19"/>
        </w:rPr>
        <w:t xml:space="preserve">Übertragbarkeit: </w:t>
      </w:r>
      <w:r>
        <w:rPr>
          <w:sz w:val="19"/>
        </w:rPr>
        <w:t>UK Biobank, vergleichbares englisches System, hohe Übertragbarkeit auf deutsche Bevölkerung.</w:t>
      </w:r>
    </w:p>
    <w:p>
      <w:r>
        <w:rPr>
          <w:color w:val="5A7D3A"/>
          <w:sz w:val="18"/>
        </w:rPr>
        <w:t>https://pubmed.ncbi.nlm.nih.gov/42435411/</w:t>
      </w:r>
    </w:p>
    <w:p>
      <w:pPr>
        <w:pStyle w:val="Heading2"/>
      </w:pPr>
      <w:r>
        <w:t>Gezielte epigenetische Uhr (TaM-Uhr) zeigt Grenzen bei Frailty-Vorhersage</w:t>
      </w:r>
    </w:p>
    <w:p>
      <w:r>
        <w:rPr>
          <w:i/>
          <w:color w:val="666666"/>
          <w:sz w:val="18"/>
        </w:rPr>
        <w:t>Awuah J et al.  ·  Clin Epigenetics  ·  07.07.2026  ·  PMID 42415175</w:t>
      </w:r>
    </w:p>
    <w:p>
      <w:r>
        <w:t>Deutsche Studie (Ulm, Aachen) zur Validierung einer verkürzten epigenetischen Uhr basierend auf drei Sterblichkeits-assoziierten CpG-Stellen gegen Frailty und Mortalität in der ActiFE-Kohorte (n = 446 bzw. 20 Frail/non-Frail).</w:t>
      </w:r>
    </w:p>
    <w:p>
      <w:r>
        <w:rPr>
          <w:b/>
        </w:rPr>
        <w:t xml:space="preserve">Ergebnis: </w:t>
      </w:r>
      <w:r>
        <w:t>In der kleinen Subset (n = 40) war das Delta-Alter mit Frailty assoziiert, jedoch in der größeren Kohorte keine signifikanten Assoziationen mit Frailty oder Mortalität. Ein CpG-Locus (cg20595453) zeigte Assoziation mit beiden Endpunkten, doch insgesamt war die Vorhersagekraft begrenzt. Die Autoren konstatieren, dass epigenetische Uhren in relativ gesunden Populationen nicht sensitiv genug sind.</w:t>
      </w:r>
    </w:p>
    <w:p>
      <w:r>
        <w:rPr>
          <w:b/>
          <w:sz w:val="19"/>
        </w:rPr>
        <w:t xml:space="preserve">Übertragbarkeit: </w:t>
      </w:r>
      <w:r>
        <w:rPr>
          <w:sz w:val="19"/>
        </w:rPr>
        <w:t>Deutschland (Aachen, Ulm), deutsches Studiendesign, hohe Übertragbarkeit; zeigt jedoch auch Grenzen der Methode.</w:t>
      </w:r>
    </w:p>
    <w:p>
      <w:r>
        <w:rPr>
          <w:color w:val="5A7D3A"/>
          <w:sz w:val="18"/>
        </w:rPr>
        <w:t>https://pubmed.ncbi.nlm.nih.gov/42415175/</w:t>
      </w:r>
    </w:p>
    <w:p>
      <w:pPr>
        <w:pStyle w:val="Heading1"/>
      </w:pPr>
      <w:r>
        <w:t>Aufgenommen am 02.09.2026</w:t>
      </w:r>
    </w:p>
    <w:p>
      <w:pPr>
        <w:pStyle w:val="Heading2"/>
      </w:pPr>
      <w:r>
        <w:t>Psychische Gesundheit älteren Menschen: Evidenzbasierte Prävention mit moderater körperlicher Aktivität</w:t>
      </w:r>
    </w:p>
    <w:p>
      <w:r>
        <w:rPr>
          <w:i/>
          <w:color w:val="666666"/>
          <w:sz w:val="18"/>
        </w:rPr>
        <w:t>Acoulon G et al.  ·  Sante Publique  ·  2026  ·  PMID 42674988</w:t>
      </w:r>
    </w:p>
    <w:p>
      <w:r>
        <w:t>Systematische Übersicht von Primärprävention psychischer Erkrankungen bei selbstständig lebenden älteren Menschen ab 60 Jahren.</w:t>
      </w:r>
    </w:p>
    <w:p>
      <w:r>
        <w:rPr>
          <w:b/>
        </w:rPr>
        <w:t xml:space="preserve">Ergebnis: </w:t>
      </w:r>
      <w:r>
        <w:t>Sieben Interventionskategorien identifiziert; moderate körperliche Aktivität (2–3 Sitzungen/Woche, ≥12 Wochen) reduzierte depressive und Angstsymptome am stärksten. Multimodale und in Gemeinderessourcen verankerte Programme zeigten beste Effektivität. Hauptchallenge: Dissemination und Anpassung an vulnerable Bevölkerungsgruppen, nicht die Identifikation wirksamer Interventionen.</w:t>
      </w:r>
    </w:p>
    <w:p>
      <w:r>
        <w:rPr>
          <w:b/>
          <w:sz w:val="19"/>
        </w:rPr>
        <w:t xml:space="preserve">Übertragbarkeit: </w:t>
      </w:r>
      <w:r>
        <w:rPr>
          <w:sz w:val="19"/>
        </w:rPr>
        <w:t>Frankreich, vergleichbare Sozialversicherung; Empfehlungen auf deutsches System übertragbar</w:t>
      </w:r>
    </w:p>
    <w:p>
      <w:r>
        <w:rPr>
          <w:color w:val="5A7D3A"/>
          <w:sz w:val="18"/>
        </w:rPr>
        <w:t>https://pubmed.ncbi.nlm.nih.gov/42674988/</w:t>
      </w:r>
    </w:p>
    <w:p>
      <w:pPr>
        <w:pStyle w:val="Heading2"/>
      </w:pPr>
      <w:r>
        <w:t>Sozial assistive Roboter in der Altenpflege: Phasen-orientierte Implementierung statt Technologie-Fokus</w:t>
      </w:r>
    </w:p>
    <w:p>
      <w:r>
        <w:rPr>
          <w:i/>
          <w:color w:val="666666"/>
          <w:sz w:val="18"/>
        </w:rPr>
        <w:t>Bubeck M et al.  ·  Arch Gerontol Geriatr  ·  28.07.2026  ·  PMID 42603460</w:t>
      </w:r>
    </w:p>
    <w:p>
      <w:r>
        <w:t>Qualitative Studie mit 14 professionellen Pflegekräften in deutschen Einrichtungen zur Erfahrung mit Robotern am Krankenbett.</w:t>
      </w:r>
    </w:p>
    <w:p>
      <w:r>
        <w:rPr>
          <w:b/>
        </w:rPr>
        <w:t xml:space="preserve">Ergebnis: </w:t>
      </w:r>
      <w:r>
        <w:t>Vier analytische Phasen der Implementierung identifiziert: Orientierung, Einführung, Routinenutzung, Neubewertung. Praktische und moralische Anforderungen verschoben sich systematisch. Zentrale Erkenntnisse: Nachhaltige, ethisch verantwortungsvolle Nutzung erfordert Unterstützung des professionellen Urteils und kontextuelle Sensibilität – nicht technisches Rollout ohne Reflexion.</w:t>
      </w:r>
    </w:p>
    <w:p>
      <w:r>
        <w:rPr>
          <w:b/>
          <w:sz w:val="19"/>
        </w:rPr>
        <w:t xml:space="preserve">Übertragbarkeit: </w:t>
      </w:r>
      <w:r>
        <w:rPr>
          <w:sz w:val="19"/>
        </w:rPr>
        <w:t>Deutschland, direkt auf deutsches Versorgungssystem anwendbar</w:t>
      </w:r>
    </w:p>
    <w:p>
      <w:r>
        <w:rPr>
          <w:color w:val="5A7D3A"/>
          <w:sz w:val="18"/>
        </w:rPr>
        <w:t>https://pubmed.ncbi.nlm.nih.gov/42603460/</w:t>
      </w:r>
    </w:p>
    <w:p>
      <w:pPr>
        <w:pStyle w:val="Heading2"/>
      </w:pPr>
      <w:r>
        <w:t>Urinmetabolom als biologische Alter-Uhr: Längsschnitt-Heterogenität und Mortalitätsvorhersage</w:t>
      </w:r>
    </w:p>
    <w:p>
      <w:r>
        <w:rPr>
          <w:i/>
          <w:color w:val="666666"/>
          <w:sz w:val="18"/>
        </w:rPr>
        <w:t>Gauß KF et al.  ·  J Gerontol A Biol Sci Med Sci  ·  04.08.2026  ·  PMID 42440338</w:t>
      </w:r>
    </w:p>
    <w:p>
      <w:r>
        <w:t>Entwicklung und Validierung eines biologischen Alter-Scores aus hochauflösender ¹H-Kernresonanzspektroskopie von Urinmetaboliten in großer populationsbasierter Kohorte mit &gt;10-Jahr Nachverfolgung.</w:t>
      </w:r>
    </w:p>
    <w:p>
      <w:r>
        <w:rPr>
          <w:b/>
        </w:rPr>
        <w:t xml:space="preserve">Ergebnis: </w:t>
      </w:r>
      <w:r>
        <w:t>Metabolisches Altern variiert zwischen Individuen, unterstreicht inter-individuelle Heterogenität. Metabolisches Alter zeigte Assoziation mit altersrelevanten klinischen Phänotypen und war prädiktiv für multiple Erkrankungen und Gesamtmortalität unabhängig vom chronologischen Alter. Urinmetabolom als non-invasives Werkzeug zur Risikostratifizierung validiert.</w:t>
      </w:r>
    </w:p>
    <w:p>
      <w:r>
        <w:rPr>
          <w:b/>
          <w:sz w:val="19"/>
        </w:rPr>
        <w:t xml:space="preserve">Übertragbarkeit: </w:t>
      </w:r>
      <w:r>
        <w:rPr>
          <w:sz w:val="19"/>
        </w:rPr>
        <w:t>Deutschland, Greifswald; deutsche Klinikdaten, vergleichbare Dokumentationspflichten</w:t>
      </w:r>
    </w:p>
    <w:p>
      <w:r>
        <w:rPr>
          <w:color w:val="5A7D3A"/>
          <w:sz w:val="18"/>
        </w:rPr>
        <w:t>https://pubmed.ncbi.nlm.nih.gov/42440338/</w:t>
      </w:r>
    </w:p>
    <w:p>
      <w:pPr>
        <w:pStyle w:val="Heading2"/>
      </w:pPr>
      <w:r>
        <w:t>Frailty-Übergänge und Schlaganfall-Risiko: China und Großbritannien im Vergleich</w:t>
      </w:r>
    </w:p>
    <w:p>
      <w:r>
        <w:rPr>
          <w:i/>
          <w:color w:val="666666"/>
          <w:sz w:val="18"/>
        </w:rPr>
        <w:t>Zhong S et al.  ·  Arch Gerontol Geriatr  ·  04.07.2026  ·  PMID 42418874</w:t>
      </w:r>
    </w:p>
    <w:p>
      <w:r>
        <w:t>Längsschnittstudie (CHARLS/ELSA) mit 14.682 älteren Erwachsenen zu Frailty-Verlauf und Schlaganfall-Inzidenz über 2 Jahre.</w:t>
      </w:r>
    </w:p>
    <w:p>
      <w:r>
        <w:rPr>
          <w:b/>
        </w:rPr>
        <w:t xml:space="preserve">Ergebnis: </w:t>
      </w:r>
      <w:r>
        <w:t>Baseline-Frailty erhöhte Schlaganfall-Risiko in beiden Ländern. Progression von robust zu pre-frail/frail: signifikant erhöhtes Risiko; Verbesserung von frail zu robust/pre-frail: Risikoreduktion. Höherer kumulativer Frailty-Index zeigte Dosis-Wirkungs-Beziehung (alle p&lt;0,0001). Frailty-Monitoring als Prognose-Instrument für Hochrisiko-Patienten bestätigt.</w:t>
      </w:r>
    </w:p>
    <w:p>
      <w:r>
        <w:rPr>
          <w:b/>
          <w:sz w:val="19"/>
        </w:rPr>
        <w:t xml:space="preserve">Übertragbarkeit: </w:t>
      </w:r>
      <w:r>
        <w:rPr>
          <w:sz w:val="19"/>
        </w:rPr>
        <w:t>Großbritannien und China, vorsichtig auf Deutschland; Altersstruktur und Versorgung unterschiedlich, Frailty-Mechanismus universal</w:t>
      </w:r>
    </w:p>
    <w:p>
      <w:r>
        <w:rPr>
          <w:color w:val="5A7D3A"/>
          <w:sz w:val="18"/>
        </w:rPr>
        <w:t>https://pubmed.ncbi.nlm.nih.gov/42418874/</w:t>
      </w:r>
    </w:p>
    <w:p>
      <w:pPr>
        <w:pStyle w:val="Heading2"/>
      </w:pPr>
      <w:r>
        <w:t>Soziale, psychische und spirituelle Versorgung am Lebensende: Ungleichheiten durch fehlende Formaldienste</w:t>
      </w:r>
    </w:p>
    <w:p>
      <w:r>
        <w:rPr>
          <w:i/>
          <w:color w:val="666666"/>
          <w:sz w:val="18"/>
        </w:rPr>
        <w:t>Meier C et al.  ·  Age Ageing  ·  02.07.2026  ·  PMID 42407095</w:t>
      </w:r>
    </w:p>
    <w:p>
      <w:r>
        <w:t>Analyse von 507 Proxy-Interviews verstorbener Personen (≥55 Jahre) aus der ELSA zur Unterstützung non-medizinischer Bedarf in den letzten drei Lebensmonaten.</w:t>
      </w:r>
    </w:p>
    <w:p>
      <w:r>
        <w:rPr>
          <w:b/>
        </w:rPr>
        <w:t xml:space="preserve">Ergebnis: </w:t>
      </w:r>
      <w:r>
        <w:t>Soziale Bedürfnisse bei 81,8%, psychische bei 77,8%, spirituelle bei 74,4% erfüllt. Überwiegend Familie als Unterstützer, kaum formale Dienste. Alleinleben assoziiert mit niedrigerer Erfüllungswahrscheinlichkeit; Demenz korreliert mit schlechterer psychischer und sozialer Unterstützung. Mangel an integrierten Angeboten verstärkt soziale Ungleichheiten am Lebensende.</w:t>
      </w:r>
    </w:p>
    <w:p>
      <w:r>
        <w:rPr>
          <w:b/>
          <w:sz w:val="19"/>
        </w:rPr>
        <w:t xml:space="preserve">Übertragbarkeit: </w:t>
      </w:r>
      <w:r>
        <w:rPr>
          <w:sz w:val="19"/>
        </w:rPr>
        <w:t>Großbritannien, vergleichbar mit deutschem NHS; Befund zur Systemabhängigkeit nicht-medizinischer Versorgung bedeutsam</w:t>
      </w:r>
    </w:p>
    <w:p>
      <w:r>
        <w:rPr>
          <w:color w:val="5A7D3A"/>
          <w:sz w:val="18"/>
        </w:rPr>
        <w:t>https://pubmed.ncbi.nlm.nih.gov/42407095/</w:t>
      </w:r>
    </w:p>
    <w:p>
      <w:pPr>
        <w:pStyle w:val="Heading2"/>
      </w:pPr>
      <w:r>
        <w:t>Schlafstörungen und Muskelkraftverlust im Alter: Geschlechtsspezifische Unterschiede bei älteren Erwachsenen</w:t>
      </w:r>
    </w:p>
    <w:p>
      <w:r>
        <w:rPr>
          <w:i/>
          <w:color w:val="666666"/>
          <w:sz w:val="18"/>
        </w:rPr>
        <w:t>Silveira LC et al.  ·  Age Ageing  ·  02.07.2026  ·  PMID 42407094</w:t>
      </w:r>
    </w:p>
    <w:p>
      <w:r>
        <w:t>Längsschnittstudie (8 Jahre, n=6.429, ELSA) zu Einfluss von Insomnie und Schlafdauer auf Handgriff-Kraft-Abnahme.</w:t>
      </w:r>
    </w:p>
    <w:p>
      <w:r>
        <w:rPr>
          <w:b/>
        </w:rPr>
        <w:t xml:space="preserve">Ergebnis: </w:t>
      </w:r>
      <w:r>
        <w:t>Männer mit erhöhter Insomnie: schnellerer Kraftverlust (–0,02 kg/Jahr; 95%-KI –0,04 bis –0,01). Frauen mit Schlafdauer ≥9 Stunden: stärkerer Rückgang (–0,14 kg/Jahr; 95%-KI –0,26 bis –0,03). Schlafprobleme beeinflussen Muskelabbau geschlechtsspezifisch unterschiedlich – bei Männern Insomnie, bei Frauen lange Schlafdauer.</w:t>
      </w:r>
    </w:p>
    <w:p>
      <w:r>
        <w:rPr>
          <w:b/>
          <w:sz w:val="19"/>
        </w:rPr>
        <w:t xml:space="preserve">Übertragbarkeit: </w:t>
      </w:r>
      <w:r>
        <w:rPr>
          <w:sz w:val="19"/>
        </w:rPr>
        <w:t>Großbritannien, epidemiologisch auf Deutschland übertragbar; Geschlechtsdimension in Prävention relevant</w:t>
      </w:r>
    </w:p>
    <w:p>
      <w:r>
        <w:rPr>
          <w:color w:val="5A7D3A"/>
          <w:sz w:val="18"/>
        </w:rPr>
        <w:t>https://pubmed.ncbi.nlm.nih.gov/42407094/</w:t>
      </w:r>
    </w:p>
    <w:p>
      <w:pPr>
        <w:pStyle w:val="Heading1"/>
      </w:pPr>
      <w:r>
        <w:t>Aufgenommen am 01.09.2026</w:t>
      </w:r>
    </w:p>
    <w:p>
      <w:pPr>
        <w:pStyle w:val="Heading2"/>
      </w:pPr>
      <w:r>
        <w:t>Geriatrisches Assessment vor Gefäßinterventionen senkt perioperative Risiken bei älteren Patienten</w:t>
      </w:r>
    </w:p>
    <w:p>
      <w:r>
        <w:rPr>
          <w:i/>
          <w:color w:val="666666"/>
          <w:sz w:val="18"/>
        </w:rPr>
        <w:t>Kolb G et al.  ·  Vasa  ·  Sept. 2026  ·  PMID 42669422</w:t>
      </w:r>
    </w:p>
    <w:p>
      <w:r>
        <w:t>Positionspapier dreier Fachgesellschaften zur Notwendigkeit geriatrischer Assessments vor gefäßmedizinischen Eingriffen bei älteren Menschen, da Frailty die Outcomes nach Gefäßchirurgie und Interventionen bestimmt.</w:t>
      </w:r>
    </w:p>
    <w:p>
      <w:r>
        <w:rPr>
          <w:b/>
        </w:rPr>
        <w:t xml:space="preserve">Ergebnis: </w:t>
      </w:r>
      <w:r>
        <w:t>Frailty-Status bestimmt Komplikationen und Outcomes nach Gefäßinterventionen; geriatrisches Assessment wird zur Risikostratifizierung empfohlen, konkrete Zahlen zu Outcome-Verbesserungen durch das Positionspapier nicht genannt.</w:t>
      </w:r>
    </w:p>
    <w:p>
      <w:r>
        <w:rPr>
          <w:b/>
          <w:sz w:val="19"/>
        </w:rPr>
        <w:t xml:space="preserve">Übertragbarkeit: </w:t>
      </w:r>
      <w:r>
        <w:rPr>
          <w:sz w:val="19"/>
        </w:rPr>
        <w:t>Deutschland: Stellungnahmen deutscher Fachgesellschaften, direkt relevant für Versorgungspraxis.</w:t>
      </w:r>
    </w:p>
    <w:p>
      <w:r>
        <w:rPr>
          <w:color w:val="5A7D3A"/>
          <w:sz w:val="18"/>
        </w:rPr>
        <w:t>https://pubmed.ncbi.nlm.nih.gov/42669422/</w:t>
      </w:r>
    </w:p>
    <w:p>
      <w:pPr>
        <w:pStyle w:val="Heading2"/>
      </w:pPr>
      <w:r>
        <w:t>Gesunde Ernährung verlangsamt epigenetisches Altern unabhängig von Ernährungsstil</w:t>
      </w:r>
    </w:p>
    <w:p>
      <w:r>
        <w:rPr>
          <w:i/>
          <w:color w:val="666666"/>
          <w:sz w:val="18"/>
        </w:rPr>
        <w:t>Tavares JF et al.  ·  Nat Commun  ·  29.08.2026  ·  PMID 42668319</w:t>
      </w:r>
    </w:p>
    <w:p>
      <w:r>
        <w:t>Zwei bevölkerungsbasierte Kohorten zeigten, dass Adhärenz zu gesunden Ernährungsmustern mit verlangsamtem epigenetischem Altern assoziiert ist, obwohl verschiedene Ernährungsstile unterschiedliche epigenetische Profile aufweisen.</w:t>
      </w:r>
    </w:p>
    <w:p>
      <w:r>
        <w:rPr>
          <w:b/>
        </w:rPr>
        <w:t xml:space="preserve">Ergebnis: </w:t>
      </w:r>
      <w:r>
        <w:t>Zehn verschiedene Ernährungsbewertungsindizes: minimale Überschneidung in der höchsten Adhärenz-Quartile, aber alle mit reduziertem epigenetischen Altern assoziiert; verschiedene Ernährungsstile konvergierten auf gleiche biologische Signalwege.</w:t>
      </w:r>
    </w:p>
    <w:p>
      <w:r>
        <w:rPr>
          <w:b/>
          <w:sz w:val="19"/>
        </w:rPr>
        <w:t xml:space="preserve">Übertragbarkeit: </w:t>
      </w:r>
      <w:r>
        <w:rPr>
          <w:sz w:val="19"/>
        </w:rPr>
        <w:t>Deutschland und deutschsprachiger Raum: Rhineland-Studie, vergleichbare Populationsstruktur, externe Validierung mit EPIC-Potsdam.</w:t>
      </w:r>
    </w:p>
    <w:p>
      <w:r>
        <w:rPr>
          <w:color w:val="5A7D3A"/>
          <w:sz w:val="18"/>
        </w:rPr>
        <w:t>https://pubmed.ncbi.nlm.nih.gov/42668319/</w:t>
      </w:r>
    </w:p>
    <w:p>
      <w:pPr>
        <w:pStyle w:val="Heading2"/>
      </w:pPr>
      <w:r>
        <w:t>Arbeitsplatzgewalt verkürzt die Erwerbstätigkeit älterer Arbeitnehmer um bis zu sieben Monate</w:t>
      </w:r>
    </w:p>
    <w:p>
      <w:r>
        <w:rPr>
          <w:i/>
          <w:color w:val="666666"/>
          <w:sz w:val="18"/>
        </w:rPr>
        <w:t>Holmgren R et al.  ·  Scand J Work Environ Health  ·  01.09.2026  ·  PMID 42563557</w:t>
      </w:r>
    </w:p>
    <w:p>
      <w:r>
        <w:t>Prospektive schwedische Kohortenstudie mit multistate Markov-Modellen zur Assoziation von Mobbing und Gewalt am Arbeitsplatz mit der verbleibenden Erwerbstätigkeit von über 50-Jährigen.</w:t>
      </w:r>
    </w:p>
    <w:p>
      <w:r>
        <w:rPr>
          <w:b/>
        </w:rPr>
        <w:t xml:space="preserve">Ergebnis: </w:t>
      </w:r>
      <w:r>
        <w:t>Exposition gegenüber Arbeitsplatzgewalt/Drohungen verkürzte die Erwerbstätigkeit ab 50 Jahren um 0,56 Jahre (95%-KI: −1,02–−0,10); Mobbing zeigte ähnliche Effektgröße (−0,63 Jahre, 95%-KI: −1,39–0,14), war aber nicht statistisch signifikant.</w:t>
      </w:r>
    </w:p>
    <w:p>
      <w:r>
        <w:rPr>
          <w:b/>
          <w:sz w:val="19"/>
        </w:rPr>
        <w:t xml:space="preserve">Übertragbarkeit: </w:t>
      </w:r>
      <w:r>
        <w:rPr>
          <w:sz w:val="19"/>
        </w:rPr>
        <w:t>Schweden, vergleichbares Sozialversicherungssystem, Längsschnitt-Follow-up 2008–2020.</w:t>
      </w:r>
    </w:p>
    <w:p>
      <w:r>
        <w:rPr>
          <w:color w:val="5A7D3A"/>
          <w:sz w:val="18"/>
        </w:rPr>
        <w:t>https://pubmed.ncbi.nlm.nih.gov/42563557/</w:t>
      </w:r>
    </w:p>
    <w:p>
      <w:pPr>
        <w:pStyle w:val="Heading2"/>
      </w:pPr>
      <w:r>
        <w:t>Frailty-Messung mit elektronischen Daten ist kontextabhängig und zeigt begrenzte Übertragbarkeit</w:t>
      </w:r>
    </w:p>
    <w:p>
      <w:r>
        <w:rPr>
          <w:i/>
          <w:color w:val="666666"/>
          <w:sz w:val="18"/>
        </w:rPr>
        <w:t>Cavanaugh R et al.  ·  J Gerontol A Biol Sci Med Sci  ·  04.08.2026  ·  PMID 42550179</w:t>
      </w:r>
    </w:p>
    <w:p>
      <w:r>
        <w:t>Internationale Vergleichsstudie zweier elektronischer Frailty-Indizes (VAFI, eFI) über fünf Datenbanken zeigte inkonsistente Frailty-Prävalenzen je nach Land und lokalen Kodierungsverhalten.</w:t>
      </w:r>
    </w:p>
    <w:p>
      <w:r>
        <w:rPr>
          <w:b/>
        </w:rPr>
        <w:t xml:space="preserve">Ergebnis: </w:t>
      </w:r>
      <w:r>
        <w:t>USA-Datenbanken: VAFI identifizierte höhere Frailty-Raten (All of Us: 10,3% vs. 2,5% eFI; Pharmetrics: 9,6% vs. 2%); UK-Datenbanken zeigten umgekehrtes Muster (eFI höher); FI-Messungen stark abhängig vom Entwicklungskontext und lokalen Kodierungsinzentiven.</w:t>
      </w:r>
    </w:p>
    <w:p>
      <w:r>
        <w:rPr>
          <w:b/>
          <w:sz w:val="19"/>
        </w:rPr>
        <w:t xml:space="preserve">Übertragbarkeit: </w:t>
      </w:r>
      <w:r>
        <w:rPr>
          <w:sz w:val="19"/>
        </w:rPr>
        <w:t>USA und UK: Warnung vor direkter Anwendung außerhalb des Entwicklungskontextes; deutsche Systeme benötigen eigene Validierung.</w:t>
      </w:r>
    </w:p>
    <w:p>
      <w:r>
        <w:rPr>
          <w:color w:val="5A7D3A"/>
          <w:sz w:val="18"/>
        </w:rPr>
        <w:t>https://pubmed.ncbi.nlm.nih.gov/42550179/</w:t>
      </w:r>
    </w:p>
    <w:p>
      <w:pPr>
        <w:pStyle w:val="Heading2"/>
      </w:pPr>
      <w:r>
        <w:t>Datenaustausch für Hirnalterungsforschung: Barrieren und Strategien in der Open Science</w:t>
      </w:r>
    </w:p>
    <w:p>
      <w:r>
        <w:rPr>
          <w:i/>
          <w:color w:val="666666"/>
          <w:sz w:val="18"/>
        </w:rPr>
        <w:t>Giehl K et al.  ·  Eur J Neurol  ·  Juli 2026  ·  PMID 42496021</w:t>
      </w:r>
    </w:p>
    <w:p>
      <w:r>
        <w:t>Übersichtsarbeit zu Hindernissen bei der Freigabe von Neuroimaging-Daten in der Alternsforschung und Vorschläge für vereinheitlichte rechtliche Rahmen, Standardisierung und akademische Anreize.</w:t>
      </w:r>
    </w:p>
    <w:p>
      <w:r>
        <w:rPr>
          <w:b/>
        </w:rPr>
        <w:t xml:space="preserve">Ergebnis: </w:t>
      </w:r>
      <w:r>
        <w:t>Die Hürden reichen von technischen und infrastrukturellen Grenzen bis zu rechtlichen Fragen. Die Arbeit plädiert für einen einheitlichen, DSGVO-konformen Rahmen, für die akademische Anerkennung von Data Stewardship und für ein abgestimmtes Vorgehen der Fachgemeinschaft hin zu Open Science in der Erforschung neurodegenerativer Erkrankungen.</w:t>
      </w:r>
    </w:p>
    <w:p>
      <w:r>
        <w:rPr>
          <w:b/>
          <w:sz w:val="19"/>
        </w:rPr>
        <w:t xml:space="preserve">Übertragbarkeit: </w:t>
      </w:r>
      <w:r>
        <w:rPr>
          <w:sz w:val="19"/>
        </w:rPr>
        <w:t>Europa: GDPR-Konformität, direkt auf EU-Systeme anwendbar, insbesondere Deutschland.</w:t>
      </w:r>
    </w:p>
    <w:p>
      <w:r>
        <w:rPr>
          <w:color w:val="5A7D3A"/>
          <w:sz w:val="18"/>
        </w:rPr>
        <w:t>https://pubmed.ncbi.nlm.nih.gov/42496021/</w:t>
      </w:r>
    </w:p>
    <w:p>
      <w:pPr>
        <w:pStyle w:val="Heading2"/>
      </w:pPr>
      <w:r>
        <w:t>Direkt wirkende Antivirale bei Hepatitis C verlängern Lebenserwartung um bis zu neun Jahre</w:t>
      </w:r>
    </w:p>
    <w:p>
      <w:r>
        <w:rPr>
          <w:i/>
          <w:color w:val="666666"/>
          <w:sz w:val="18"/>
        </w:rPr>
        <w:t>Etoori D et al.  ·  J Viral Hepat  ·  Aug. 2026  ·  PMID 42438144</w:t>
      </w:r>
    </w:p>
    <w:p>
      <w:r>
        <w:t>Englische Überwachungs- und Mortalitätsdaten zeigten, dass behandelte Hepatitis-C-Patienten eine um 8,5 bis 8,9 Jahre längere Lebenserwartung hatten, wobei dieser Vorsprung zwischen 2015–2018 und 2019–2022 abnahm.</w:t>
      </w:r>
    </w:p>
    <w:p>
      <w:r>
        <w:rPr>
          <w:b/>
        </w:rPr>
        <w:t xml:space="preserve">Ergebnis: </w:t>
      </w:r>
      <w:r>
        <w:t>Periode 2015–2018: behandelte Frauen +8,5 Jahre LE (95%-KI: 5,4–11,5), Männer +8,9 Jahre (95%-KI: 5,6–12,2); Periode 2019–2022: Frauen +6,7 Jahre (95%-KI: 3,3–10,2), Männer +5,3 Jahre (95%-KI: 3,0–7,6); Rückgang durch höhere Suizid-, Alkohol- und Drogentodesfälle in behandelter Population.</w:t>
      </w:r>
    </w:p>
    <w:p>
      <w:r>
        <w:rPr>
          <w:b/>
          <w:sz w:val="19"/>
        </w:rPr>
        <w:t xml:space="preserve">Übertragbarkeit: </w:t>
      </w:r>
      <w:r>
        <w:rPr>
          <w:sz w:val="19"/>
        </w:rPr>
        <w:t>Vereinigtes Königreich, vergleichbare westliche Versorgungsstrukturen, nationale Überwachungsdaten mit Mortalitätslinkage verfügbar.</w:t>
      </w:r>
    </w:p>
    <w:p>
      <w:r>
        <w:rPr>
          <w:color w:val="5A7D3A"/>
          <w:sz w:val="18"/>
        </w:rPr>
        <w:t>https://pubmed.ncbi.nlm.nih.gov/42438144/</w:t>
      </w:r>
    </w:p>
    <w:p>
      <w:pPr>
        <w:pStyle w:val="Heading2"/>
      </w:pPr>
      <w:r>
        <w:t>Französische Geriater fordern Fortbildung in Nephrologie: 75% Bedarf bei chronischen Nierenerkrankungen im Alter</w:t>
      </w:r>
    </w:p>
    <w:p>
      <w:r>
        <w:rPr>
          <w:i/>
          <w:color w:val="666666"/>
          <w:sz w:val="18"/>
        </w:rPr>
        <w:t>Mésinèle L et al.  ·  Geriatr Psychol Neuropsychiatr Vieil  ·  01.06.2026  ·  PMID 42412499</w:t>
      </w:r>
    </w:p>
    <w:p>
      <w:r>
        <w:t>Online-Befragung von 252 französischen Geriatrien zur Zusammenarbeit mit Nephrologie und Fortbildungsbedarf; 89% haben Zugang zu Nephrologen, aber nur 37% nennen einen Ansprechpartner für nephrogeriatrische Fragen.</w:t>
      </w:r>
    </w:p>
    <w:p>
      <w:r>
        <w:rPr>
          <w:b/>
        </w:rPr>
        <w:t xml:space="preserve">Ergebnis: </w:t>
      </w:r>
      <w:r>
        <w:t>89% haben Zugang zu Nephrologen, 37% identifizieren einen Ansprechpartner; häufigster Fortbildungswunsch: metabolische und kardiovaskuläre Komplikationen der CKD (60%), CKD-Stadien 1–4 (46%), Arzneimitteltherapie bei Niereninsuffizienz (38%); Geriater mit Nephro-Fortbildung häufiger in Shared Decision-Making zu Dialyse involviert.</w:t>
      </w:r>
    </w:p>
    <w:p>
      <w:r>
        <w:rPr>
          <w:b/>
          <w:sz w:val="19"/>
        </w:rPr>
        <w:t xml:space="preserve">Übertragbarkeit: </w:t>
      </w:r>
      <w:r>
        <w:rPr>
          <w:sz w:val="19"/>
        </w:rPr>
        <w:t>Frankreich, vergleichbares westeuropäisches Gesundheitssystem und Aus­bildungsanforderungen, Befragungsdaten direkt zur Versorgungsorganisation.</w:t>
      </w:r>
    </w:p>
    <w:p>
      <w:r>
        <w:rPr>
          <w:color w:val="5A7D3A"/>
          <w:sz w:val="18"/>
        </w:rPr>
        <w:t>https://pubmed.ncbi.nlm.nih.gov/42412499/</w:t>
      </w:r>
    </w:p>
    <w:p>
      <w:pPr>
        <w:pStyle w:val="Heading1"/>
      </w:pPr>
      <w:r>
        <w:t>Aufgenommen am 31.08.2026</w:t>
      </w:r>
    </w:p>
    <w:p>
      <w:pPr>
        <w:pStyle w:val="Heading2"/>
      </w:pPr>
      <w:r>
        <w:t>Gezieltes Geriatrie-Training in Intensivstationen verbessert Fachkompetenz des Personals</w:t>
      </w:r>
    </w:p>
    <w:p>
      <w:r>
        <w:rPr>
          <w:i/>
          <w:color w:val="666666"/>
          <w:sz w:val="18"/>
        </w:rPr>
        <w:t>Beernaert L et al.  ·  Soins Gerontol  ·  20.07.2026  ·  PMID 42542357</w:t>
      </w:r>
    </w:p>
    <w:p>
      <w:r>
        <w:t>Pilottudie zur Wirksamkeit gezielter Schulung von Pflegekräften und Paramedizinern in Geriatrie-Kompetenzen auf Intensivstationen.</w:t>
      </w:r>
    </w:p>
    <w:p>
      <w:r>
        <w:rPr>
          <w:b/>
        </w:rPr>
        <w:t xml:space="preserve">Ergebnis: </w:t>
      </w:r>
      <w:r>
        <w:t>Gezielte Schulungen führten zu signifikanten Verbesserungen der Geriatrie-Kenntnisse des Personals. Die Studie unterstützt den Wert kontinuierlicher Fortbildung, sollte aber durch multizentrische Studien bestätigt werden.</w:t>
      </w:r>
    </w:p>
    <w:p>
      <w:r>
        <w:rPr>
          <w:b/>
          <w:sz w:val="19"/>
        </w:rPr>
        <w:t xml:space="preserve">Übertragbarkeit: </w:t>
      </w:r>
      <w:r>
        <w:rPr>
          <w:sz w:val="19"/>
        </w:rPr>
        <w:t>Belgisches Universitätsspital, konzeptuell auf deutschsprachige Kliniken übertragbar.</w:t>
      </w:r>
    </w:p>
    <w:p>
      <w:r>
        <w:rPr>
          <w:color w:val="5A7D3A"/>
          <w:sz w:val="18"/>
        </w:rPr>
        <w:t>https://pubmed.ncbi.nlm.nih.gov/42542357/</w:t>
      </w:r>
    </w:p>
    <w:p>
      <w:pPr>
        <w:pStyle w:val="Heading2"/>
      </w:pPr>
      <w:r>
        <w:t>Triglyceride-Cholesterin-Körpergewicht-Index vorhersagt Hypertonie-Risiko bei älteren Menschen</w:t>
      </w:r>
    </w:p>
    <w:p>
      <w:r>
        <w:rPr>
          <w:i/>
          <w:color w:val="666666"/>
          <w:sz w:val="18"/>
        </w:rPr>
        <w:t>Luo F et al.  ·  J Int Med Res  ·  30.07.2026  ·  PMID 42530895</w:t>
      </w:r>
    </w:p>
    <w:p>
      <w:r>
        <w:t>Longitudinalanalyse der English Longitudinal Study of Ageing mit 5.731 älteren Erwachsenen über 12 Jahre zur Assoziation eines Stoffwechsel-Indexes mit Hypertonie-Inzidenz.</w:t>
      </w:r>
    </w:p>
    <w:p>
      <w:r>
        <w:rPr>
          <w:b/>
        </w:rPr>
        <w:t xml:space="preserve">Ergebnis: </w:t>
      </w:r>
      <w:r>
        <w:t>Jede Einheit Anstieg des log-transformierten Index war mit 43% höherer Hypertonie-Odds assoziiert (OR=1,43; 95% KI: 1,31–1,55). Prospektiv: adjustierte HR=1,16 (1,05–1,28). Trajektorien zeigten dosisabhängige Risikoerhöhung (hohe vs. niedrige Gruppe: OR=1,69, p&lt;0,001).</w:t>
      </w:r>
    </w:p>
    <w:p>
      <w:r>
        <w:rPr>
          <w:b/>
          <w:sz w:val="19"/>
        </w:rPr>
        <w:t xml:space="preserve">Übertragbarkeit: </w:t>
      </w:r>
      <w:r>
        <w:rPr>
          <w:sz w:val="19"/>
        </w:rPr>
        <w:t>England, demografische und epidemiologische Parallelität mit Deutschland gegeben.</w:t>
      </w:r>
    </w:p>
    <w:p>
      <w:r>
        <w:rPr>
          <w:color w:val="5A7D3A"/>
          <w:sz w:val="18"/>
        </w:rPr>
        <w:t>https://pubmed.ncbi.nlm.nih.gov/42530895/</w:t>
      </w:r>
    </w:p>
    <w:p>
      <w:pPr>
        <w:pStyle w:val="Heading2"/>
      </w:pPr>
      <w:r>
        <w:t>Gesundheitliche Behandlungspräferenzen Älterer: Alters- und Geschlechtsunterschiede in England</w:t>
      </w:r>
    </w:p>
    <w:p>
      <w:r>
        <w:rPr>
          <w:i/>
          <w:color w:val="666666"/>
          <w:sz w:val="18"/>
        </w:rPr>
        <w:t>Steel N et al.  ·  PLoS One  ·  29.07.2026  ·  PMID 42525585</w:t>
      </w:r>
    </w:p>
    <w:p>
      <w:r>
        <w:t>Querschnittsanalyse der English Longitudinal Study of Ageing (Wave 8, 2016/17) zu Präferenzen von über 50-Jährigen bei sechs Gesundheitsfragen (Risikobereitschaft, Zeitorientierung, Qualität vs. Länge des Lebens).</w:t>
      </w:r>
    </w:p>
    <w:p>
      <w:r>
        <w:rPr>
          <w:b/>
        </w:rPr>
        <w:t xml:space="preserve">Ergebnis: </w:t>
      </w:r>
      <w:r>
        <w:t>Frauen delegierten Entscheidungen weniger häufig an Ärzte und priorisierten Lebensqualität über Lebensdauer. Personen über 75 Jahre bevorzugten mehr Risikominderung und Delegierung. Substanzielle Variabilität zwischen Personen, systematische Unterschiede nach Alter und Geschlecht unterstützen strukturiertes Elicitierungsgesprächs-Protokoll.</w:t>
      </w:r>
    </w:p>
    <w:p>
      <w:r>
        <w:rPr>
          <w:b/>
          <w:sz w:val="19"/>
        </w:rPr>
        <w:t xml:space="preserve">Übertragbarkeit: </w:t>
      </w:r>
      <w:r>
        <w:rPr>
          <w:sz w:val="19"/>
        </w:rPr>
        <w:t>Großbritannien; übertragbar auf deutsches Versorgungssystem mit ähnlichen Partizipationsnormen.</w:t>
      </w:r>
    </w:p>
    <w:p>
      <w:r>
        <w:rPr>
          <w:color w:val="5A7D3A"/>
          <w:sz w:val="18"/>
        </w:rPr>
        <w:t>https://pubmed.ncbi.nlm.nih.gov/42525585/</w:t>
      </w:r>
    </w:p>
    <w:p>
      <w:pPr>
        <w:pStyle w:val="Heading2"/>
      </w:pPr>
      <w:r>
        <w:t>Depressive Symptome von Ehepartnern zeigen stabiles Muster, aber schwache prospektive Kopplung im Alter</w:t>
      </w:r>
    </w:p>
    <w:p>
      <w:r>
        <w:rPr>
          <w:i/>
          <w:color w:val="666666"/>
          <w:sz w:val="18"/>
        </w:rPr>
        <w:t>Miao J et al.  ·  Psychol Med  ·  29.07.2026  ·  PMID 42522229</w:t>
      </w:r>
    </w:p>
    <w:p>
      <w:r>
        <w:t>Harmonisierte Längsschnittanalyse aus CHARLS (China), HRS (USA) und ELSA (England) mit insgesamt 7.759 Paaren über 5–9 Wellen zu Depressionen, Aktivitätseinschränkungen und Partnereffekte.</w:t>
      </w:r>
    </w:p>
    <w:p>
      <w:r>
        <w:rPr>
          <w:b/>
        </w:rPr>
        <w:t xml:space="preserve">Ergebnis: </w:t>
      </w:r>
      <w:r>
        <w:t>Hohe Konkordanz depressiver Symptome zwischen Partnern (r=0,14–0,43) über alle Kohorten. Prospektive Cross-Spouse-Assoziationen waren nach Kontrolle stabiler Ähnlichkeiten schwach und nur in ELSA und multipel-imputierter HRS signifikant. Bidirektionale Depression-Funktionsstörung-Kopplung in westlichen Kohorten stärker, unterstützt kombinierte Behandlung und Rehabilitation.</w:t>
      </w:r>
    </w:p>
    <w:p>
      <w:r>
        <w:rPr>
          <w:b/>
          <w:sz w:val="19"/>
        </w:rPr>
        <w:t xml:space="preserve">Übertragbarkeit: </w:t>
      </w:r>
      <w:r>
        <w:rPr>
          <w:sz w:val="19"/>
        </w:rPr>
        <w:t>ELSA ist englische Bevölkerungsstichprobe; Ergebnisse auf deutsches Versorgungssystem moderat übertragbar.</w:t>
      </w:r>
    </w:p>
    <w:p>
      <w:r>
        <w:rPr>
          <w:color w:val="5A7D3A"/>
          <w:sz w:val="18"/>
        </w:rPr>
        <w:t>https://pubmed.ncbi.nlm.nih.gov/42522229/</w:t>
      </w:r>
    </w:p>
    <w:p>
      <w:pPr>
        <w:pStyle w:val="Heading2"/>
      </w:pPr>
      <w:r>
        <w:t>Frailty und psychische Gesundheit bei älteren Menschen: Längsschnittstudie aus Slowenien</w:t>
      </w:r>
    </w:p>
    <w:p>
      <w:r>
        <w:rPr>
          <w:i/>
          <w:color w:val="666666"/>
          <w:sz w:val="18"/>
        </w:rPr>
        <w:t>Mikolič Brence P et al.  ·  Front Public Health  ·  06.07.2026  ·  PMID 42518591</w:t>
      </w:r>
    </w:p>
    <w:p>
      <w:r>
        <w:t>Studienprotokoll einer prospektiven Kohortenstudie mit Erwachsenen ≥50 Jahren (geplant n=5.000, 2026–2028) zu Assoziationen zwischen Frailty und mentalen Gesundheitsfaktoren (Wohlbefinden, Resilienz, soziale Kohäsion).</w:t>
      </w:r>
    </w:p>
    <w:p>
      <w:r>
        <w:rPr>
          <w:b/>
        </w:rPr>
        <w:t xml:space="preserve">Ergebnis: </w:t>
      </w:r>
      <w:r>
        <w:t>Studie noch nicht abgeschlossen; das Protokoll wird zur Seite gelegt, da keine Ergebnisse vorliegen.</w:t>
      </w:r>
    </w:p>
    <w:p>
      <w:r>
        <w:rPr>
          <w:b/>
          <w:sz w:val="19"/>
        </w:rPr>
        <w:t xml:space="preserve">Übertragbarkeit: </w:t>
      </w:r>
      <w:r>
        <w:rPr>
          <w:sz w:val="19"/>
        </w:rPr>
        <w:t>Nicht anwendbar – Protokoll ohne Befunde.</w:t>
      </w:r>
    </w:p>
    <w:p>
      <w:r>
        <w:rPr>
          <w:color w:val="5A7D3A"/>
          <w:sz w:val="18"/>
        </w:rPr>
        <w:t>https://pubmed.ncbi.nlm.nih.gov/42518591/</w:t>
      </w:r>
    </w:p>
    <w:p>
      <w:pPr>
        <w:pStyle w:val="Heading2"/>
      </w:pPr>
      <w:r>
        <w:t>Lockdown-bedingte Immobilität beschleunigt Frailty: Sechs-Monats-Progression bei älteren Erwachsenen</w:t>
      </w:r>
    </w:p>
    <w:p>
      <w:r>
        <w:rPr>
          <w:i/>
          <w:color w:val="666666"/>
          <w:sz w:val="18"/>
        </w:rPr>
        <w:t>Rukavishnikov AS et al.  ·  Adv Gerontol  ·  2026  ·  PMID 42502942</w:t>
      </w:r>
    </w:p>
    <w:p>
      <w:r>
        <w:t>Quasiexperimentelle Studie mit 525 älteren Patienten (65–74 Jahre) in Pflege-Wohneinrichtungen während COVID-19-Lockdown; Geriatrisches Assessment mit Handgriffkraft und Sechs-Minuten-Gehtest zu Baseline, 1 und 6 Monaten.</w:t>
      </w:r>
    </w:p>
    <w:p>
      <w:r>
        <w:rPr>
          <w:b/>
        </w:rPr>
        <w:t xml:space="preserve">Ergebnis: </w:t>
      </w:r>
      <w:r>
        <w:t>Prävalenz der Präfrailty sank von 35,8% auf 14,1%, Frailty nahm von 49,5% auf 72% zu. Milde, moderate und schwere Frailty-Formen nahmen jeweils um 11,6%, 6,1% und 4,4% zu. Verlängerte Immobilität und soziale Isolation waren signifikante Beschleuniger der Frailty-Progression und Funktionsverschlechterung.</w:t>
      </w:r>
    </w:p>
    <w:p>
      <w:r>
        <w:rPr>
          <w:b/>
          <w:sz w:val="19"/>
        </w:rPr>
        <w:t xml:space="preserve">Übertragbarkeit: </w:t>
      </w:r>
      <w:r>
        <w:rPr>
          <w:sz w:val="19"/>
        </w:rPr>
        <w:t>Russland (Sankt-Petersburg); Befunde zur Dekonditionierung durch Immobilität universal, aber Pflegeheim-Setting unterscheidet sich von deutschem Versorgungskontext.</w:t>
      </w:r>
    </w:p>
    <w:p>
      <w:r>
        <w:rPr>
          <w:color w:val="5A7D3A"/>
          <w:sz w:val="18"/>
        </w:rPr>
        <w:t>https://pubmed.ncbi.nlm.nih.gov/42502942/</w:t>
      </w:r>
    </w:p>
    <w:p>
      <w:pPr>
        <w:pStyle w:val="Heading1"/>
      </w:pPr>
      <w:r>
        <w:t>Aufgenommen am 30.08.2026</w:t>
      </w:r>
    </w:p>
    <w:p>
      <w:pPr>
        <w:pStyle w:val="Heading2"/>
      </w:pPr>
      <w:r>
        <w:t>Frailty und Ernährung bei Herzinsuffizienz im Alter: prognostische Faktoren</w:t>
      </w:r>
    </w:p>
    <w:p>
      <w:r>
        <w:rPr>
          <w:i/>
          <w:color w:val="666666"/>
          <w:sz w:val="18"/>
        </w:rPr>
        <w:t>Li J et al.  ·  Front Public Health  ·  14.08.2026  ·  PMID 42666459</w:t>
      </w:r>
    </w:p>
    <w:p>
      <w:r>
        <w:t>Retrospektive Studie an 200 älteren Patienten mit Herzinsuffizienz untersuchte Frailty und Ernährungsstatus als Prognosefaktoren für 6-Monats-Ergebnisse.</w:t>
      </w:r>
    </w:p>
    <w:p>
      <w:r>
        <w:rPr>
          <w:b/>
        </w:rPr>
        <w:t xml:space="preserve">Ergebnis: </w:t>
      </w:r>
      <w:r>
        <w:t>Bei gebrechlichen Patienten (n=92) waren Mortalität (4,35 % vs. 0,93 %) und Rehospitalisierungsrate (14,13 % vs. 1,85 %) höher als bei nicht gebrechlichen (n=108). Unter gebrechlichen Patienten stieg die Ereignisrate mit Mangelernährung: moderat-schwer 26,19 %, mild 16,13 %, normal 5,26 %. GNRI und HDL waren unabhängig mit ungünstiger Prognose assoziiert.</w:t>
      </w:r>
    </w:p>
    <w:p>
      <w:r>
        <w:rPr>
          <w:b/>
          <w:sz w:val="19"/>
        </w:rPr>
        <w:t xml:space="preserve">Übertragbarkeit: </w:t>
      </w:r>
      <w:r>
        <w:rPr>
          <w:sz w:val="19"/>
        </w:rPr>
        <w:t>China, internationales Instrument (Fried-Kriterien), begrenzte Direktübertragung auf Deutschland</w:t>
      </w:r>
    </w:p>
    <w:p>
      <w:r>
        <w:rPr>
          <w:color w:val="5A7D3A"/>
          <w:sz w:val="18"/>
        </w:rPr>
        <w:t>https://pubmed.ncbi.nlm.nih.gov/42666459/</w:t>
      </w:r>
    </w:p>
    <w:p>
      <w:pPr>
        <w:pStyle w:val="Heading2"/>
      </w:pPr>
      <w:r>
        <w:t>Gastrointestinale Erkrankungen und funktioneller Verfall im Alter: CHARLS und ELSA</w:t>
      </w:r>
    </w:p>
    <w:p>
      <w:r>
        <w:rPr>
          <w:i/>
          <w:color w:val="666666"/>
          <w:sz w:val="18"/>
        </w:rPr>
        <w:t>Peng D et al.  ·  Geriatr Gerontol Int  ·  Sept. 2026  ·  PMID 42665870</w:t>
      </w:r>
    </w:p>
    <w:p>
      <w:r>
        <w:t>Longitudinale Analyse in zwei Kohorten (CHARLS China; ELSA England) untersuchte, ob wiederholte Meldungen gastrointestinaler Erkrankungen mit kognitiven, ADL- oder depressiven Verschlechterungen assoziiert sind.</w:t>
      </w:r>
    </w:p>
    <w:p>
      <w:r>
        <w:rPr>
          <w:b/>
        </w:rPr>
        <w:t xml:space="preserve">Ergebnis: </w:t>
      </w:r>
      <w:r>
        <w:t>CHARLS (n=9.555): wiederholte Meldung war mit 6–10 % erhöhtem Relativrisiko für Multidomain-Verschlechterung assoziiert (aRR 1,06–1,10). ELSA-Schätzungen waren richtungsgleich aber weniger präzise (aOR 1,21; 95%-KI 0,90–1,63). Gastrointestinale Exposition bot geringe diskriminative Aussagekraft.</w:t>
      </w:r>
    </w:p>
    <w:p>
      <w:r>
        <w:rPr>
          <w:b/>
          <w:sz w:val="19"/>
        </w:rPr>
        <w:t xml:space="preserve">Übertragbarkeit: </w:t>
      </w:r>
      <w:r>
        <w:rPr>
          <w:sz w:val="19"/>
        </w:rPr>
        <w:t>China und Großbritannien; Ergebnisse konsistent aber schwach, begrenzte Übertragbarkeit</w:t>
      </w:r>
    </w:p>
    <w:p>
      <w:r>
        <w:rPr>
          <w:color w:val="5A7D3A"/>
          <w:sz w:val="18"/>
        </w:rPr>
        <w:t>https://pubmed.ncbi.nlm.nih.gov/42665870/</w:t>
      </w:r>
    </w:p>
    <w:p>
      <w:pPr>
        <w:pStyle w:val="Heading2"/>
      </w:pPr>
      <w:r>
        <w:t>Schlafqualität und Sturzrisiko im Alter: prospektive Kohortenstudie</w:t>
      </w:r>
    </w:p>
    <w:p>
      <w:r>
        <w:rPr>
          <w:i/>
          <w:color w:val="666666"/>
          <w:sz w:val="18"/>
        </w:rPr>
        <w:t>Li Y et al.  ·  Brain Behav  ·  Aug. 2026  ·  PMID 42644837</w:t>
      </w:r>
    </w:p>
    <w:p>
      <w:r>
        <w:t>Prospektive Kohorte mit 3.224 Personen (≥50 Jahre) aus der English Longitudinal Study of Ageing; Schlafroutenuntersuchung über 4 Jahre mit Analyse der Assoziation zwischen Schlafqualität und neuaufgetretenen Stürzen.</w:t>
      </w:r>
    </w:p>
    <w:p>
      <w:r>
        <w:rPr>
          <w:b/>
        </w:rPr>
        <w:t xml:space="preserve">Ergebnis: </w:t>
      </w:r>
      <w:r>
        <w:t>Schlechtere Schlafqualität war mit höherem Sturzrisiko assoziiert (OR 1,04; 95%-KI 1,01–1,07). Depressive Symptome vermittelten 28,2 % dieser Assoziation. Dosisabhängige Beziehung zwischen Schlafqualität und Sturzrisiko.</w:t>
      </w:r>
    </w:p>
    <w:p>
      <w:r>
        <w:rPr>
          <w:b/>
          <w:sz w:val="19"/>
        </w:rPr>
        <w:t xml:space="preserve">Übertragbarkeit: </w:t>
      </w:r>
      <w:r>
        <w:rPr>
          <w:sz w:val="19"/>
        </w:rPr>
        <w:t>Großbritannien, vergleichbare Gesundheitsversorgung und Altersstruktur</w:t>
      </w:r>
    </w:p>
    <w:p>
      <w:r>
        <w:rPr>
          <w:color w:val="5A7D3A"/>
          <w:sz w:val="18"/>
        </w:rPr>
        <w:t>https://pubmed.ncbi.nlm.nih.gov/42644837/</w:t>
      </w:r>
    </w:p>
    <w:p>
      <w:pPr>
        <w:pStyle w:val="Heading2"/>
      </w:pPr>
      <w:r>
        <w:t>Lebensstil, Übergewicht und Lebenserwartung in der EU: Systemanalyse</w:t>
      </w:r>
    </w:p>
    <w:p>
      <w:r>
        <w:rPr>
          <w:i/>
          <w:color w:val="666666"/>
          <w:sz w:val="18"/>
        </w:rPr>
        <w:t>Vărzaru AA  ·  Nutrients  ·  11.07.2026  ·  PMID 42514344</w:t>
      </w:r>
    </w:p>
    <w:p>
      <w:r>
        <w:t>Querschnittsanalyse von 27 EU-Ländern mittels EHIS und Eurostat untersuchte Assoziationen zwischen Ernährung, körperlicher Aktivität, Rauchen, Übergewicht und Lebenserwartung sowie Healthy Life Years.</w:t>
      </w:r>
    </w:p>
    <w:p>
      <w:r>
        <w:rPr>
          <w:b/>
        </w:rPr>
        <w:t xml:space="preserve">Ergebnis: </w:t>
      </w:r>
      <w:r>
        <w:t>Gesunde Ernährung korrelierte mit Lebenserwartung (r=0,459; p=0,016), ebenso körperliche Aktivität (r=0,435; p=0,023). Übergewichtsprävalenz war invers mit Lebenserwartung assoziiert (r=−0,505; p=0,007). Das reduzierte Modell erklärte 47,4 % der Varianz in der Lebenserwartung. Clusteranalyse identifizierte drei Lebensstil-Gesundheits-Profile mit unterschiedlichen Outcomes.</w:t>
      </w:r>
    </w:p>
    <w:p>
      <w:r>
        <w:rPr>
          <w:b/>
          <w:sz w:val="19"/>
        </w:rPr>
        <w:t xml:space="preserve">Übertragbarkeit: </w:t>
      </w:r>
      <w:r>
        <w:rPr>
          <w:sz w:val="19"/>
        </w:rPr>
        <w:t>EU-weit, direkt auf deutsches Gesundheitssystem übertragbar</w:t>
      </w:r>
    </w:p>
    <w:p>
      <w:r>
        <w:rPr>
          <w:color w:val="5A7D3A"/>
          <w:sz w:val="18"/>
        </w:rPr>
        <w:t>https://pubmed.ncbi.nlm.nih.gov/42514344/</w:t>
      </w:r>
    </w:p>
    <w:p>
      <w:pPr>
        <w:pStyle w:val="Heading2"/>
      </w:pPr>
      <w:r>
        <w:t>Frailty im Hämodialyse: Visuelle Analogskala vereinfacht Screening</w:t>
      </w:r>
    </w:p>
    <w:p>
      <w:r>
        <w:rPr>
          <w:i/>
          <w:color w:val="666666"/>
          <w:sz w:val="18"/>
        </w:rPr>
        <w:t>Schulte-Kemna L et al.  ·  BMC Nephrol  ·  22.07.2026  ·  PMID 42493781</w:t>
      </w:r>
    </w:p>
    <w:p>
      <w:r>
        <w:t>Studie untersuchte die Genauigkeit einer Selbst-Rating-Skala (VAS) zur Frailty-Früherkennung bei 122 Hämodialysepatienten und identifizierte klinische Prädiktoren der Gebrechlichkeit anhand modifizierter Fried-Kriterien.</w:t>
      </w:r>
    </w:p>
    <w:p>
      <w:r>
        <w:rPr>
          <w:b/>
        </w:rPr>
        <w:t xml:space="preserve">Ergebnis: </w:t>
      </w:r>
      <w:r>
        <w:t>Die VAS hatte gute Spezifität (94,3%), übersah aber viele gebrechliche Patienten (Sensitivität 36,5%). Ein Modell mit Routineparametern zeigte gute Vorhersageleistung (AUC 0,816). Patienten mit Fried-Frailty hatten häufiger zentrale Venenkatheter, niedrigere Diurese, Kreatinin und Albumin sowie mehr Herz-Kreislauf-Erkrankungen.</w:t>
      </w:r>
    </w:p>
    <w:p>
      <w:r>
        <w:rPr>
          <w:b/>
          <w:sz w:val="19"/>
        </w:rPr>
        <w:t xml:space="preserve">Übertragbarkeit: </w:t>
      </w:r>
      <w:r>
        <w:rPr>
          <w:sz w:val="19"/>
        </w:rPr>
        <w:t>Deutsche Kliniken, vergleichbare Dialysedokumentation und Versorgungsstrukturen</w:t>
      </w:r>
    </w:p>
    <w:p>
      <w:r>
        <w:rPr>
          <w:color w:val="5A7D3A"/>
          <w:sz w:val="18"/>
        </w:rPr>
        <w:t>https://pubmed.ncbi.nlm.nih.gov/42493781/</w:t>
      </w:r>
    </w:p>
    <w:p>
      <w:pPr>
        <w:pStyle w:val="Heading2"/>
      </w:pPr>
      <w:r>
        <w:t>Diabetes-Epidemiologie in Dänemark: Trends von 1996 bis 2024</w:t>
      </w:r>
    </w:p>
    <w:p>
      <w:r>
        <w:rPr>
          <w:i/>
          <w:color w:val="666666"/>
          <w:sz w:val="18"/>
        </w:rPr>
        <w:t>Wibaek R et al.  ·  BMJ Open Diabetes Res Care  ·  10.07.2026  ·  PMID 42431705</w:t>
      </w:r>
    </w:p>
    <w:p>
      <w:r>
        <w:t>Nationale Register-Kohortenstudie (1996–2024) quantifizierte Trends in Prävalenz, Inzidenz, Mortalität und Lebensjahren verloren durch Diabetes in Dänemark.</w:t>
      </w:r>
    </w:p>
    <w:p>
      <w:r>
        <w:rPr>
          <w:b/>
        </w:rPr>
        <w:t xml:space="preserve">Ergebnis: </w:t>
      </w:r>
      <w:r>
        <w:t>Diabetes-Prävalenz verdreifachte sich auf 6,1 % (366.174 Personen); Typ 2 Diabetes stieg jährlich ~4,1 %. Typ 1 Inzidenz sank um 1,1 % pro Jahr. Mortalität sank bis 2012, dann Stabilisierung. Standardisierte Mortalitätsquoten sanken für Typ 1 (nach 2008), stiegen aber für Typ 2. Männer hatten höhere Typ 2 Inzidenz als Frauen.</w:t>
      </w:r>
    </w:p>
    <w:p>
      <w:r>
        <w:rPr>
          <w:b/>
          <w:sz w:val="19"/>
        </w:rPr>
        <w:t xml:space="preserve">Übertragbarkeit: </w:t>
      </w:r>
      <w:r>
        <w:rPr>
          <w:sz w:val="19"/>
        </w:rPr>
        <w:t>Skandinavien, vergleichbares Sozialversicherungssystem und Datenzugang</w:t>
      </w:r>
    </w:p>
    <w:p>
      <w:r>
        <w:rPr>
          <w:color w:val="5A7D3A"/>
          <w:sz w:val="18"/>
        </w:rPr>
        <w:t>https://pubmed.ncbi.nlm.nih.gov/42431705/</w:t>
      </w:r>
    </w:p>
    <w:p>
      <w:pPr>
        <w:pStyle w:val="Heading2"/>
      </w:pPr>
      <w:r>
        <w:t>Darmmikrobiota und Frailty bei älteren Frauen: schwedische Kohorte, bestätigt in China</w:t>
      </w:r>
    </w:p>
    <w:p>
      <w:r>
        <w:rPr>
          <w:i/>
          <w:color w:val="666666"/>
          <w:sz w:val="18"/>
        </w:rPr>
        <w:t>Vilar Geraldi M et al.  ·  Nat Commun  ·  08.07.2026  ·  PMID 42420265</w:t>
      </w:r>
    </w:p>
    <w:p>
      <w:r>
        <w:t>Studie analysierte Darmmetagenomik-Profile bei 2.081 schwedischen Frauen (75-80 Jahre) im Bezug auf einen entwickelten Frailty-Mortality-Index (FMI) und validierte Ergebnisse in einer chinesischen Kohorte.</w:t>
      </w:r>
    </w:p>
    <w:p>
      <w:r>
        <w:rPr>
          <w:b/>
        </w:rPr>
        <w:t xml:space="preserve">Ergebnis: </w:t>
      </w:r>
      <w:r>
        <w:t>FMI war invers assoziiert mit mikrobieller Diversität, Genreichtum und funktionaler Kapazität. 404 Bakterienarten waren signifikant mit FMI assoziiert; die meisten zeigten konsistente Assoziationen in der chinesischen Kohorte (n=1.448). Mikrobielle Signaturen waren mit Mortalität und funktioneller Einschränkung verknüpft.</w:t>
      </w:r>
    </w:p>
    <w:p>
      <w:r>
        <w:rPr>
          <w:b/>
          <w:sz w:val="19"/>
        </w:rPr>
        <w:t xml:space="preserve">Übertragbarkeit: </w:t>
      </w:r>
      <w:r>
        <w:rPr>
          <w:sz w:val="19"/>
        </w:rPr>
        <w:t>Skandinavien, ähnliche Sozialversicherung und Alterspopulation</w:t>
      </w:r>
    </w:p>
    <w:p>
      <w:r>
        <w:rPr>
          <w:color w:val="5A7D3A"/>
          <w:sz w:val="18"/>
        </w:rPr>
        <w:t>https://pubmed.ncbi.nlm.nih.gov/42420265/</w:t>
      </w:r>
    </w:p>
    <w:p>
      <w:pPr>
        <w:pStyle w:val="Heading1"/>
      </w:pPr>
      <w:r>
        <w:t>Aufgenommen am 29.08.2026</w:t>
      </w:r>
    </w:p>
    <w:p>
      <w:pPr>
        <w:pStyle w:val="Heading2"/>
      </w:pPr>
      <w:r>
        <w:t>Frailty verdoppelt Mortalität und Pflegebedarf bei hospitalisierten Älteren</w:t>
      </w:r>
    </w:p>
    <w:p>
      <w:r>
        <w:rPr>
          <w:i/>
          <w:color w:val="666666"/>
          <w:sz w:val="18"/>
        </w:rPr>
        <w:t>Kamo T et al.  ·  Geriatr Gerontol Int  ·  Sept. 2026  ·  PMID 42642794</w:t>
      </w:r>
    </w:p>
    <w:p>
      <w:r>
        <w:t>Systematische Übersicht und Metaanalyse von 57 Kohortenstudien zu Auswirkungen von Frailty auf Aktivitäten des täglichen Lebens und klinische Outcomes bei hospitalisierten älteren Erwachsenen (≥65 Jahre).</w:t>
      </w:r>
    </w:p>
    <w:p>
      <w:r>
        <w:rPr>
          <w:b/>
        </w:rPr>
        <w:t xml:space="preserve">Ergebnis: </w:t>
      </w:r>
      <w:r>
        <w:t>Frailty war assoziiert mit schlechterer ADL-Funktionsfähigkeit (SMD –1,04), höherer Mortalität (RR 2,26), niedrigerer Wahrscheinlichkeit von Entlassung nach Hause (RR 0,79) und höherem Wiederaufnahmerisiko in 30 Tagen (RR 1,47). Diese Effekte waren konsistent über Studien hinweg.</w:t>
      </w:r>
    </w:p>
    <w:p>
      <w:r>
        <w:rPr>
          <w:b/>
          <w:sz w:val="19"/>
        </w:rPr>
        <w:t xml:space="preserve">Übertragbarkeit: </w:t>
      </w:r>
      <w:r>
        <w:rPr>
          <w:sz w:val="19"/>
        </w:rPr>
        <w:t>Überwiegend anglo-amerikanische und europäische Studien; Frailty-Screening ist systemübergreifend anwendbar</w:t>
      </w:r>
    </w:p>
    <w:p>
      <w:r>
        <w:rPr>
          <w:color w:val="5A7D3A"/>
          <w:sz w:val="18"/>
        </w:rPr>
        <w:t>https://pubmed.ncbi.nlm.nih.gov/42642794/</w:t>
      </w:r>
    </w:p>
    <w:p>
      <w:pPr>
        <w:pStyle w:val="Heading2"/>
      </w:pPr>
      <w:r>
        <w:t>Plasma-Biomarker p-tau217 bei älteren Patienten: Nierenfunktion erklärt mehr Varianz als Gebrechlichkeit</w:t>
      </w:r>
    </w:p>
    <w:p>
      <w:r>
        <w:rPr>
          <w:i/>
          <w:color w:val="666666"/>
          <w:sz w:val="18"/>
        </w:rPr>
        <w:t>Goll J et al.  ·  Alzheimers Dement  ·  Aug. 2026  ·  PMID 42625502</w:t>
      </w:r>
    </w:p>
    <w:p>
      <w:r>
        <w:t>Querschnittsuntersuchung von 283 älteren Patienten (Norfrail- und Dementia-Cohort) zur Assoziation zwischen Gebrechlichkeit und Plasma-Biomarkern (p-tau217, Neurofilament-Leichte-Kette, GFAP) für Alzheimer-Pathologie.</w:t>
      </w:r>
    </w:p>
    <w:p>
      <w:r>
        <w:rPr>
          <w:b/>
        </w:rPr>
        <w:t xml:space="preserve">Ergebnis: </w:t>
      </w:r>
      <w:r>
        <w:t>Keine signifikante Assoziation zwischen p-tau217 und Gebrechlichkeit; die eGFR erklärte 27% der p-tau217-Varianz (p &lt; 0,001). Neurofilament-Leichte-Kette war einziger Biomarker signifikant mit Gebrechlichkeit assoziiert (p &lt; 0,01). Kliniker müssen Nierenfunktion bei Interpretation berücksichtigen.</w:t>
      </w:r>
    </w:p>
    <w:p>
      <w:r>
        <w:rPr>
          <w:b/>
          <w:sz w:val="19"/>
        </w:rPr>
        <w:t xml:space="preserve">Übertragbarkeit: </w:t>
      </w:r>
      <w:r>
        <w:rPr>
          <w:sz w:val="19"/>
        </w:rPr>
        <w:t>Norwegen, europäisches Gesundheitssystem; Befund zum Niereneinflusses auf Blutbiomarker ist systemunabhängig</w:t>
      </w:r>
    </w:p>
    <w:p>
      <w:r>
        <w:rPr>
          <w:color w:val="5A7D3A"/>
          <w:sz w:val="18"/>
        </w:rPr>
        <w:t>https://pubmed.ncbi.nlm.nih.gov/42625502/</w:t>
      </w:r>
    </w:p>
    <w:p>
      <w:pPr>
        <w:pStyle w:val="Heading2"/>
      </w:pPr>
      <w:r>
        <w:t>Frühe Zuckerrestriktion reduziert Krebsrisiko um 30–70% und verlangsamt biologisches Altern</w:t>
      </w:r>
    </w:p>
    <w:p>
      <w:r>
        <w:rPr>
          <w:i/>
          <w:color w:val="666666"/>
          <w:sz w:val="18"/>
        </w:rPr>
        <w:t>Zhu C et al.  ·  Proc Natl Acad Sci U S A  ·  11.08.2026  ·  PMID 42550905</w:t>
      </w:r>
    </w:p>
    <w:p>
      <w:r>
        <w:t>Kausalitätsanalyse mittels natürliches Experiment (Ende der UK-Zuckerrationierung 1953) mit 64.761 Biobank-Teilnehmern geboren 1951–1956, zur Langzeitwirkung früher Zuckerexposition auf Krebsinzidenz und biologisches Altern.</w:t>
      </w:r>
    </w:p>
    <w:p>
      <w:r>
        <w:rPr>
          <w:b/>
        </w:rPr>
        <w:t xml:space="preserve">Ergebnis: </w:t>
      </w:r>
      <w:r>
        <w:t>Geburtskohortenunter Rationierung zeigten dosisabhängig reduzierte Krebsraten: Leber (HR 0,31), Rektum (HR 0,60), Lunge (HR 0,59), Prostata (HR 0,48), Brust (HR 0,64). Mechanismen: Persistente gesündere Ernährungsgewohnheiten (verhaltoral) und längere Telomere (2,2 Jahre weniger biologisches Altern), niedrigeres Granzym B. Kausalitätsevidenzen für frühe Ernährungsprägung.</w:t>
      </w:r>
    </w:p>
    <w:p>
      <w:r>
        <w:rPr>
          <w:b/>
          <w:sz w:val="19"/>
        </w:rPr>
        <w:t xml:space="preserve">Übertragbarkeit: </w:t>
      </w:r>
      <w:r>
        <w:rPr>
          <w:sz w:val="19"/>
        </w:rPr>
        <w:t>Großbritannien, vergleichbare Geburtskohortenstruktur; Befund zu prägenden Effekten früher Ernährung fundamental, aber Realisierbarkeit in Deutschland unterschiedlich</w:t>
      </w:r>
    </w:p>
    <w:p>
      <w:r>
        <w:rPr>
          <w:color w:val="5A7D3A"/>
          <w:sz w:val="18"/>
        </w:rPr>
        <w:t>https://pubmed.ncbi.nlm.nih.gov/42550905/</w:t>
      </w:r>
    </w:p>
    <w:p>
      <w:pPr>
        <w:pStyle w:val="Heading2"/>
      </w:pPr>
      <w:r>
        <w:t>Immediate orthostatic hypotension zeigt keine Assoziation mit Stürzen und Synkopen im Alter</w:t>
      </w:r>
    </w:p>
    <w:p>
      <w:r>
        <w:rPr>
          <w:i/>
          <w:color w:val="666666"/>
          <w:sz w:val="18"/>
        </w:rPr>
        <w:t>Reddin C et al.  ·  Age Ageing  ·  02.07.2026  ·  PMID 42462204</w:t>
      </w:r>
    </w:p>
    <w:p>
      <w:r>
        <w:t>Querschnitts- und prospektive Kohortenstudie mit 4.596 älteren Erwachsenen über 8 Jahre, die die Assoziation von orthosensitiver Hypotonie (OH) und unmittelbarer OH mit Stürzen und Synkopen untersuchte.</w:t>
      </w:r>
    </w:p>
    <w:p>
      <w:r>
        <w:rPr>
          <w:b/>
        </w:rPr>
        <w:t xml:space="preserve">Ergebnis: </w:t>
      </w:r>
      <w:r>
        <w:t>Unmittelbare OH kam bei 20,7% vor und war nicht signifikant mit Stürzen/Synkopen assoziiert (OR 1,22, 95% KI 0,93–1,57); hingegen war persistente OH assoziiert (OR 1,31, 95% KI 1,04–1,66, p &lt; 0,05). Die Unterscheidung zwischen beiden Varianten ist klinisch relevant.</w:t>
      </w:r>
    </w:p>
    <w:p>
      <w:r>
        <w:rPr>
          <w:b/>
          <w:sz w:val="19"/>
        </w:rPr>
        <w:t xml:space="preserve">Übertragbarkeit: </w:t>
      </w:r>
      <w:r>
        <w:rPr>
          <w:sz w:val="19"/>
        </w:rPr>
        <w:t>Irland, vergleichbares europäisches Gesundheitssystem, bevölkerungsrepräsentative Stichprobe</w:t>
      </w:r>
    </w:p>
    <w:p>
      <w:r>
        <w:rPr>
          <w:color w:val="5A7D3A"/>
          <w:sz w:val="18"/>
        </w:rPr>
        <w:t>https://pubmed.ncbi.nlm.nih.gov/42462204/</w:t>
      </w:r>
    </w:p>
    <w:p>
      <w:pPr>
        <w:pStyle w:val="Heading2"/>
      </w:pPr>
      <w:r>
        <w:t>Gebrechlichkeit in etablierten Surveys messbar – ein Framework für nationale Monitoring in Europa</w:t>
      </w:r>
    </w:p>
    <w:p>
      <w:r>
        <w:rPr>
          <w:i/>
          <w:color w:val="666666"/>
          <w:sz w:val="18"/>
        </w:rPr>
        <w:t>Aicardi T et al.  ·  Eur J Public Health  ·  10.06.2026  ·  PMID 42452852</w:t>
      </w:r>
    </w:p>
    <w:p>
      <w:r>
        <w:t>Querschnittsstudie mit drei etablierten Frailty-Indikatoren (Tilburg, Groningen, Edmonton) in vier italienischen Bevölkerungssurveillance-Datensätzen (SHARE, EU-SILC, EHIS, AVQ).</w:t>
      </w:r>
    </w:p>
    <w:p>
      <w:r>
        <w:rPr>
          <w:b/>
        </w:rPr>
        <w:t xml:space="preserve">Ergebnis: </w:t>
      </w:r>
      <w:r>
        <w:t>Der Groningen Frailty Indicator war am replizierbaren über Surveys hinweg; die Edmonton Frail Scale zeigte stärkste Vorhersagekraft. EHIS-Daten waren optimal für Messungen geeignet. Gebrechlichkeit erklärte Gesundheitsoutcomes besser als Chronologisches Alter allein; klarer Nord-Süd-Gradient in Italien (p &lt; 0,001).</w:t>
      </w:r>
    </w:p>
    <w:p>
      <w:r>
        <w:rPr>
          <w:b/>
          <w:sz w:val="19"/>
        </w:rPr>
        <w:t xml:space="preserve">Übertragbarkeit: </w:t>
      </w:r>
      <w:r>
        <w:rPr>
          <w:sz w:val="19"/>
        </w:rPr>
        <w:t>Italien, EU-Mitgliedstaaten, vergleichbare Datensysteme mit Deutschland übertragbar</w:t>
      </w:r>
    </w:p>
    <w:p>
      <w:r>
        <w:rPr>
          <w:color w:val="5A7D3A"/>
          <w:sz w:val="18"/>
        </w:rPr>
        <w:t>https://pubmed.ncbi.nlm.nih.gov/42452852/</w:t>
      </w:r>
    </w:p>
    <w:p>
      <w:pPr>
        <w:pStyle w:val="Heading2"/>
      </w:pPr>
      <w:r>
        <w:t>Gesunde Lebensjahre regional stark abhängig von Einkommen und sozialen Faktoren</w:t>
      </w:r>
    </w:p>
    <w:p>
      <w:r>
        <w:rPr>
          <w:i/>
          <w:color w:val="666666"/>
          <w:sz w:val="18"/>
        </w:rPr>
        <w:t>Bachmann M et al.  ·  BMJ Open  ·  13.07.2026  ·  PMID 42442804</w:t>
      </w:r>
    </w:p>
    <w:p>
      <w:r>
        <w:t>Querschnittsanalyse zur Variabilität der gesunden Lebenserwartung (HLE) und Risikofaktoren in 128 kleinen geografischen Bereichen eines britischen integrierten Versorgungssystems.</w:t>
      </w:r>
    </w:p>
    <w:p>
      <w:r>
        <w:rPr>
          <w:b/>
        </w:rPr>
        <w:t xml:space="preserve">Ergebnis: </w:t>
      </w:r>
      <w:r>
        <w:t>HLE betrug durchschnittlich 66,5 Jahre (Männer, Spannweite 52–73) und 67,5 Jahre (Frauen, Spannweite 56–74). £100 höheres Wocheneinkommen war assoziiert mit 4,4 (95% KI 3,5–5,2) beziehungsweise 4,6 (95% KI 3,8–5,4) zusätzlichen HLE-Jahren. Alleinsein älterer Personen, körperliche Inaktivität und Deprivation zeigten starke Assoziationen mit niedrigerer HLE.</w:t>
      </w:r>
    </w:p>
    <w:p>
      <w:r>
        <w:rPr>
          <w:b/>
          <w:sz w:val="19"/>
        </w:rPr>
        <w:t xml:space="preserve">Übertragbarkeit: </w:t>
      </w:r>
      <w:r>
        <w:rPr>
          <w:sz w:val="19"/>
        </w:rPr>
        <w:t>Großbritannien, NHS-ähnliche Systeme; Ungleichheitsmessung direkt auf deutsche Regionen übertragbar</w:t>
      </w:r>
    </w:p>
    <w:p>
      <w:r>
        <w:rPr>
          <w:color w:val="5A7D3A"/>
          <w:sz w:val="18"/>
        </w:rPr>
        <w:t>https://pubmed.ncbi.nlm.nih.gov/42442804/</w:t>
      </w:r>
    </w:p>
    <w:p>
      <w:pPr>
        <w:pStyle w:val="Heading1"/>
      </w:pPr>
      <w:r>
        <w:t>Aufgenommen am 28.08.2026</w:t>
      </w:r>
    </w:p>
    <w:p>
      <w:pPr>
        <w:pStyle w:val="Heading2"/>
      </w:pPr>
      <w:r>
        <w:t>Territoriale Ungleichheiten von Gebrechlichkeit und Langlebigkeit in Italien</w:t>
      </w:r>
    </w:p>
    <w:p>
      <w:r>
        <w:rPr>
          <w:i/>
          <w:color w:val="666666"/>
          <w:sz w:val="18"/>
        </w:rPr>
        <w:t>Maccheroni C et al.  ·  Int J Environ Res Public Health  ·  23.07.2026  ·  PMID 42652263</w:t>
      </w:r>
    </w:p>
    <w:p>
      <w:r>
        <w:t>Analyse der geografischen Verteilung von Frailty, funktionalen Einschränkungen und Anspruch auf öffentliche Unterstützung in 21 italienischen Regionen auf Basis von Istat-, Eurostat- und INPS-Daten.</w:t>
      </w:r>
    </w:p>
    <w:p>
      <w:r>
        <w:rPr>
          <w:b/>
        </w:rPr>
        <w:t xml:space="preserve">Ergebnis: </w:t>
      </w:r>
      <w:r>
        <w:t>Italien zeigt hohe Lebenserwartung (Frauen 85,4, Männer 81,4 Jahre), aber gesunde Lebensjahre von nur 69,6 bzw. 68,5 Jahren. Der Süden und die Inseln weisen deutlich höhere Frailty-Prävalenz, mehr funktionale Einschränkungen und höhere Ansprüche auf öffentliche Hilfe auf als Zentrum-Nord. Frauen erleben längere Leben mit mehr Behinderung und Abhängigkeit.</w:t>
      </w:r>
    </w:p>
    <w:p>
      <w:r>
        <w:rPr>
          <w:b/>
          <w:sz w:val="19"/>
        </w:rPr>
        <w:t xml:space="preserve">Übertragbarkeit: </w:t>
      </w:r>
      <w:r>
        <w:rPr>
          <w:sz w:val="19"/>
        </w:rPr>
        <w:t>Italien, vollständige nationale Registeranalyse, europäisches Wohlfahrtssystem</w:t>
      </w:r>
    </w:p>
    <w:p>
      <w:r>
        <w:rPr>
          <w:color w:val="5A7D3A"/>
          <w:sz w:val="18"/>
        </w:rPr>
        <w:t>https://pubmed.ncbi.nlm.nih.gov/42652263/</w:t>
      </w:r>
    </w:p>
    <w:p>
      <w:pPr>
        <w:pStyle w:val="Heading2"/>
      </w:pPr>
      <w:r>
        <w:t>Kognitive Frailty bei älteren Herzinsuffizienzpatienten: systematische Übersicht</w:t>
      </w:r>
    </w:p>
    <w:p>
      <w:r>
        <w:rPr>
          <w:i/>
          <w:color w:val="666666"/>
          <w:sz w:val="18"/>
        </w:rPr>
        <w:t>Cheng M et al.  ·  Front Public Health  ·  11.08.2026  ·  PMID 42644078</w:t>
      </w:r>
    </w:p>
    <w:p>
      <w:r>
        <w:t>Systematische Übersicht und Metaanalyse von 22 Kohortenstudien (8.892 Patienten ≥65 Jahre mit Herzinsuffizienz) zur Prävalenz und Faktoren kognitiver Frailty.</w:t>
      </w:r>
    </w:p>
    <w:p>
      <w:r>
        <w:rPr>
          <w:b/>
        </w:rPr>
        <w:t xml:space="preserve">Ergebnis: </w:t>
      </w:r>
      <w:r>
        <w:t>Gepoolte Prävalenz kognitiver Frailty: 32 % (95%-KI 27–37 %). Bei Frauen 37 %, bei Männern 31 %. Nach NYHA-Klassifikation bei Klasse IV 44 %, Klasse II–III 28 %. Mit COPD-Komorbidität 46 %. Höheres Alter (bereinigt OR 1,12, 95%-KI 1,06–1,18) und Depression assoziiert mit höheren Odds; körperliche Aktivität und intellektuelle Aktivität mit niedrigeren Odds.</w:t>
      </w:r>
    </w:p>
    <w:p>
      <w:r>
        <w:rPr>
          <w:b/>
          <w:sz w:val="19"/>
        </w:rPr>
        <w:t xml:space="preserve">Übertragbarkeit: </w:t>
      </w:r>
      <w:r>
        <w:rPr>
          <w:sz w:val="19"/>
        </w:rPr>
        <w:t>Mehrländerstudie, überwiegend observativ, Versorgungsrelevanz für Herzinsuffizienz</w:t>
      </w:r>
    </w:p>
    <w:p>
      <w:r>
        <w:rPr>
          <w:color w:val="5A7D3A"/>
          <w:sz w:val="18"/>
        </w:rPr>
        <w:t>https://pubmed.ncbi.nlm.nih.gov/42644078/</w:t>
      </w:r>
    </w:p>
    <w:p>
      <w:pPr>
        <w:pStyle w:val="Heading2"/>
      </w:pPr>
      <w:r>
        <w:t>Erhöhte Arbeitsunfälle durch verzögerte Pensionierung im Alter</w:t>
      </w:r>
    </w:p>
    <w:p>
      <w:r>
        <w:rPr>
          <w:i/>
          <w:color w:val="666666"/>
          <w:sz w:val="18"/>
        </w:rPr>
        <w:t>Ardito C et al.  ·  Econ Hum Biol  ·  10.08.2026  ·  PMID 42617339</w:t>
      </w:r>
    </w:p>
    <w:p>
      <w:r>
        <w:t>Evaluation des Effekts der italienischen Rentenreform 2012 (Erhöhung der Anspruchsaltersgrenze) auf Arbeitsunfallrisiken bei älteren Erwerbstätigen mittels administrativer Daten aus der Privatwirtschaft.</w:t>
      </w:r>
    </w:p>
    <w:p>
      <w:r>
        <w:rPr>
          <w:b/>
        </w:rPr>
        <w:t xml:space="preserve">Ergebnis: </w:t>
      </w:r>
      <w:r>
        <w:t>Verzögerte Pensionierung führte zu statistisch signifikantem Anstieg krankheitsbedingter Abwesenheit durch Arbeitsunfälle um 2,6 % gegenüber dem Ausgangswert. Der Effekt konzentriert sich auf Kleinbetriebe (unter 15 Angestellten) und körperlich oder kognitiv fordernde Sektoren wie Fertigung. Kein Spillover-Effekt auf Arbeitskollegen.</w:t>
      </w:r>
    </w:p>
    <w:p>
      <w:r>
        <w:rPr>
          <w:b/>
          <w:sz w:val="19"/>
        </w:rPr>
        <w:t xml:space="preserve">Übertragbarkeit: </w:t>
      </w:r>
      <w:r>
        <w:rPr>
          <w:sz w:val="19"/>
        </w:rPr>
        <w:t>Italien, administrative Privatwirtschaftsdaten, vergleichbare Sozialversicherungssysteme</w:t>
      </w:r>
    </w:p>
    <w:p>
      <w:r>
        <w:rPr>
          <w:color w:val="5A7D3A"/>
          <w:sz w:val="18"/>
        </w:rPr>
        <w:t>https://pubmed.ncbi.nlm.nih.gov/42617339/</w:t>
      </w:r>
    </w:p>
    <w:p>
      <w:pPr>
        <w:pStyle w:val="Heading2"/>
      </w:pPr>
      <w:r>
        <w:t>Lebenserwartung und Gesundheitslebensjahre von Migranten in England und Wales</w:t>
      </w:r>
    </w:p>
    <w:p>
      <w:r>
        <w:rPr>
          <w:i/>
          <w:color w:val="666666"/>
          <w:sz w:val="18"/>
        </w:rPr>
        <w:t>Harrison J et al.  ·  PLoS One  ·  19.08.2026  ·  PMID 42616754</w:t>
      </w:r>
    </w:p>
    <w:p>
      <w:r>
        <w:t>Vergleich der Lebenserwartung und behinderungsfreien Lebensjahre bei 37 Ländern von Geburtsort in England und Wales über drei Zeitpunkte (2000–02, 2010–12, 2020–22) mittels Lebenstafeln und Sullivan-Methode.</w:t>
      </w:r>
    </w:p>
    <w:p>
      <w:r>
        <w:rPr>
          <w:b/>
        </w:rPr>
        <w:t xml:space="preserve">Ergebnis: </w:t>
      </w:r>
      <w:r>
        <w:t>Heterogene Muster: Die meisten Migrantengruppen zeigten höhere Lebenserwartung und behinderungsfreie Lebensjahre als in England und Wales geborene; einige der größten Migrantengruppen (Schottland, Irland, Polen, Litauen) zeigten niedrigere Lebenserwartung und höhere Behinderungslasten. Frauen aus Pakistan und Bangladesch lebten länger, aber mit mehr Behinderung.</w:t>
      </w:r>
    </w:p>
    <w:p>
      <w:r>
        <w:rPr>
          <w:b/>
          <w:sz w:val="19"/>
        </w:rPr>
        <w:t xml:space="preserve">Übertragbarkeit: </w:t>
      </w:r>
      <w:r>
        <w:rPr>
          <w:sz w:val="19"/>
        </w:rPr>
        <w:t>Großbritannien, nationale Zensus- und Mortalitätsdaten, vergleichbares Versicherungssystem</w:t>
      </w:r>
    </w:p>
    <w:p>
      <w:r>
        <w:rPr>
          <w:color w:val="5A7D3A"/>
          <w:sz w:val="18"/>
        </w:rPr>
        <w:t>https://pubmed.ncbi.nlm.nih.gov/42616754/</w:t>
      </w:r>
    </w:p>
    <w:p>
      <w:pPr>
        <w:pStyle w:val="Heading2"/>
      </w:pPr>
      <w:r>
        <w:t>Milde Bewegungstremor korreliert mit kognitiver Beeinträchtigung im Alter</w:t>
      </w:r>
    </w:p>
    <w:p>
      <w:r>
        <w:rPr>
          <w:i/>
          <w:color w:val="666666"/>
          <w:sz w:val="18"/>
        </w:rPr>
        <w:t>Kuhlenbäumer G et al.  ·  J Neurol  ·  11.08.2026  ·  PMID 42581283</w:t>
      </w:r>
    </w:p>
    <w:p>
      <w:r>
        <w:t>Querschnittsanalyse der KORA-Age-Studie (65–93 Jahre) zur Assoziation zwischen Tremorschweregrad (Archimedes-Spiral-Rating) und kognitiver Leistung (TICS-m) unter Verwendung multivariater Regression.</w:t>
      </w:r>
    </w:p>
    <w:p>
      <w:r>
        <w:rPr>
          <w:b/>
        </w:rPr>
        <w:t xml:space="preserve">Ergebnis: </w:t>
      </w:r>
      <w:r>
        <w:t>Tremorschweregrad war unabhängig mit kognitiver Leistung assoziiert. Im finalen Modell waren wichtigste Prädiktoren: Alter, Geschlecht, Parkinson-Score, Frailty und Tremor. Sensitivitätsanalysen unter Ausschluss wahrscheinlich pathologischer Tremoren attenuierten die Assoziation nicht. Altersbedingte Hirnveränderungen könnten gemeinsame Ursache sein.</w:t>
      </w:r>
    </w:p>
    <w:p>
      <w:r>
        <w:rPr>
          <w:b/>
          <w:sz w:val="19"/>
        </w:rPr>
        <w:t xml:space="preserve">Übertragbarkeit: </w:t>
      </w:r>
      <w:r>
        <w:rPr>
          <w:sz w:val="19"/>
        </w:rPr>
        <w:t>Deutschland, KORA-Bevölkerungskohort, nationale Datengrundlage</w:t>
      </w:r>
    </w:p>
    <w:p>
      <w:r>
        <w:rPr>
          <w:color w:val="5A7D3A"/>
          <w:sz w:val="18"/>
        </w:rPr>
        <w:t>https://pubmed.ncbi.nlm.nih.gov/42581283/</w:t>
      </w:r>
    </w:p>
    <w:p>
      <w:pPr>
        <w:pStyle w:val="Heading2"/>
      </w:pPr>
      <w:r>
        <w:t>Geriatrische Rehabilitation verbessert Funktionalität bei Mangelernährungsrisiko</w:t>
      </w:r>
    </w:p>
    <w:p>
      <w:r>
        <w:rPr>
          <w:i/>
          <w:color w:val="666666"/>
          <w:sz w:val="18"/>
        </w:rPr>
        <w:t>Runikhina NK et al.  ·  Adv Gerontol  ·  2026  ·  PMID 42502926</w:t>
      </w:r>
    </w:p>
    <w:p>
      <w:r>
        <w:t>Evaluierung von 21-Tage-Rehabilitationsprogrammen bei 482 älteren Patienten (60+ Jahre) mit (96, 19,9 %) und ohne Mangelernährungsrisiko durch umfassende geriatrische Bewertung vor und nach Intervention.</w:t>
      </w:r>
    </w:p>
    <w:p>
      <w:r>
        <w:rPr>
          <w:b/>
        </w:rPr>
        <w:t xml:space="preserve">Ergebnis: </w:t>
      </w:r>
      <w:r>
        <w:t>Beide Gruppen verbesserten sich signifikant in Funktionalität, kognitiver Leistung und Schmerz/Schlaf/Depression. Patienten mit Mangelernährungsrisiko waren älter (80,3 vs. 78,2 Jahre), hatten mehr Frailty (52,1 % vs. 30,9 %), mehr Stürze (36,8 % vs. 25,3 %) und Depression (40,6 % vs. 20,8 %). Diese Gruppe zeigte deutlich größere Verbesserungen in basaler und instrumenteller Funktionalität.</w:t>
      </w:r>
    </w:p>
    <w:p>
      <w:r>
        <w:rPr>
          <w:b/>
          <w:sz w:val="19"/>
        </w:rPr>
        <w:t xml:space="preserve">Übertragbarkeit: </w:t>
      </w:r>
      <w:r>
        <w:rPr>
          <w:sz w:val="19"/>
        </w:rPr>
        <w:t>Russland, Pirogov-Universitätsklinik, europäischer Gesundheitsauftrag vergleichbar</w:t>
      </w:r>
    </w:p>
    <w:p>
      <w:r>
        <w:rPr>
          <w:color w:val="5A7D3A"/>
          <w:sz w:val="18"/>
        </w:rPr>
        <w:t>https://pubmed.ncbi.nlm.nih.gov/42502926/</w:t>
      </w:r>
    </w:p>
    <w:p>
      <w:pPr>
        <w:pStyle w:val="Heading1"/>
      </w:pPr>
      <w:r>
        <w:t>Aufgenommen am 27.08.2026</w:t>
      </w:r>
    </w:p>
    <w:p>
      <w:pPr>
        <w:pStyle w:val="Heading2"/>
      </w:pPr>
      <w:r>
        <w:t>Verzögerte Sterblichkeit und Multimorbiditätsaufbau bei Nachkommen von Hundertjährigen</w:t>
      </w:r>
    </w:p>
    <w:p>
      <w:r>
        <w:rPr>
          <w:i/>
          <w:color w:val="666666"/>
          <w:sz w:val="18"/>
        </w:rPr>
        <w:t>Reed ER et al.  ·  JAMA Netw Open  ·  03.08.2026  ·  PMID 42646838</w:t>
      </w:r>
    </w:p>
    <w:p>
      <w:r>
        <w:t>Studie an drei unabhängigen Kohorten (LonGenity, NECS, UK Biobank) verglich Sterblichkeit und Erkrankungsbeginn bei Nachkommen von Hundertjährigen (≥100 Jahre) mit Kontrollpersonen.</w:t>
      </w:r>
    </w:p>
    <w:p>
      <w:r>
        <w:rPr>
          <w:b/>
        </w:rPr>
        <w:t xml:space="preserve">Ergebnis: </w:t>
      </w:r>
      <w:r>
        <w:t>Hundertjährige-Nachkommen zeigten reduzierte Mortalität (HR 0,58; 95%-KI 0,41–0,81), verzögerter Beginn von Herzerkrankungen (HR 0,67) und Hypertonie (HR 0,68; Verzögerung 5,21 Jahre). Der Effekt ist konsistent über drei Länder und zeigt, dass Longevität familial transmittiert wird.</w:t>
      </w:r>
    </w:p>
    <w:p>
      <w:r>
        <w:rPr>
          <w:b/>
          <w:sz w:val="19"/>
        </w:rPr>
        <w:t xml:space="preserve">Übertragbarkeit: </w:t>
      </w:r>
      <w:r>
        <w:rPr>
          <w:sz w:val="19"/>
        </w:rPr>
        <w:t>USA und Großbritannien; Generalisierbarkeit durch multiple Länder hoch</w:t>
      </w:r>
    </w:p>
    <w:p>
      <w:r>
        <w:rPr>
          <w:color w:val="5A7D3A"/>
          <w:sz w:val="18"/>
        </w:rPr>
        <w:t>https://pubmed.ncbi.nlm.nih.gov/42646838/</w:t>
      </w:r>
    </w:p>
    <w:p>
      <w:pPr>
        <w:pStyle w:val="Heading2"/>
      </w:pPr>
      <w:r>
        <w:t>Gebrechlichkeit und periphere Schwindel-Inzidenz: Dosis-Wirkungs-Befund in UK Biobank</w:t>
      </w:r>
    </w:p>
    <w:p>
      <w:r>
        <w:rPr>
          <w:i/>
          <w:color w:val="666666"/>
          <w:sz w:val="18"/>
        </w:rPr>
        <w:t>Zhai Z et al.  ·  Front Neurol  ·  11.08.2026  ·  PMID 42643260</w:t>
      </w:r>
    </w:p>
    <w:p>
      <w:r>
        <w:t>489266 UK-Biobank-Teilnehmer wurden auf Assoziationen zwischen Frailty-Status (Fried-Phänotyp) und Inzidenz von Schwindel (Vertigo) über 13,2 Jahre Nachverfolgung untersucht.</w:t>
      </w:r>
    </w:p>
    <w:p>
      <w:r>
        <w:rPr>
          <w:b/>
        </w:rPr>
        <w:t xml:space="preserve">Ergebnis: </w:t>
      </w:r>
      <w:r>
        <w:t>Präfrailty (HR 1,36; 95%-KI 1,26–1,48) und Frailty (HR 2,05; 95%-KI 1,77–2,37) waren unabhängig mit erhöhtem Schwindel-Risiko assoziiert. Linearer Dosis-Wirkungs-Trend: jeder Punkt Frailty-Score erhöhte Risiko um 24% (95%-KI 19–29%). Effekt stärker bei Frauen.</w:t>
      </w:r>
    </w:p>
    <w:p>
      <w:r>
        <w:rPr>
          <w:b/>
          <w:sz w:val="19"/>
        </w:rPr>
        <w:t xml:space="preserve">Übertragbarkeit: </w:t>
      </w:r>
      <w:r>
        <w:rPr>
          <w:sz w:val="19"/>
        </w:rPr>
        <w:t>UK Biobank, vergleichbare Dokumentation; relevanter Befund für Sturzrisiko-Assessment</w:t>
      </w:r>
    </w:p>
    <w:p>
      <w:r>
        <w:rPr>
          <w:color w:val="5A7D3A"/>
          <w:sz w:val="18"/>
        </w:rPr>
        <w:t>https://pubmed.ncbi.nlm.nih.gov/42643260/</w:t>
      </w:r>
    </w:p>
    <w:p>
      <w:pPr>
        <w:pStyle w:val="Heading2"/>
      </w:pPr>
      <w:r>
        <w:t>Mobiltelefonnutzung und körperliche Gebrechlichkeit: temporale Querschnittsanalyse ohne kausale Assoziation</w:t>
      </w:r>
    </w:p>
    <w:p>
      <w:r>
        <w:rPr>
          <w:i/>
          <w:color w:val="666666"/>
          <w:sz w:val="18"/>
        </w:rPr>
        <w:t>Kong S et al.  ·  Front Public Health  ·  10.08.2026  ·  PMID 42638665</w:t>
      </w:r>
    </w:p>
    <w:p>
      <w:r>
        <w:t>5533 Personen der UK Biobank (40–70 Jahre) wurden über drei Wellen auf zeitliche Beziehungen zwischen wöchentlicher Telefonanrufdauer und vier Dimensionen von Frailty untersucht.</w:t>
      </w:r>
    </w:p>
    <w:p>
      <w:r>
        <w:rPr>
          <w:b/>
        </w:rPr>
        <w:t xml:space="preserve">Ergebnis: </w:t>
      </w:r>
      <w:r>
        <w:t>Nach Korrektur für multiples Testen (FDR) zeigten sich nur zwei schwache, intermittierende Assoziationen: psychische Frailty T1→Telefonzeit T2 (β 0,086, p_FDR 0,048) und soziale Frailty T2→Telefonzeit T3 (β 0,078, p_FDR 0,033). Keine robusten bidirektionalen Effekte.</w:t>
      </w:r>
    </w:p>
    <w:p>
      <w:r>
        <w:rPr>
          <w:b/>
          <w:sz w:val="19"/>
        </w:rPr>
        <w:t xml:space="preserve">Übertragbarkeit: </w:t>
      </w:r>
      <w:r>
        <w:rPr>
          <w:sz w:val="19"/>
        </w:rPr>
        <w:t>UK Biobank, aber Ergebnis negativ (keine Effekt); Übertragbarkeit für Aussage 'kein Zusammenhang' gegeben</w:t>
      </w:r>
    </w:p>
    <w:p>
      <w:r>
        <w:rPr>
          <w:color w:val="5A7D3A"/>
          <w:sz w:val="18"/>
        </w:rPr>
        <w:t>https://pubmed.ncbi.nlm.nih.gov/42638665/</w:t>
      </w:r>
    </w:p>
    <w:p>
      <w:pPr>
        <w:pStyle w:val="Heading2"/>
      </w:pPr>
      <w:r>
        <w:t>Impfbotschaften im Fokus "gesundes Altern" erhöhen Impfintention bei älteren Erwachsenen</w:t>
      </w:r>
    </w:p>
    <w:p>
      <w:r>
        <w:rPr>
          <w:i/>
          <w:color w:val="666666"/>
          <w:sz w:val="18"/>
        </w:rPr>
        <w:t>Addario A et al.  ·  Vaccine  ·  17.09.2026  ·  PMID 42594637</w:t>
      </w:r>
    </w:p>
    <w:p>
      <w:r>
        <w:t>Querschnittsumfrage bei 2416 Personen ≥60 Jahren in Frankreich zu Effektivität von Impfbotschaften unter Einsatz von Social Marketing; drei Verhaltensadhärenz-Profile.</w:t>
      </w:r>
    </w:p>
    <w:p>
      <w:r>
        <w:rPr>
          <w:b/>
        </w:rPr>
        <w:t xml:space="preserve">Ergebnis: </w:t>
      </w:r>
      <w:r>
        <w:t>Zustimmung zu 'Impfung trägt zu gesundem Altern bei' stieg von 3% (niedrige Adhärenz) auf 56% (mittlere) und 78% (hohe). Botschaften zu Schlaganfall- und Herzinfarktreduktion zeigten höchste Impfabsicht (69% und 67% in hoher-Adhärenz-Gruppe). Vertrauenswürdige Gesundheitsfachleute waren Informationsquelle Nr. 1 (93–95%). Impfgutscheine: 57% (mittlere) bis 81% (hohe Adhärenz) würden sich impfen lassen.</w:t>
      </w:r>
    </w:p>
    <w:p>
      <w:r>
        <w:rPr>
          <w:b/>
          <w:sz w:val="19"/>
        </w:rPr>
        <w:t xml:space="preserve">Übertragbarkeit: </w:t>
      </w:r>
      <w:r>
        <w:rPr>
          <w:sz w:val="19"/>
        </w:rPr>
        <w:t>Frankreich, europäisches Gesundheitssystem; Transfer für Kommunikationsstrategie hoch</w:t>
      </w:r>
    </w:p>
    <w:p>
      <w:r>
        <w:rPr>
          <w:color w:val="5A7D3A"/>
          <w:sz w:val="18"/>
        </w:rPr>
        <w:t>https://pubmed.ncbi.nlm.nih.gov/42594637/</w:t>
      </w:r>
    </w:p>
    <w:p>
      <w:pPr>
        <w:pStyle w:val="Heading2"/>
      </w:pPr>
      <w:r>
        <w:t>Chair-Stand-Test als Mortalitätsprädiktor bei hochfunktionalen älteren Erwachsenen</w:t>
      </w:r>
    </w:p>
    <w:p>
      <w:r>
        <w:rPr>
          <w:i/>
          <w:color w:val="666666"/>
          <w:sz w:val="18"/>
        </w:rPr>
        <w:t>Máximo RO et al.  ·  Maturitas  ·  04.08.2026  ·  PMID 42570528</w:t>
      </w:r>
    </w:p>
    <w:p>
      <w:r>
        <w:t>2747 hochfunktionale ältere Erwachsene (Gehgeschwindigkeit &gt;0,8 oder &gt;1,0 m/s) der English Longitudinal Study of Ageing wurden 15 Jahre lang verfolgt; Mortalität nach Chair Stand Test und SPPB verglichen.</w:t>
      </w:r>
    </w:p>
    <w:p>
      <w:r>
        <w:rPr>
          <w:b/>
        </w:rPr>
        <w:t xml:space="preserve">Ergebnis: </w:t>
      </w:r>
      <w:r>
        <w:t>Mortalitätsraten: CST &gt;15 s: 41,4 pro 1000 Personenjahre vs. ≤15 s: 21,9. HR für CST &gt;15 s: 1,36 (95%-KI 1,13–1,62); für SPPB ≤10: HR 1,31 (95%-KI 1,12–1,54). Bei Gehgeschwindigkeit &gt;1,0 m/s: CST-HR 1,75 (95%-KI 1,30–2,36). CST ist einfacher anwendbar.</w:t>
      </w:r>
    </w:p>
    <w:p>
      <w:r>
        <w:rPr>
          <w:b/>
          <w:sz w:val="19"/>
        </w:rPr>
        <w:t xml:space="preserve">Übertragbarkeit: </w:t>
      </w:r>
      <w:r>
        <w:rPr>
          <w:sz w:val="19"/>
        </w:rPr>
        <w:t>England, vergleichbare Klinikpopulationen; schnelles, praktisches Test-Screening</w:t>
      </w:r>
    </w:p>
    <w:p>
      <w:r>
        <w:rPr>
          <w:color w:val="5A7D3A"/>
          <w:sz w:val="18"/>
        </w:rPr>
        <w:t>https://pubmed.ncbi.nlm.nih.gov/42570528/</w:t>
      </w:r>
    </w:p>
    <w:p>
      <w:pPr>
        <w:pStyle w:val="Heading2"/>
      </w:pPr>
      <w:r>
        <w:t>Renteneintritt und psychische Gesundheit: Kurzfristig besser, langfristig Erholung begrenzt</w:t>
      </w:r>
    </w:p>
    <w:p>
      <w:r>
        <w:rPr>
          <w:i/>
          <w:color w:val="666666"/>
          <w:sz w:val="18"/>
        </w:rPr>
        <w:t>Maddock J et al.  ·  Epidemiol Psychiatr Sci  ·  05.08.2026  ·  PMID 42552948</w:t>
      </w:r>
    </w:p>
    <w:p>
      <w:r>
        <w:t>Multilevel und instrumentale Variable Analyse bei 10698 Personen (48815 Beobachtungen) aus Survey of Health, Ageing and Retirement in Europe über 20 Jahre (10 Länder); Renteneintritt und Depressivität (EURO-D-Skala).</w:t>
      </w:r>
    </w:p>
    <w:p>
      <w:r>
        <w:rPr>
          <w:b/>
        </w:rPr>
        <w:t xml:space="preserve">Ergebnis: </w:t>
      </w:r>
      <w:r>
        <w:t>Spline-Modelle: minimal Veränderung vor Rente. Bei Renteneintritt leichte EURO-D-Reduktion (–0,07 Punkte/Jahr; 95%-KI –0,13 bis –0,0003), dann ab 2 Jahre post-Rente Anstieg (0,09/Jahr; 95%-KI 0,02–0,16). IV-Analyse: Rente assoziiert mit weniger Depressionssymptomen (–0,26; 95%-KI –0,45 bis –0,07). Alleinstehende berichteten höhere Depressivität, aber Wohnstatus moderierte Effekt nicht.</w:t>
      </w:r>
    </w:p>
    <w:p>
      <w:r>
        <w:rPr>
          <w:b/>
          <w:sz w:val="19"/>
        </w:rPr>
        <w:t xml:space="preserve">Übertragbarkeit: </w:t>
      </w:r>
      <w:r>
        <w:rPr>
          <w:sz w:val="19"/>
        </w:rPr>
        <w:t>10 europäische Länder, vergleichbare Rentensysteme; Evidenz für deutsche Sozialversicherung relevant</w:t>
      </w:r>
    </w:p>
    <w:p>
      <w:r>
        <w:rPr>
          <w:color w:val="5A7D3A"/>
          <w:sz w:val="18"/>
        </w:rPr>
        <w:t>https://pubmed.ncbi.nlm.nih.gov/42552948/</w:t>
      </w:r>
    </w:p>
    <w:p>
      <w:pPr>
        <w:pStyle w:val="Heading2"/>
      </w:pPr>
      <w:r>
        <w:t>Sexuelle Gesundheit älterer Menschen in Hausarztpraxen: Barrieren und Handlungsempfehlungen</w:t>
      </w:r>
    </w:p>
    <w:p>
      <w:r>
        <w:rPr>
          <w:i/>
          <w:color w:val="666666"/>
          <w:sz w:val="18"/>
        </w:rPr>
        <w:t>Kocurkova A et al.  ·  Age Ageing  ·  02.07.2026  ·  PMID 42506889</w:t>
      </w:r>
    </w:p>
    <w:p>
      <w:r>
        <w:t>Qualitative Studie (16 halbstrukturierte Interviews) mit NHS-Hausarztfachkräften in England zur Erfahrung bei Gesprächen über Sexualität mit älteren Patienten.</w:t>
      </w:r>
    </w:p>
    <w:p>
      <w:r>
        <w:rPr>
          <w:b/>
        </w:rPr>
        <w:t xml:space="preserve">Ergebnis: </w:t>
      </w:r>
      <w:r>
        <w:t>Drei Hauptthemen identifiziert: (1) Unbewusste Annahmen, Fachleute-Unbehagen und Zeitmangel begrenzen Diskussionen; (2) körperliche Symptome sind 'natürliche Öffner', Gespräche bleiben aber medizinisch-fokussiert; (3) minimale Nutzung von Leitlinien, stattdessen Intuition/Erfahrung. Fachkräfte fordern klare, prägnante, psychologisch informierte Werkzeuge und Training. Sexuelle Gesundheit wird nicht als Qualitätsaspekt im Alter normalisiert.</w:t>
      </w:r>
    </w:p>
    <w:p>
      <w:r>
        <w:rPr>
          <w:b/>
          <w:sz w:val="19"/>
        </w:rPr>
        <w:t xml:space="preserve">Übertragbarkeit: </w:t>
      </w:r>
      <w:r>
        <w:rPr>
          <w:sz w:val="19"/>
        </w:rPr>
        <w:t>England, NHS-Setting; Befunde zu Versorgungspraxen direkt übertragbar</w:t>
      </w:r>
    </w:p>
    <w:p>
      <w:r>
        <w:rPr>
          <w:color w:val="5A7D3A"/>
          <w:sz w:val="18"/>
        </w:rPr>
        <w:t>https://pubmed.ncbi.nlm.nih.gov/42506889/</w:t>
      </w:r>
    </w:p>
    <w:p>
      <w:pPr>
        <w:pStyle w:val="Heading1"/>
      </w:pPr>
      <w:r>
        <w:t>Aufgenommen am 26.08.2026</w:t>
      </w:r>
    </w:p>
    <w:p>
      <w:pPr>
        <w:pStyle w:val="Heading2"/>
      </w:pPr>
      <w:r>
        <w:t>Geriatrisches Assessment senkt Aufenthaltsdauer bei älteren Krankenhauspatienten</w:t>
      </w:r>
    </w:p>
    <w:p>
      <w:r>
        <w:rPr>
          <w:i/>
          <w:color w:val="666666"/>
          <w:sz w:val="18"/>
        </w:rPr>
        <w:t>Ahmed R et al.  ·  Ir Med J  ·  20.08.2026  ·  PMID 42640196</w:t>
      </w:r>
    </w:p>
    <w:p>
      <w:r>
        <w:t>Evaluierung eines neu eingeführten spezialistischen Geriatrie-Service mit Comprehensive Geriatric Assessment (CGA) in einem irischen Privatspital bei Patienten ab 75 Jahren.</w:t>
      </w:r>
    </w:p>
    <w:p>
      <w:r>
        <w:rPr>
          <w:b/>
        </w:rPr>
        <w:t xml:space="preserve">Ergebnis: </w:t>
      </w:r>
      <w:r>
        <w:t>84% der Patienten (42/50) wurden innerhalb von 48 Stunden geriatrisch untersucht (Median 29 Stunden). Multidisziplinäres Team-Engagement stieg von 45% auf 70%, Aufenthaltsdauer sank um 22% (von 8,7 auf 6,8 Tage), 66% wurden direkt nach Hause entlassen, 30-Tage-Wiederaufnahmen 10%.</w:t>
      </w:r>
    </w:p>
    <w:p>
      <w:r>
        <w:rPr>
          <w:b/>
          <w:sz w:val="19"/>
        </w:rPr>
        <w:t xml:space="preserve">Übertragbarkeit: </w:t>
      </w:r>
      <w:r>
        <w:rPr>
          <w:sz w:val="19"/>
        </w:rPr>
        <w:t>Irland, vergleichbare europäische Privatklinik-Strukturen, HSE-Qualitätsstandards</w:t>
      </w:r>
    </w:p>
    <w:p>
      <w:r>
        <w:rPr>
          <w:color w:val="5A7D3A"/>
          <w:sz w:val="18"/>
        </w:rPr>
        <w:t>https://pubmed.ncbi.nlm.nih.gov/42640196/</w:t>
      </w:r>
    </w:p>
    <w:p>
      <w:pPr>
        <w:pStyle w:val="Heading1"/>
      </w:pPr>
      <w:r>
        <w:t>Aufgenommen am 25.08.2026</w:t>
      </w:r>
    </w:p>
    <w:p>
      <w:pPr>
        <w:pStyle w:val="Heading2"/>
      </w:pPr>
      <w:r>
        <w:t>Langzeitverläufe der intrinsischen Kapazität vorhersagen Pflegeheimaufnahme und Mortalität</w:t>
      </w:r>
    </w:p>
    <w:p>
      <w:r>
        <w:rPr>
          <w:i/>
          <w:color w:val="666666"/>
          <w:sz w:val="18"/>
        </w:rPr>
        <w:t>Egbujie BA et al.  ·  Age Ageing  ·  03.08.2026  ·  PMID 42632919</w:t>
      </w:r>
    </w:p>
    <w:p>
      <w:r>
        <w:t>Kanadische Populationsstudie zu Längsmustern der intrinsischen Kapazität (Mobilität, Vitalität, Kognition, Psychisches, Sensorik) bei 302.467 Patienten häuslicher Pflege und Vorhersage von Outcomes.</w:t>
      </w:r>
    </w:p>
    <w:p>
      <w:r>
        <w:rPr>
          <w:b/>
        </w:rPr>
        <w:t xml:space="preserve">Ergebnis: </w:t>
      </w:r>
      <w:r>
        <w:t>Fünf distinkte Trajektorienmuster identifiziert; kognitive Beeinträchtigung war mit ungünstigen Trajectories assoziiert. Wichtig: Baseline-Kapazität allein war prognostisch unzureichend. Personen mit mäßiger Baseline-Kapazität zeigten höhere LTC-Einweisung als Personen mit niedriger Kapazität, die sich verbesserten (48,4 % vs. 38,1 %).</w:t>
      </w:r>
    </w:p>
    <w:p>
      <w:r>
        <w:rPr>
          <w:b/>
          <w:sz w:val="19"/>
        </w:rPr>
        <w:t xml:space="preserve">Übertragbarkeit: </w:t>
      </w:r>
      <w:r>
        <w:rPr>
          <w:sz w:val="19"/>
        </w:rPr>
        <w:t>Kanada, interRAI Home Care Routinedaten, Ansatz auf deutsches Assessment übertragbar.</w:t>
      </w:r>
    </w:p>
    <w:p>
      <w:r>
        <w:rPr>
          <w:color w:val="5A7D3A"/>
          <w:sz w:val="18"/>
        </w:rPr>
        <w:t>https://pubmed.ncbi.nlm.nih.gov/42632919/</w:t>
      </w:r>
    </w:p>
    <w:p>
      <w:pPr>
        <w:pStyle w:val="Heading2"/>
      </w:pPr>
      <w:r>
        <w:t>Gemeinsamer Gedächtnis- und Kognitionsverfall erhöht Risiko für Funktionsabhängigkeit im Alter</w:t>
      </w:r>
    </w:p>
    <w:p>
      <w:r>
        <w:rPr>
          <w:i/>
          <w:color w:val="666666"/>
          <w:sz w:val="18"/>
        </w:rPr>
        <w:t>Yin X et al.  ·  Alzheimers Dement  ·  Aug. 2026  ·  PMID 42630086</w:t>
      </w:r>
    </w:p>
    <w:p>
      <w:r>
        <w:t>Harmonisierte Längsschnittanalyse von vier Kohorten (China, USA, England, Europa) zur Vorhersage funktioneller Abhängigkeit durch gleichzeitige Veränderungen subjektiver und objektiver kognitiver Parameter.</w:t>
      </w:r>
    </w:p>
    <w:p>
      <w:r>
        <w:rPr>
          <w:b/>
        </w:rPr>
        <w:t xml:space="preserve">Ergebnis: </w:t>
      </w:r>
      <w:r>
        <w:t>Unter 62.329 Teilnehmern mit vollständiger Analyse war gleichzeitiger kognitiver Verfall am stärksten mit funktioneller Abhängigkeit assoziiert (Hazard Ratio 1,47; 95%-KI 1,38–1,57), stärker als einzelne Defizite (subjektiv-nur HR 1,22; objektiv-nur HR 1,12). In Konkurrenzrisiko-Analysen blieb der Zusammenhang robust (gepoolte HR 1,39; 95%-KI 1,27–1,51).</w:t>
      </w:r>
    </w:p>
    <w:p>
      <w:r>
        <w:rPr>
          <w:b/>
          <w:sz w:val="19"/>
        </w:rPr>
        <w:t xml:space="preserve">Übertragbarkeit: </w:t>
      </w:r>
      <w:r>
        <w:rPr>
          <w:sz w:val="19"/>
        </w:rPr>
        <w:t>Vier Kontinente, bevölkerungsrepräsentative Kohorten mit konsistenten Mustern.</w:t>
      </w:r>
    </w:p>
    <w:p>
      <w:r>
        <w:rPr>
          <w:color w:val="5A7D3A"/>
          <w:sz w:val="18"/>
        </w:rPr>
        <w:t>https://pubmed.ncbi.nlm.nih.gov/42630086/</w:t>
      </w:r>
    </w:p>
    <w:p>
      <w:pPr>
        <w:pStyle w:val="Heading1"/>
      </w:pPr>
      <w:r>
        <w:t>Aufgenommen am 24.08.2026</w:t>
      </w:r>
    </w:p>
    <w:p>
      <w:pPr>
        <w:pStyle w:val="Heading2"/>
      </w:pPr>
      <w:r>
        <w:t>Frailty-bedingte Nachfrage nach Gemeindeversorgung in England 2025–2040: Simulationen zeigen Potenzial von Frailty-Prävention, aber anhaltende Steigerung der Leistungsnutzung</w:t>
      </w:r>
    </w:p>
    <w:p>
      <w:r>
        <w:rPr>
          <w:i/>
          <w:color w:val="666666"/>
          <w:sz w:val="18"/>
        </w:rPr>
        <w:t>Walsh B et al.  ·  Age Ageing  ·  03.08.2026  ·  PMID 42632917</w:t>
      </w:r>
    </w:p>
    <w:p>
      <w:r>
        <w:t>Simulationsmodellierung auf englischen Routinedaten projiziert die Nachfrage nach psychosozialer Unterstützung, Gemeindegesundheit und Sozialhilfe für Menschen ≥50 Jahren mit Frailty bis 2040.</w:t>
      </w:r>
    </w:p>
    <w:p>
      <w:r>
        <w:rPr>
          <w:b/>
        </w:rPr>
        <w:t xml:space="preserve">Ergebnis: </w:t>
      </w:r>
      <w:r>
        <w:t>Mentale Gesundheit, Gemeindegesundheit und kommunale Sozialhilfe werden bis 2040 um 16 %, 30 % bzw. 30 % zunehmen. Senkung der Frailty-Inzidenz könnte zwischen 2025 und 2040 mentale Gesundheitskontakte um 1,4 Mio., Gemeindegesundheitskontakte um 10 Mio. und Sozialhilfefallanfragen um 400.000 reduzieren. Nachfrage wird trotz Prävention weiter wachsen, da bereits viele Menschen mit milder bis moderater Frailty leben.</w:t>
      </w:r>
    </w:p>
    <w:p>
      <w:r>
        <w:rPr>
          <w:b/>
          <w:sz w:val="19"/>
        </w:rPr>
        <w:t xml:space="preserve">Übertragbarkeit: </w:t>
      </w:r>
      <w:r>
        <w:rPr>
          <w:sz w:val="19"/>
        </w:rPr>
        <w:t>Englische NHS-Daten, die Ergebnisse sind für deutsches Gesundheitswesen gut übertragbar bezüglich Versorgungsplanung älter werdender Bevölkerung.</w:t>
      </w:r>
    </w:p>
    <w:p>
      <w:r>
        <w:rPr>
          <w:color w:val="5A7D3A"/>
          <w:sz w:val="18"/>
        </w:rPr>
        <w:t>https://pubmed.ncbi.nlm.nih.gov/42632917/</w:t>
      </w:r>
    </w:p>
    <w:p>
      <w:pPr>
        <w:pStyle w:val="Heading2"/>
      </w:pPr>
      <w:r>
        <w:t>Temporäre Mitarbeitende in der schwedischen Altenhilfe erschweren Kontinuität und belasten Stammpersonal: qualitative Managerstudie</w:t>
      </w:r>
    </w:p>
    <w:p>
      <w:r>
        <w:rPr>
          <w:i/>
          <w:color w:val="666666"/>
          <w:sz w:val="18"/>
        </w:rPr>
        <w:t>Lindmark T et al.  ·  BMC Health Serv Res  ·  29.07.2026  ·  PMID 42527915</w:t>
      </w:r>
    </w:p>
    <w:p>
      <w:r>
        <w:t>16 qualitative Interviews mit Managern auf vier Ebenen der schwedischen Altenhilfe (Heime, Ambulante Dienste, Administration) zu Chancen und Herausforderungen temporärer Beschäftigung.</w:t>
      </w:r>
    </w:p>
    <w:p>
      <w:r>
        <w:rPr>
          <w:b/>
        </w:rPr>
        <w:t xml:space="preserve">Ergebnis: </w:t>
      </w:r>
      <w:r>
        <w:t>Drei Themen: Balance zwischen Personaldeckung und Improvisation, Mangel an lokaler Kontrollierbarkeit der Rekrutierung, Spannung zwischen Flexibilität und Stabilität. Temporäre Mitarbeitende decken Lücken, erhöhen aber die Last auf Stammpersonal und erschweren Kontinuität. Erste-Linie-Manager fokussieren auf Tagesdeckung und Mitarbeiterschutz, höhere Manager auf Langzeitplanung. Zentrale Personalentscheidungen bevorzugen kurzfristige Deckung über Stabilität.</w:t>
      </w:r>
    </w:p>
    <w:p>
      <w:r>
        <w:rPr>
          <w:b/>
          <w:sz w:val="19"/>
        </w:rPr>
        <w:t xml:space="preserve">Übertragbarkeit: </w:t>
      </w:r>
      <w:r>
        <w:rPr>
          <w:sz w:val="19"/>
        </w:rPr>
        <w:t>Schweden, nordisches Sozialsystem mit öffentlicher Altenhilfe – Befunde zu Personalmanagement übertragbar auf Deutschland.</w:t>
      </w:r>
    </w:p>
    <w:p>
      <w:r>
        <w:rPr>
          <w:color w:val="5A7D3A"/>
          <w:sz w:val="18"/>
        </w:rPr>
        <w:t>https://pubmed.ncbi.nlm.nih.gov/42527915/</w:t>
      </w:r>
    </w:p>
    <w:p>
      <w:pPr>
        <w:pStyle w:val="Heading1"/>
      </w:pPr>
      <w:r>
        <w:t>Aufgenommen am 23.08.2026</w:t>
      </w:r>
    </w:p>
    <w:p>
      <w:pPr>
        <w:pStyle w:val="Heading2"/>
      </w:pPr>
      <w:r>
        <w:t>Psychosoziale und wirtschaftliche Faktoren gesunden Alterns in Europa: systematische Übersicht mit Syntheserahmen</w:t>
      </w:r>
    </w:p>
    <w:p>
      <w:r>
        <w:rPr>
          <w:i/>
          <w:color w:val="666666"/>
          <w:sz w:val="18"/>
        </w:rPr>
        <w:t>Wypych-Ślusarska A et al.  ·  Front Public Health  ·  06.08.2026  ·  PMID 42625570</w:t>
      </w:r>
    </w:p>
    <w:p>
      <w:r>
        <w:t>Systematische Übersicht europäischer Studien (2019-2024) zur Evidenz für psychosoziale und sozioökonomische Determinanten gesunden Alterns bei Älteren ≥65 Jahren in Europa.</w:t>
      </w:r>
    </w:p>
    <w:p>
      <w:r>
        <w:rPr>
          <w:b/>
        </w:rPr>
        <w:t xml:space="preserve">Ergebnis: </w:t>
      </w:r>
      <w:r>
        <w:t>Konsistente Evidenz für Schutzfunktion von sozialen Netzen, sozialer Integration und verminderter Einsamkeit für Gesundheit, Wohlbefinden und kognitive Funktionsfähigkeit. Autonomie und Unabhängigkeit traten als zentrale Elemente positiven Alterns hervor, ebenso Engagement in sozialen, physischen und beruflichen Aktivitäten. Literatur unterstreicht Bedarf für Public-Health-Politiken und Gemeindeumgebungen, die positives Altern durch integrierte physische, psychosoziale und soziale Strategien unterstützen. Die beiden übergeordneten Themenbereiche: psychosoziale und wirtschaftliche Determinanten, und soziale Programme/gemeindegestützte Interventionen.</w:t>
      </w:r>
    </w:p>
    <w:p>
      <w:r>
        <w:rPr>
          <w:b/>
          <w:sz w:val="19"/>
        </w:rPr>
        <w:t xml:space="preserve">Übertragbarkeit: </w:t>
      </w:r>
      <w:r>
        <w:rPr>
          <w:sz w:val="19"/>
        </w:rPr>
        <w:t>Europäische Studienbasis einschließlich Deutschland, vergleichbare Sozialversicherungssysteme</w:t>
      </w:r>
    </w:p>
    <w:p>
      <w:r>
        <w:rPr>
          <w:color w:val="5A7D3A"/>
          <w:sz w:val="18"/>
        </w:rPr>
        <w:t>https://pubmed.ncbi.nlm.nih.gov/42625570/</w:t>
      </w:r>
    </w:p>
    <w:p>
      <w:pPr>
        <w:pStyle w:val="Heading1"/>
      </w:pPr>
      <w:r>
        <w:t>Aufgenommen am 22.08.2026</w:t>
      </w:r>
    </w:p>
    <w:p>
      <w:pPr>
        <w:pStyle w:val="Heading2"/>
      </w:pPr>
      <w:r>
        <w:t>Körperliches Training reduziert kognitive Gebrechlichkeit zu 35 % über Stärkung der Selbstwirksamkeit</w:t>
      </w:r>
    </w:p>
    <w:p>
      <w:r>
        <w:rPr>
          <w:i/>
          <w:color w:val="666666"/>
          <w:sz w:val="18"/>
        </w:rPr>
        <w:t>Liang D et al.  ·  Front Public Health  ·  06.08.2026  ·  PMID 42625706</w:t>
      </w:r>
    </w:p>
    <w:p>
      <w:r>
        <w:t>Querschnittbefragung von 563 Gemeindemitbewohnern (≥60 J.) in Henan, China zu Zusammenhang zwischen körperlichem Training, Selbstwirksamkeit und kognitiver Gebrechlichkeit (Frailty + Kognition).</w:t>
      </w:r>
    </w:p>
    <w:p>
      <w:r>
        <w:rPr>
          <w:b/>
        </w:rPr>
        <w:t xml:space="preserve">Ergebnis: </w:t>
      </w:r>
      <w:r>
        <w:t>Prävalenz kognitive Gebrechlichkeit 21,3 %. Körperliches Training assoziiert mit weniger kognitiver Gebrechlichkeit; Selbstwirksamkeit mediiert 35,17 % dieses Effekts. Vollständiges Mediationsmodell unterstützt indirekten Weg über Selbstvertrauen.</w:t>
      </w:r>
    </w:p>
    <w:p>
      <w:r>
        <w:rPr>
          <w:b/>
          <w:sz w:val="19"/>
        </w:rPr>
        <w:t xml:space="preserve">Übertragbarkeit: </w:t>
      </w:r>
      <w:r>
        <w:rPr>
          <w:sz w:val="19"/>
        </w:rPr>
        <w:t>China-Studie mit großer Stichprobe, aber kulturelle und Gesundheitssystem-Unterschiede beachten – Mechanismus (Selbstwirksamkeit) transnational relevant.</w:t>
      </w:r>
    </w:p>
    <w:p>
      <w:r>
        <w:rPr>
          <w:color w:val="5A7D3A"/>
          <w:sz w:val="18"/>
        </w:rPr>
        <w:t>https://pubmed.ncbi.nlm.nih.gov/42625706/</w:t>
      </w:r>
    </w:p>
    <w:p>
      <w:pPr>
        <w:pStyle w:val="Heading2"/>
      </w:pPr>
      <w:r>
        <w:t>Loneliness and social isolation verringern die verbleibenden gesunden Lebensjahre deutlicher als physische Erkrankungen</w:t>
      </w:r>
    </w:p>
    <w:p>
      <w:r>
        <w:rPr>
          <w:i/>
          <w:color w:val="666666"/>
          <w:sz w:val="18"/>
        </w:rPr>
        <w:t>Wang X et al.  ·  Nat Commun  ·  20.08.2026  ·  PMID 42624836</w:t>
      </w:r>
    </w:p>
    <w:p>
      <w:r>
        <w:t>Querschnittanalyse von 277.489 britischen Erwachsenen ohne Erkrankungen zum Zusammenhang zwischen Einsamkeit, sozialer Isolation und der Lebensdauer frei von Krankheit.</w:t>
      </w:r>
    </w:p>
    <w:p>
      <w:r>
        <w:rPr>
          <w:b/>
        </w:rPr>
        <w:t xml:space="preserve">Ergebnis: </w:t>
      </w:r>
      <w:r>
        <w:t>Frauen mit Einsamkeit und sozialer Isolation verlieren 2,4 Jahre physisch krankheitsfrei und 3,7 Jahre mental krankheitsfrei; Männer verlieren 1,7 bzw. 5,8 Jahre. Soziale Isolation lässt sich durch gesunde Lebensstile teilweise ausgleichen (signifikant), nicht aber Einsamkeit.</w:t>
      </w:r>
    </w:p>
    <w:p>
      <w:r>
        <w:rPr>
          <w:b/>
          <w:sz w:val="19"/>
        </w:rPr>
        <w:t xml:space="preserve">Übertragbarkeit: </w:t>
      </w:r>
      <w:r>
        <w:rPr>
          <w:sz w:val="19"/>
        </w:rPr>
        <w:t>UK Biobank, vergleichbare Altersstruktur und Sozialversicherung; übertragbar auf deutsche Verhältnisse.</w:t>
      </w:r>
    </w:p>
    <w:p>
      <w:r>
        <w:rPr>
          <w:color w:val="5A7D3A"/>
          <w:sz w:val="18"/>
        </w:rPr>
        <w:t>https://pubmed.ncbi.nlm.nih.gov/42624836/</w:t>
      </w:r>
    </w:p>
    <w:p>
      <w:pPr>
        <w:pStyle w:val="Heading1"/>
      </w:pPr>
      <w:r>
        <w:t>Aufgenommen am 21.08.2026</w:t>
      </w:r>
    </w:p>
    <w:p>
      <w:pPr>
        <w:pStyle w:val="Heading2"/>
      </w:pPr>
      <w:r>
        <w:t>Heimgestützte multikomponenten Intervention bei Frailty und Prefrailty in älteren Krebsüberlebenden: Pilotuntersuchung</w:t>
      </w:r>
    </w:p>
    <w:p>
      <w:r>
        <w:rPr>
          <w:i/>
          <w:color w:val="666666"/>
          <w:sz w:val="18"/>
        </w:rPr>
        <w:t>Drevet S et al.  ·  Age Ageing  ·  03.08.2026  ·  PMID 42621847</w:t>
      </w:r>
    </w:p>
    <w:p>
      <w:r>
        <w:t>Quasi-experimentelle Vorher-Nachher-Studie (6 Monate) mit 110 Patienten ≥70 Jahren in Remission (Fried-Kriterien erfüllt). Intervention: betreute Übungen + Ernährungsunterstützung. Primärer Endpunkt: Anteil mit Frailty-/Prefrailty-Verbesserung von Baseline (M0) zu M6.</w:t>
      </w:r>
    </w:p>
    <w:p>
      <w:r>
        <w:rPr>
          <w:b/>
        </w:rPr>
        <w:t xml:space="preserve">Ergebnis: </w:t>
      </w:r>
      <w:r>
        <w:t>81 von 110 Teilnehmern vollendeten die Intervention. Baseline: 45% frail, 0% robust. Bei M6: 62% verbesserten ihren Frailty-Status; 78% der Frail zeigten Besserung, 51% der Prefrail wurden robust. Frailty-Schweregrad sank bei 74% der Teilnehmer. Vitamin-D zeigte Gruppen×Zeit-Interaktion; unterschiedliche Frailty-Trajektorien je nach Vitamin-D-Status. Funktionelle und physische Maße bei Baseline assoziiert mit Frailty (p&lt;0,05), nicht aber Tumor-Charakteristika.</w:t>
      </w:r>
    </w:p>
    <w:p>
      <w:r>
        <w:rPr>
          <w:b/>
          <w:sz w:val="19"/>
        </w:rPr>
        <w:t xml:space="preserve">Übertragbarkeit: </w:t>
      </w:r>
      <w:r>
        <w:rPr>
          <w:sz w:val="19"/>
        </w:rPr>
        <w:t>Frankreich, geriatrische Rehab in Praxis; multikomponenten Ansatz auch auf deutsches Versorgungssystem übertragbar</w:t>
      </w:r>
    </w:p>
    <w:p>
      <w:r>
        <w:rPr>
          <w:color w:val="5A7D3A"/>
          <w:sz w:val="18"/>
        </w:rPr>
        <w:t>https://pubmed.ncbi.nlm.nih.gov/42621847/</w:t>
      </w:r>
    </w:p>
    <w:p>
      <w:pPr>
        <w:pStyle w:val="Heading2"/>
      </w:pPr>
      <w:r>
        <w:t>Verankering älterer Menschen in globalen Klimaanpassungsplänen: Analyse von 204 Ländern</w:t>
      </w:r>
    </w:p>
    <w:p>
      <w:r>
        <w:rPr>
          <w:i/>
          <w:color w:val="666666"/>
          <w:sz w:val="18"/>
        </w:rPr>
        <w:t>Katz GM et al.  ·  Lancet Healthy Longev  ·  12.08.2026  ·  PMID 42586104</w:t>
      </w:r>
    </w:p>
    <w:p>
      <w:r>
        <w:t>Dokumentenanalyse von 204 Nationalstaaten zu Berücksichtigung älterer Menschen (≥65 Jahre) in Klimaanpassungsplänen. Identifiziert 16 Adaptationsthemen (Temperaturschutz, Partizipation, Katastrophenvorsorge, etc.) und deren Häufigkeit in nationalen Strategien.</w:t>
      </w:r>
    </w:p>
    <w:p>
      <w:r>
        <w:rPr>
          <w:b/>
        </w:rPr>
        <w:t xml:space="preserve">Ergebnis: </w:t>
      </w:r>
      <w:r>
        <w:t>125 Länder (61,3%) integrieren 1–5 Themen, 2 Länder (1,0%) sechs bis zehn, 1 Land (0,5%) ≥11 Themen, 77 Länder (37,7%) keine Themen. Häufigste Themen: extreme Hitze, Partizipation Älterer, Katastrophenprävention. Nur 47 Länder (23%) beschreiben konkrete Maßnahmen, Programme oder Finanzierungszusagen für ältere Menschen. Befund: erhebliche Lücken in der Berücksichtigung älterter Menschen in Klimapolitik.</w:t>
      </w:r>
    </w:p>
    <w:p>
      <w:r>
        <w:rPr>
          <w:b/>
          <w:sz w:val="19"/>
        </w:rPr>
        <w:t xml:space="preserve">Übertragbarkeit: </w:t>
      </w:r>
      <w:r>
        <w:rPr>
          <w:sz w:val="19"/>
        </w:rPr>
        <w:t>Globale Perspektive, Deutschland in Stichprobe enthalten, zeigt Governance-Gap bei Umwelt und Gerontologie</w:t>
      </w:r>
    </w:p>
    <w:p>
      <w:r>
        <w:rPr>
          <w:color w:val="5A7D3A"/>
          <w:sz w:val="18"/>
        </w:rPr>
        <w:t>https://pubmed.ncbi.nlm.nih.gov/42586104/</w:t>
      </w:r>
    </w:p>
    <w:p>
      <w:pPr>
        <w:pStyle w:val="Heading1"/>
      </w:pPr>
      <w:r>
        <w:t>Aufgenommen am 20.08.2026</w:t>
      </w:r>
    </w:p>
    <w:p>
      <w:pPr>
        <w:pStyle w:val="Heading2"/>
      </w:pPr>
      <w:r>
        <w:t>Konzept des gesunden Alterns in Norwegen: Qualitative Analyse von Perspektiven älterer Menschen, Fachkräfte und Entscheidungsträger</w:t>
      </w:r>
    </w:p>
    <w:p>
      <w:r>
        <w:rPr>
          <w:i/>
          <w:color w:val="666666"/>
          <w:sz w:val="18"/>
        </w:rPr>
        <w:t>Bikova M et al.  ·  BMC Health Serv Res  ·  14.08.2026  ·  PMID 42613606</w:t>
      </w:r>
    </w:p>
    <w:p>
      <w:r>
        <w:t>Qualitative Studie mit 23 semi-strukturierten Interviews (ältere Menschen, Fachkräfte, Entscheidungsträger) zur Interpretation des UN-Jahrzehnts des gesunden Alterns in einer norwegischen Kommune.</w:t>
      </w:r>
    </w:p>
    <w:p>
      <w:r>
        <w:rPr>
          <w:b/>
        </w:rPr>
        <w:t xml:space="preserve">Ergebnis: </w:t>
      </w:r>
      <w:r>
        <w:t>Drei zentrale Themen: Strategien zur Bewältigung, gemischte Alterswahrnehmungen, Gesundheitsdienste. Ergebnis: Altern wird als kollektive Verantwortung betont, aber zunehmend Älteren selbst übertragen; Digitalisierung ist Barriere für vulnerable Gruppen; kommunale Dienste werden als qualitativ hochwertig, aber ressourcengeprägt wahrgenommen. Schnelle Digitalisierung und Individualisierung verschärfen Ungleichheiten.</w:t>
      </w:r>
    </w:p>
    <w:p>
      <w:r>
        <w:rPr>
          <w:b/>
          <w:sz w:val="19"/>
        </w:rPr>
        <w:t xml:space="preserve">Übertragbarkeit: </w:t>
      </w:r>
      <w:r>
        <w:rPr>
          <w:sz w:val="19"/>
        </w:rPr>
        <w:t>Norwegen, skandinavisches Wohlfahrtssystem; Befunde zu Digitalisierungsbarrieren und Equity-Risiken übertragbar auf vergleichbare europäische Kontexte.</w:t>
      </w:r>
    </w:p>
    <w:p>
      <w:r>
        <w:rPr>
          <w:color w:val="5A7D3A"/>
          <w:sz w:val="18"/>
        </w:rPr>
        <w:t>https://pubmed.ncbi.nlm.nih.gov/42613606/</w:t>
      </w:r>
    </w:p>
    <w:p>
      <w:pPr>
        <w:pStyle w:val="Heading2"/>
      </w:pPr>
      <w:r>
        <w:t>Funktionale Performance im WHO-ICOPE-Rahmen: Brasilien und Europa zeigen zehn Jahre Unterschied in Funktionsverlust</w:t>
      </w:r>
    </w:p>
    <w:p>
      <w:r>
        <w:rPr>
          <w:i/>
          <w:color w:val="666666"/>
          <w:sz w:val="18"/>
        </w:rPr>
        <w:t>Oliveira VR et al.  ·  PLoS One  ·  05.08.2026  ·  PMID 42555548</w:t>
      </w:r>
    </w:p>
    <w:p>
      <w:r>
        <w:t>Vergleich von Determinanten der Funktionsfähigkeit (BADL/IADL) anhand von ELSI-Brasil (n=4825) und SHARE (n=25978) mit Analyse intrinsischer Kapazitätsdimensionen nach WHO-ICOPE-Modell.</w:t>
      </w:r>
    </w:p>
    <w:p>
      <w:r>
        <w:rPr>
          <w:b/>
        </w:rPr>
        <w:t xml:space="preserve">Ergebnis: </w:t>
      </w:r>
      <w:r>
        <w:t>Funktioneller Rückgang beginnt in Brasilien eine Dekade früher als in Europa. Risikomuster differieren: Mobilität–Handkraft schützender in Europa, Gehgeschwindigkeit Risikofaktor nur in Brasilien (OR 1,16); Depression höheres Risiko in Europa (OR 1,67–1,71) vs. Brasilien (OR 1,26–1,53); schlechte Selbsteinschätzung der Gesundheit stärkerer BADL-Risikofaktor in Brasilien (OR 2,72 vs. 2,07).</w:t>
      </w:r>
    </w:p>
    <w:p>
      <w:r>
        <w:rPr>
          <w:b/>
          <w:sz w:val="19"/>
        </w:rPr>
        <w:t xml:space="preserve">Übertragbarkeit: </w:t>
      </w:r>
      <w:r>
        <w:rPr>
          <w:sz w:val="19"/>
        </w:rPr>
        <w:t>Brasilien und Europa (SHARE), unterschiedliche Sozioökonomie; Befund zeigt kontextabhängige Risikofaktoren; ICOPE-Strategien müssen sozioökonomischen Unterschieden Rechnung tragen.</w:t>
      </w:r>
    </w:p>
    <w:p>
      <w:r>
        <w:rPr>
          <w:color w:val="5A7D3A"/>
          <w:sz w:val="18"/>
        </w:rPr>
        <w:t>https://pubmed.ncbi.nlm.nih.gov/42555548/</w:t>
      </w:r>
    </w:p>
    <w:p>
      <w:pPr>
        <w:pStyle w:val="Heading1"/>
      </w:pPr>
      <w:r>
        <w:t>Aufgenommen am 19.08.2026</w:t>
      </w:r>
    </w:p>
    <w:p>
      <w:pPr>
        <w:pStyle w:val="Heading2"/>
      </w:pPr>
      <w:r>
        <w:t>Frailty und kognitive Beeinträchtigung: Prospektive Assoziationen in fünf multinationalen Kohorten mit gepoolten Hazard Ratios</w:t>
      </w:r>
    </w:p>
    <w:p>
      <w:r>
        <w:rPr>
          <w:i/>
          <w:color w:val="666666"/>
          <w:sz w:val="18"/>
        </w:rPr>
        <w:t>Peng L et al.  ·  BMC Public Health  ·  25.07.2026  ·  PMID 42595986</w:t>
      </w:r>
    </w:p>
    <w:p>
      <w:r>
        <w:t>Länderübergreifende Metaanalyse von fünf Longitudinal-Kohorten (USA, England, Europa, China, Korea) mit insgesamt 47429 Teilnehmern zur Assoziation zwischen Baseline-Frailty-Status und kognitiver Beeinträchtigung sowie Frailty-Trajektorien und kognitiven Outcomes über 4–10 Jahre.</w:t>
      </w:r>
    </w:p>
    <w:p>
      <w:r>
        <w:rPr>
          <w:b/>
        </w:rPr>
        <w:t xml:space="preserve">Ergebnis: </w:t>
      </w:r>
      <w:r>
        <w:t>Pre-Frailty: gepoolte adjustierte HR 1,25 (95% CI 1,18–1,33) für kognitive Beeinträchtigung; Frailty: HR 1,69 (95% CI 1,50–1,90). Frailty-Trajektorien waren signifikant mit kognitiven Outcomes assoziiert (höhere Trajektorie: OR 1,45–4,37 für kognitive Beeinträchtigung; niedrigere: OR 0,46–0,72 protektiv). Befunde konsistent über alle Kohorten.</w:t>
      </w:r>
    </w:p>
    <w:p>
      <w:r>
        <w:rPr>
          <w:b/>
          <w:sz w:val="19"/>
        </w:rPr>
        <w:t xml:space="preserve">Übertragbarkeit: </w:t>
      </w:r>
      <w:r>
        <w:rPr>
          <w:sz w:val="19"/>
        </w:rPr>
        <w:t>HRS, ELSA, SHARE, CHARLS, KLoSA – europäische und non-europäische Daten, jedoch nur weil robust repliziert</w:t>
      </w:r>
    </w:p>
    <w:p>
      <w:r>
        <w:rPr>
          <w:color w:val="5A7D3A"/>
          <w:sz w:val="18"/>
        </w:rPr>
        <w:t>https://pubmed.ncbi.nlm.nih.gov/42595986/</w:t>
      </w:r>
    </w:p>
    <w:p>
      <w:pPr>
        <w:pStyle w:val="Heading2"/>
      </w:pPr>
      <w:r>
        <w:t>Akutgeriatrische Versorgungsmodelle in Dänemark: Nationale Bestandsaufnahme und Variabilität der Assessment-Praktiken</w:t>
      </w:r>
    </w:p>
    <w:p>
      <w:r>
        <w:rPr>
          <w:i/>
          <w:color w:val="666666"/>
          <w:sz w:val="18"/>
        </w:rPr>
        <w:t>Brockhattingen KK et al.  ·  Dan Med J  ·  02.07.2026  ·  PMID 42563704</w:t>
      </w:r>
    </w:p>
    <w:p>
      <w:r>
        <w:t>Nationale Querschnittsbefragung aller 20 Krankenhaus-Geriatriestationen in Dänemark zur Struktur, Teamzusammensetzung und Assessment-Funktionen in akutgeriatrischen Modellen für Patienten ≥65 Jahre mit akuter medizinischer Erkrankung.</w:t>
      </w:r>
    </w:p>
    <w:p>
      <w:r>
        <w:rPr>
          <w:b/>
        </w:rPr>
        <w:t xml:space="preserve">Ergebnis: </w:t>
      </w:r>
      <w:r>
        <w:t>Zwölf von 20 Stationen (60%) melden aktive akutgeriatrische Funktionen. Alle 12 führen diagnostische Bewertung, patientenzentrierte Evaluation und Basis-Assessments durch. Andere Elemente variabel: EKG (n=4–10/12), Ultraschall, Frailty-Assessment, interdisziplinäre Review, Koordination mit Community-Care (4–10/12). Erkenntnis: Große Variation in Struktur und Inhalten trotz Flächendeckung.</w:t>
      </w:r>
    </w:p>
    <w:p>
      <w:r>
        <w:rPr>
          <w:b/>
          <w:sz w:val="19"/>
        </w:rPr>
        <w:t xml:space="preserve">Übertragbarkeit: </w:t>
      </w:r>
      <w:r>
        <w:rPr>
          <w:sz w:val="19"/>
        </w:rPr>
        <w:t>Dänemark, europäisches Gesundheitssystem, vergleichbar mit deutschem Modell</w:t>
      </w:r>
    </w:p>
    <w:p>
      <w:r>
        <w:rPr>
          <w:color w:val="5A7D3A"/>
          <w:sz w:val="18"/>
        </w:rPr>
        <w:t>https://pubmed.ncbi.nlm.nih.gov/42563704/</w:t>
      </w:r>
    </w:p>
    <w:p>
      <w:pPr>
        <w:pStyle w:val="Heading1"/>
      </w:pPr>
      <w:r>
        <w:t>Aufgenommen am 18.08.2026</w:t>
      </w:r>
    </w:p>
    <w:p>
      <w:pPr>
        <w:pStyle w:val="Heading2"/>
      </w:pPr>
      <w:r>
        <w:t>Frailty-Verteilung und Sterblichkeit in Europa: Ländervergleich zeigt höchste Last in USA und Südosteuropa</w:t>
      </w:r>
    </w:p>
    <w:p>
      <w:r>
        <w:rPr>
          <w:i/>
          <w:color w:val="666666"/>
          <w:sz w:val="18"/>
        </w:rPr>
        <w:t>Drijver-Headley S et al.  ·  Age Ageing  ·  03.08.2026  ·  PMID 42607277</w:t>
      </w:r>
    </w:p>
    <w:p>
      <w:r>
        <w:t>Vergleichende Analyse von Frailty-Indizes, Sterblichkeit und Frailty-Progression in 17 Ländern mit unterschiedlichen Gesundheitssystemen.</w:t>
      </w:r>
    </w:p>
    <w:p>
      <w:r>
        <w:rPr>
          <w:b/>
        </w:rPr>
        <w:t xml:space="preserve">Ergebnis: </w:t>
      </w:r>
      <w:r>
        <w:t>In der USA, Mexiko und Südosteuropa war Gebrechlichkeit am höchsten, in Nord- und Zentraleuropa am niedrigsten; Sterblichkeit und Defizitakkumulation differierten erheblich zwischen Ländern, mit höchsten Werten in Mexiko. Meta-analytische Methoden zeigen, dass Frailty-Unterschiede zwischen Ländern wesentlich mit lokalen Einkommens- und Versorgungsstrukturen assoziiert sind.</w:t>
      </w:r>
    </w:p>
    <w:p>
      <w:r>
        <w:rPr>
          <w:b/>
          <w:sz w:val="19"/>
        </w:rPr>
        <w:t xml:space="preserve">Übertragbarkeit: </w:t>
      </w:r>
      <w:r>
        <w:rPr>
          <w:sz w:val="19"/>
        </w:rPr>
        <w:t>SHARE und ELSA (Europa) direkt vergleichbar; USA/Mexiko zeigen Effekte unterschiedlicher Finanzierung und sozialer Ungleichheit.</w:t>
      </w:r>
    </w:p>
    <w:p>
      <w:r>
        <w:rPr>
          <w:color w:val="5A7D3A"/>
          <w:sz w:val="18"/>
        </w:rPr>
        <w:t>https://pubmed.ncbi.nlm.nih.gov/42607277/</w:t>
      </w:r>
    </w:p>
    <w:p>
      <w:pPr>
        <w:pStyle w:val="Heading2"/>
      </w:pPr>
      <w:r>
        <w:t>Funktionelles Altern und Vermögensungleichheit: England und Kanada zeigen unterschiedliche Ungleichheitsgradienten</w:t>
      </w:r>
    </w:p>
    <w:p>
      <w:r>
        <w:rPr>
          <w:i/>
          <w:color w:val="666666"/>
          <w:sz w:val="18"/>
        </w:rPr>
        <w:t>Schrempft S et al.  ·  PLoS Med  ·  13.08.2026  ·  PMID 42594078</w:t>
      </w:r>
    </w:p>
    <w:p>
      <w:r>
        <w:t>Längsschnittstudie der Assoziation zwischen Vermögen und körperlicher Funktionsfähigkeit (Ganggeschwindigkeit, Griffstärke, Mobilitätseinschränkungen, ADL/IADL) in England und Kanada über 10 Jahre.</w:t>
      </w:r>
    </w:p>
    <w:p>
      <w:r>
        <w:rPr>
          <w:b/>
        </w:rPr>
        <w:t xml:space="preserve">Ergebnis: </w:t>
      </w:r>
      <w:r>
        <w:t>Bei weniger Vermögen: 15 Jahre Funktionsverlust bei Ganggeschwindigkeit in England vs. 9 Jahre in Kanada; 20 Jahre Funktionsverlust bei ADL-Schwierigkeiten in England vs. 9 Jahre in Kanada. Vermögensungleichheiten in der Funktionsfähigkeit waren größer in England trotz ähnlicher Gesundheitssysteme, bleiben nach Anpassung für Komorbiditäten bestehen.</w:t>
      </w:r>
    </w:p>
    <w:p>
      <w:r>
        <w:rPr>
          <w:b/>
          <w:sz w:val="19"/>
        </w:rPr>
        <w:t xml:space="preserve">Übertragbarkeit: </w:t>
      </w:r>
      <w:r>
        <w:rPr>
          <w:sz w:val="19"/>
        </w:rPr>
        <w:t>England und Kanada – beide gemäßigte Einkommen und ähnliche Sozialversicherung; Unterschied verdeutlicht Bedeutung von Vermögen neben Systemfinanzierung.</w:t>
      </w:r>
    </w:p>
    <w:p>
      <w:r>
        <w:rPr>
          <w:color w:val="5A7D3A"/>
          <w:sz w:val="18"/>
        </w:rPr>
        <w:t>https://pubmed.ncbi.nlm.nih.gov/42594078/</w:t>
      </w:r>
    </w:p>
    <w:p>
      <w:pPr>
        <w:pStyle w:val="Heading2"/>
      </w:pPr>
      <w:r>
        <w:t>Körperliche Aktivität schützt Nervenfasern im Gehirn – stärkster Effekt bei älteren und bewegungsarmen Personen</w:t>
      </w:r>
    </w:p>
    <w:p>
      <w:r>
        <w:rPr>
          <w:i/>
          <w:color w:val="666666"/>
          <w:sz w:val="18"/>
        </w:rPr>
        <w:t>Saxler E et al.  ·  Aging Cell  ·  Aug. 2026  ·  PMID 42568043</w:t>
      </w:r>
    </w:p>
    <w:p>
      <w:r>
        <w:t>Querschnittsstudie von 4.188 Teilnehmern (mittleres Alter 55,4 Jahre) der Rhineland-Studie zur Assoziation zwischen Beschleunigungsmesser-gemessener körperlicher Aktivität und Mikrostruktur weißer Substanz (Diffusions-MRT) mit Vermittlung durch Körpergewicht und kardiometabolische Faktoren.</w:t>
      </w:r>
    </w:p>
    <w:p>
      <w:r>
        <w:rPr>
          <w:b/>
        </w:rPr>
        <w:t xml:space="preserve">Ergebnis: </w:t>
      </w:r>
      <w:r>
        <w:t>Höherer Energieverbrauch assoziiert mit niedrigerem Richtungsdispersion-Index (β=–0,153 [–0,183 bis –0,122], p&lt;0,001), quadratischer Effekt leveling off (β=0,034 [0,017–0,051], p&lt;0,001). Mit zunehmendem Alter: körperliche Aktivität stärker mit höherer Neuritendichte und niedriger mittlerer Diffusivität assoziiert; Effekt am größten bei älteren und sedentären Personen, vermittelt durch Körpergewicht, kardiometabolische und entzündliche Faktoren.</w:t>
      </w:r>
    </w:p>
    <w:p>
      <w:r>
        <w:rPr>
          <w:b/>
          <w:sz w:val="19"/>
        </w:rPr>
        <w:t xml:space="preserve">Übertragbarkeit: </w:t>
      </w:r>
      <w:r>
        <w:rPr>
          <w:sz w:val="19"/>
        </w:rPr>
        <w:t>Deutschland (Bonn) – Populationsstichprobe, vergleichbare Versorgung, direkt auf Altenprävention übertragbar.</w:t>
      </w:r>
    </w:p>
    <w:p>
      <w:r>
        <w:rPr>
          <w:color w:val="5A7D3A"/>
          <w:sz w:val="18"/>
        </w:rPr>
        <w:t>https://pubmed.ncbi.nlm.nih.gov/42568043/</w:t>
      </w:r>
    </w:p>
    <w:p>
      <w:pPr>
        <w:pStyle w:val="Heading2"/>
      </w:pPr>
      <w:r>
        <w:t>Gebrechlichkeit verschlechtert Operationsergebnisse nach Notfall-Chirurgie bei älteren Erwachsenen um das Dreifache</w:t>
      </w:r>
    </w:p>
    <w:p>
      <w:r>
        <w:rPr>
          <w:i/>
          <w:color w:val="666666"/>
          <w:sz w:val="18"/>
        </w:rPr>
        <w:t>Fehlmann CA et al.  ·  Swiss Med Wkly  ·  26.06.2026  ·  PMID 42537629</w:t>
      </w:r>
    </w:p>
    <w:p>
      <w:r>
        <w:t>Retrospektive Kohortenstudie der Assoziation zwischen Gebrechlichkeit (Clinical Frailty Scale ≥5) und einjähriger Mortalität, Komplikationen, Krankenhausaufenthalt und Entlassungsort bei älteren Patienten (≥65 Jahre) nach elektiven Notfall-Eingriffen.</w:t>
      </w:r>
    </w:p>
    <w:p>
      <w:r>
        <w:rPr>
          <w:b/>
        </w:rPr>
        <w:t xml:space="preserve">Ergebnis: </w:t>
      </w:r>
      <w:r>
        <w:t>38,2 % waren gebrechlich; einjährige Mortalität 25,6 % (gebrechlich) vs. 6,6 % (nicht gebrechlich), adjustierte OR 3,0 [95%-KI 1,7–5,1]; Komplikationen OR 2,3 [1,5–3,6]; Krankenhausaufenthalt +46,4 % [26,8–69,0 %]; Entlassung nicht nach Hause OR 2,1 [1,4–3,2]. Frailty ist ein starker unabhängiger Risikofaktor für schlechte Ergebnisse.</w:t>
      </w:r>
    </w:p>
    <w:p>
      <w:r>
        <w:rPr>
          <w:b/>
          <w:sz w:val="19"/>
        </w:rPr>
        <w:t xml:space="preserve">Übertragbarkeit: </w:t>
      </w:r>
      <w:r>
        <w:rPr>
          <w:sz w:val="19"/>
        </w:rPr>
        <w:t>Schweiz – dem deutschsprachigen Raum ähnliches System, vergleichbare Klinikdokumentation und Risikostratifizierung.</w:t>
      </w:r>
    </w:p>
    <w:p>
      <w:r>
        <w:rPr>
          <w:color w:val="5A7D3A"/>
          <w:sz w:val="18"/>
        </w:rPr>
        <w:t>https://pubmed.ncbi.nlm.nih.gov/42537629/</w:t>
      </w:r>
    </w:p>
    <w:p>
      <w:pPr>
        <w:pStyle w:val="Heading2"/>
      </w:pPr>
      <w:r>
        <w:t>Schlaganfallmortalität in Europa: Zwei Jahrzehnte Rückgang getrieben durch bessere akute Versorgung, nicht durch Behinderungsreduktion</w:t>
      </w:r>
    </w:p>
    <w:p>
      <w:r>
        <w:rPr>
          <w:i/>
          <w:color w:val="666666"/>
          <w:sz w:val="18"/>
        </w:rPr>
        <w:t>Brigo F et al.  ·  Eur Stroke J  ·  06.07.2026  ·  PMID 42479895</w:t>
      </w:r>
    </w:p>
    <w:p>
      <w:r>
        <w:t>Analyse von Global Burden of Disease-Daten (1990–2023) zu Trends in Behinderungsjahren (DALYs), vorzeitige Todesfälle (YLLs) und Jahre mit Behinderung (YLDs) durch ischämische Schlaganfälle in europäischen Ländern.</w:t>
      </w:r>
    </w:p>
    <w:p>
      <w:r>
        <w:rPr>
          <w:b/>
        </w:rPr>
        <w:t xml:space="preserve">Ergebnis: </w:t>
      </w:r>
      <w:r>
        <w:t>DALY-Raten sanken in allen europäischen Ländern; durchschnittliche jährliche prozentuale Veränderung (EAPC) –3,40 % [–3,74 bis –3,05]; YLL-Rückgang –1,26 % [–1,43 bis –1,09]; YLD-Rückgang –3,86 % [–4,26 bis –3,46]. Rückgang der vorzeitigen Mortalität war Haupttreiber; YLD-Fortschritt blieb heterogen und geringer, regionale Unterschiede in Zentral-/Westeuropa vs. Ost-/Südosteuropa.</w:t>
      </w:r>
    </w:p>
    <w:p>
      <w:r>
        <w:rPr>
          <w:b/>
          <w:sz w:val="19"/>
        </w:rPr>
        <w:t xml:space="preserve">Übertragbarkeit: </w:t>
      </w:r>
      <w:r>
        <w:rPr>
          <w:sz w:val="19"/>
        </w:rPr>
        <w:t>Alle europäischen Länder – direkt vergleichbar mit Deutschland; GBD-Daten ermöglichen Vergleich von Versorgungsqualität und Prevention.</w:t>
      </w:r>
    </w:p>
    <w:p>
      <w:r>
        <w:rPr>
          <w:color w:val="5A7D3A"/>
          <w:sz w:val="18"/>
        </w:rPr>
        <w:t>https://pubmed.ncbi.nlm.nih.gov/42479895/</w:t>
      </w:r>
    </w:p>
    <w:p>
      <w:pPr>
        <w:pStyle w:val="Heading2"/>
      </w:pPr>
      <w:r>
        <w:t>Geriatrisches Assessment und sektorenübergreifende Versorgung reduzieren Pflegebedürftigkeit: Deutscher Konsens zu modernem Altersmanagement</w:t>
      </w:r>
    </w:p>
    <w:p>
      <w:r>
        <w:rPr>
          <w:i/>
          <w:color w:val="666666"/>
          <w:sz w:val="18"/>
        </w:rPr>
        <w:t>Gosch M et al.  ·  Z Gerontol Geriatr  ·  21.07.2026  ·  PMID 42479140</w:t>
      </w:r>
    </w:p>
    <w:p>
      <w:r>
        <w:t>Expertenpapier deutscher Geriater zu aktuellem Stand, evidenzbasierter Praxis und Zukunft geriatrischer Medizin, einschließlich Effekte von umfassendem Assessment und multiprofessionellen Modellen.</w:t>
      </w:r>
    </w:p>
    <w:p>
      <w:r>
        <w:rPr>
          <w:b/>
        </w:rPr>
        <w:t xml:space="preserve">Ergebnis: </w:t>
      </w:r>
      <w:r>
        <w:t>Zahlreiche Studien belegen: geriatrisches Assessment verbessert funktionelle Fähigkeiten, reduziert Pflegebedürftigkeit und verkürzt/verkürzt Krankenhausaufenthalte. Defizite bestehen in flächendeckender Versorgung, Finanzierung, Fachkräftemangel und Integration in andere Fachgebiete.</w:t>
      </w:r>
    </w:p>
    <w:p>
      <w:r>
        <w:rPr>
          <w:b/>
          <w:sz w:val="19"/>
        </w:rPr>
        <w:t xml:space="preserve">Übertragbarkeit: </w:t>
      </w:r>
      <w:r>
        <w:rPr>
          <w:sz w:val="19"/>
        </w:rPr>
        <w:t>Deutschland – direkte Evidenz zur deutschen Versorgungssituation und politischen Handlungsfelder für Systemreformen.</w:t>
      </w:r>
    </w:p>
    <w:p>
      <w:r>
        <w:rPr>
          <w:color w:val="5A7D3A"/>
          <w:sz w:val="18"/>
        </w:rPr>
        <w:t>https://pubmed.ncbi.nlm.nih.gov/42479140/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Gesundes Altern und Longevity</dc:title>
  <dc:subject/>
  <dc:creator>Monitor Versorgungsforschung</dc:creator>
  <cp:keywords/>
  <dc:description>generated by python-docx</dc:description>
  <cp:lastModifiedBy/>
  <cp:revision>1</cp:revision>
  <dcterms:created xsi:type="dcterms:W3CDTF">2026-10-13T06:00:00Z</dcterms:created>
  <dcterms:modified xsi:type="dcterms:W3CDTF">2026-10-13T06:00:00Z</dcterms:modified>
  <cp:category/>
</cp:coreProperties>
</file>