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19.09.2026  |  7 Studien  |  longevity.m-vf.de</w:t>
      </w:r>
    </w:p>
    <w:p>
      <w:pPr>
        <w:pStyle w:val="Heading1"/>
      </w:pPr>
      <w:r>
        <w:t>Aufgenommen am 19.09.2026</w:t>
      </w:r>
    </w:p>
    <w:p>
      <w:pPr>
        <w:pStyle w:val="Heading2"/>
      </w:pPr>
      <w:r>
        <w:t>Geriatrisches Assessment bei chronischer Nierenkrankheit und Frailty</w:t>
      </w:r>
    </w:p>
    <w:p>
      <w:r>
        <w:rPr>
          <w:i/>
          <w:color w:val="666666"/>
          <w:sz w:val="18"/>
        </w:rPr>
        <w:t>Nixon AC  ·  Kidney Int  ·  Okt. 2026  ·  PMID 42760022</w:t>
      </w:r>
    </w:p>
    <w:p>
      <w:r>
        <w:t>Kommentararbeit zur GOAL-Studie, die überprüfte, ob eine einzige geriatrische Konsultation ältere Patienten mit chronischer Nierenkrankheit und Frailty in ihren Behandlungszielen hilft.</w:t>
      </w:r>
    </w:p>
    <w:p>
      <w:r>
        <w:rPr>
          <w:b/>
        </w:rPr>
        <w:t xml:space="preserve">Ergebnis: </w:t>
      </w:r>
      <w:r>
        <w:t>Die Studie fand keine signifikante Verbesserung der Zielerreichung durch ein Konsultationsmodell. Personenzentrierte Versorgungsmodelle außerhalb von Einzelterminen und fortlaufende Neubewertung erfordern weitere Evaluierung.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UK-Gesundheitssystem, Design auf europäische Versorgungsstrukturen übertragbar</w:t>
      </w:r>
    </w:p>
    <w:p>
      <w:r>
        <w:rPr>
          <w:color w:val="5A7D3A"/>
          <w:sz w:val="18"/>
        </w:rPr>
        <w:t>https://pubmed.ncbi.nlm.nih.gov/42760022/</w:t>
      </w:r>
    </w:p>
    <w:p>
      <w:pPr>
        <w:pStyle w:val="Heading2"/>
      </w:pPr>
      <w:r>
        <w:t>Verständnis von Frailty bei Kindern mit chronischer Nierenkrankheit</w:t>
      </w:r>
    </w:p>
    <w:p>
      <w:r>
        <w:rPr>
          <w:i/>
          <w:color w:val="666666"/>
          <w:sz w:val="18"/>
        </w:rPr>
        <w:t>Guha C et al.  ·  Kidney Int  ·  Okt. 2026  ·  PMID 42760016</w:t>
      </w:r>
    </w:p>
    <w:p>
      <w:r>
        <w:t>Qualitatives Perspektivwerk auf Frailty im Kindesalter bei chronischer Nierenkrankheit – Interpretation als Verlust von Entwicklungspotenzial statt funktionellem Rückgang im Gegensatz zu Frailty bei Älteren.</w:t>
      </w:r>
    </w:p>
    <w:p>
      <w:r>
        <w:rPr>
          <w:b/>
        </w:rPr>
        <w:t xml:space="preserve">Ergebnis: </w:t>
      </w:r>
      <w:r>
        <w:t>Zentrale Befunde: (1) Frailty bei Kindern ist (anders als bei Älteren) oft reversibel; (2) Frühe Identifikation durch altersgerechte Screening ermöglicht multidisziplinäre Intervention; (3) Kritisches Fenster zur Maximierung von Wachstum, Resilienz und Lebensfunktion in der Kindheit.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Perspektive auf Frailty-Definition und Versorgungsmodelle, anwendbar auf deutsches Versorgungssystem</w:t>
      </w:r>
    </w:p>
    <w:p>
      <w:r>
        <w:rPr>
          <w:color w:val="5A7D3A"/>
          <w:sz w:val="18"/>
        </w:rPr>
        <w:t>https://pubmed.ncbi.nlm.nih.gov/42760016/</w:t>
      </w:r>
    </w:p>
    <w:p>
      <w:pPr>
        <w:pStyle w:val="Heading2"/>
      </w:pPr>
      <w:r>
        <w:t>Frailty-Index für Mortalitätsprognose nach Schlaganfall in kritischer Versorgung</w:t>
      </w:r>
    </w:p>
    <w:p>
      <w:r>
        <w:rPr>
          <w:i/>
          <w:color w:val="666666"/>
          <w:sz w:val="18"/>
        </w:rPr>
        <w:t>Gu G et al.  ·  Front Neurol  ·  03.09.2026  ·  PMID 42756253</w:t>
      </w:r>
    </w:p>
    <w:p>
      <w:r>
        <w:t>Verwendung eines laborgestützten Frailty-Index (FI-Lab) zur Vorhersage der 90-Tage-Mortalität nach akutem ischämischen Schlaganfall in der Intensivmedizin mit temporaler Validierung.</w:t>
      </w:r>
    </w:p>
    <w:p>
      <w:r>
        <w:rPr>
          <w:b/>
        </w:rPr>
        <w:t xml:space="preserve">Ergebnis: </w:t>
      </w:r>
      <w:r>
        <w:t>3.186 Patienten beim 24-h-Zeitpunkt (559 Todesfälle): FI-Lab verbesserte AUC von 0,774 auf 0,808 (Differenz 0,034, 95% CI 0,022–0,047; p&lt;0,001) und Brier-Score von 0,162 auf 0,152. Beim 72-h-Punkt: 2.918 Patienten (473 Ereignisse), AUC 0,752 → 0,791 mit FI-Lab.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MIMIC-IV-Datenbank, generalisierbare ICU-Frailty-Messung, externe Validierung ausstehend</w:t>
      </w:r>
    </w:p>
    <w:p>
      <w:r>
        <w:rPr>
          <w:color w:val="5A7D3A"/>
          <w:sz w:val="18"/>
        </w:rPr>
        <w:t>https://pubmed.ncbi.nlm.nih.gov/42756253/</w:t>
      </w:r>
    </w:p>
    <w:p>
      <w:pPr>
        <w:pStyle w:val="Heading2"/>
      </w:pPr>
      <w:r>
        <w:t>Selbstmitgefühl und Selbstwirksamkeit bei Älteren: Lebenqualität und Gesundheitsverhalten</w:t>
      </w:r>
    </w:p>
    <w:p>
      <w:r>
        <w:rPr>
          <w:i/>
          <w:color w:val="666666"/>
          <w:sz w:val="18"/>
        </w:rPr>
        <w:t>Mullins D et al.  ·  J Psychiatr Res  ·  06.05.2026  ·  PMID 42731903</w:t>
      </w:r>
    </w:p>
    <w:p>
      <w:r>
        <w:t>Querschnittsuntersuchung von 179 Bewohnern der Gemeinde (≥65 Jahre) zur Assoziation von Selbstmitgefühl, Selbstwirksamkeit und posturalem Bewusstsein mit Schmerz, Lebensstilverhalten und Lebensqualität.</w:t>
      </w:r>
    </w:p>
    <w:p>
      <w:r>
        <w:rPr>
          <w:b/>
        </w:rPr>
        <w:t xml:space="preserve">Ergebnis: </w:t>
      </w:r>
      <w:r>
        <w:t>Selbstwirksamkeit war stärkster Prädiktor für Lebensqualität (β=0,340, p&lt;0,05) und Lebensstilverhalten (R²=0,21–0,40 aller Subdomänen). Selbstmitgefühl stärkstes Prädiktor für Ernährung (β=0,436). Gesamtmodell Lebensqualität: 61,4% Varianzaufklärung (R²=0,614).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psychosoziale Faktoren kulturneutral, Messparameter international validiert</w:t>
      </w:r>
    </w:p>
    <w:p>
      <w:r>
        <w:rPr>
          <w:color w:val="5A7D3A"/>
          <w:sz w:val="18"/>
        </w:rPr>
        <w:t>https://pubmed.ncbi.nlm.nih.gov/42731903/</w:t>
      </w:r>
    </w:p>
    <w:p>
      <w:pPr>
        <w:pStyle w:val="Heading2"/>
      </w:pPr>
      <w:r>
        <w:t>Krankheitslast bei Multipler Sklerose in Italien 1990–2023</w:t>
      </w:r>
    </w:p>
    <w:p>
      <w:r>
        <w:rPr>
          <w:i/>
          <w:color w:val="666666"/>
          <w:sz w:val="18"/>
        </w:rPr>
        <w:t>Brigo F et al.  ·  Mult Scler Relat Disord  ·  28.08.2026  ·  PMID 42664643</w:t>
      </w:r>
    </w:p>
    <w:p>
      <w:r>
        <w:t>Analyse der zeitlichen Trends und regionalen Unterschiede in der Morbidität (Behinderung versus Sterblichkeit) von MS in Italien mittels Global-Burden-of-Disease-Daten.</w:t>
      </w:r>
    </w:p>
    <w:p>
      <w:r>
        <w:rPr>
          <w:b/>
        </w:rPr>
        <w:t xml:space="preserve">Ergebnis: </w:t>
      </w:r>
      <w:r>
        <w:t>MS-Krankheitslast stieg in allen Regionen; Verschiebung von Sterblichkeit zu Behinderung: YLL/YLD-Ratio sank überall, mit steilstem Anstieg in Sardinien und Süd+Sizilien. Höhere DALY-Raten in allen Regionen bei Frauen und Männern.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vergleichbares europäisches Gesundheitssystem und Versorgungsinfrastruktur</w:t>
      </w:r>
    </w:p>
    <w:p>
      <w:r>
        <w:rPr>
          <w:color w:val="5A7D3A"/>
          <w:sz w:val="18"/>
        </w:rPr>
        <w:t>https://pubmed.ncbi.nlm.nih.gov/42664643/</w:t>
      </w:r>
    </w:p>
    <w:p>
      <w:pPr>
        <w:pStyle w:val="Heading2"/>
      </w:pPr>
      <w:r>
        <w:t>Geschlechtsspezifische Altersuhren und Stoffwechselveränderungen in Bevölkerungsphenome</w:t>
      </w:r>
    </w:p>
    <w:p>
      <w:r>
        <w:rPr>
          <w:i/>
          <w:color w:val="666666"/>
          <w:sz w:val="18"/>
        </w:rPr>
        <w:t>Li J et al.  ·  Nat Aging  ·  25.08.2026  ·  PMID 42642518</w:t>
      </w:r>
    </w:p>
    <w:p>
      <w:r>
        <w:t>Entwicklung und Validierung von Altersuhren (klinische und biologische Marker) in &gt;100.000 Chinesen (18–98 Jahre) mit Analyse von Geschlechtsunterschieden und modifizierbaren metabolischen Faktoren.</w:t>
      </w:r>
    </w:p>
    <w:p>
      <w:r>
        <w:rPr>
          <w:b/>
        </w:rPr>
        <w:t xml:space="preserve">Ergebnis: </w:t>
      </w:r>
      <w:r>
        <w:t>Divergente Alterungstrajektorien Männer vs. Frauen in mittlerem Alter konvergierten später. Akkumulation von Cholesterin, Triglyzeriden, Glukose, Harnsäure und Tumormalkeuren mit dem Altern. High-Fat-Diet-Reversierung zeigte Modifizierbarkeit metabolischer Belastung.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große Kohorte, metabolische Befunde altersunabhängig übertragbar auf deutsches Setting</w:t>
      </w:r>
    </w:p>
    <w:p>
      <w:r>
        <w:rPr>
          <w:color w:val="5A7D3A"/>
          <w:sz w:val="18"/>
        </w:rPr>
        <w:t>https://pubmed.ncbi.nlm.nih.gov/42642518/</w:t>
      </w:r>
    </w:p>
    <w:p>
      <w:pPr>
        <w:pStyle w:val="Heading2"/>
      </w:pPr>
      <w:r>
        <w:t>Gewonnene Lebensjahre bei zufällig entdecktem Prostatakarzinom</w:t>
      </w:r>
    </w:p>
    <w:p>
      <w:r>
        <w:rPr>
          <w:i/>
          <w:color w:val="666666"/>
          <w:sz w:val="18"/>
        </w:rPr>
        <w:t>Falkenbach F et al.  ·  Prostate  ·  08.07.2026  ·  PMID 42418725</w:t>
      </w:r>
    </w:p>
    <w:p>
      <w:r>
        <w:t>Berechnung der verlorenen Lebensjahre (YLL) bei zufällig entdecktem Prostatakarzinom mittels SEER-Daten 2004–2021 und Vergleich mit bevölkerungsgestützten Überlebensstudien.</w:t>
      </w:r>
    </w:p>
    <w:p>
      <w:r>
        <w:rPr>
          <w:b/>
        </w:rPr>
        <w:t xml:space="preserve">Ergebnis: </w:t>
      </w:r>
      <w:r>
        <w:t>7.324 Patienten; Unterschied zu Bevölkerungskontroll: 0,23 verlorene Jahre (p&lt;0,001). Ohne Behandlung: 0,25 YLL; mit Behandlung: 0,18 YLL. Gleason 8–10 + T1b ohne Therapie: 3,02 YLL; Gleason ≤7 + T1a mit Therapie: keine signifikanten YLL.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SEER-Register, Unterschiede in Lebenserwartung und Behandlungsindikationen beachten</w:t>
      </w:r>
    </w:p>
    <w:p>
      <w:r>
        <w:rPr>
          <w:color w:val="5A7D3A"/>
          <w:sz w:val="18"/>
        </w:rPr>
        <w:t>https://pubmed.ncbi.nlm.nih.gov/42418725/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2026-09-19T06:00:00Z</dcterms:created>
  <dcterms:modified xsi:type="dcterms:W3CDTF">2026-09-19T06:00:00Z</dcterms:modified>
  <cp:category/>
</cp:coreProperties>
</file>