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Gesundes Altern und Longevity</w:t>
      </w:r>
    </w:p>
    <w:p>
      <w:r>
        <w:rPr>
          <w:i/>
          <w:color w:val="666666"/>
          <w:sz w:val="18"/>
        </w:rPr>
        <w:t>Stand: 19.08.2026  |  2 Studien  |  longevity.m-vf.de</w:t>
      </w:r>
    </w:p>
    <w:p>
      <w:pPr>
        <w:pStyle w:val="Heading1"/>
      </w:pPr>
      <w:r>
        <w:t>Aufgenommen am 19.08.2026</w:t>
      </w:r>
    </w:p>
    <w:p>
      <w:pPr>
        <w:pStyle w:val="Heading2"/>
      </w:pPr>
      <w:r>
        <w:t>Frailty und kognitive Beeinträchtigung: Prospektive Assoziationen in fünf multinationalen Kohorten mit gepoolten Hazard Ratios</w:t>
      </w:r>
    </w:p>
    <w:p>
      <w:r>
        <w:rPr>
          <w:i/>
          <w:color w:val="666666"/>
          <w:sz w:val="18"/>
        </w:rPr>
        <w:t>Peng L et al.  ·  BMC Public Health  ·  25.07.2026  ·  PMID 42595986</w:t>
      </w:r>
    </w:p>
    <w:p>
      <w:r>
        <w:t>Länderübergreifende Metaanalyse von fünf Longitudinal-Kohorten (USA, England, Europa, China, Korea) mit insgesamt 47429 Teilnehmern zur Assoziation zwischen Baseline-Frailty-Status und kognitiver Beeinträchtigung sowie Frailty-Trajektorien und kognitiven Outcomes über 4–10 Jahre.</w:t>
      </w:r>
    </w:p>
    <w:p>
      <w:r>
        <w:rPr>
          <w:b/>
        </w:rPr>
        <w:t xml:space="preserve">Ergebnis: </w:t>
      </w:r>
      <w:r>
        <w:t>Pre-Frailty: gepoolte adjustierte HR 1,25 (95% CI 1,18–1,33) für kognitive Beeinträchtigung; Frailty: HR 1,69 (95% CI 1,50–1,90). Frailty-Trajektorien waren signifikant mit kognitiven Outcomes assoziiert (höhere Trajektorie: OR 1,45–4,37 für kognitive Beeinträchtigung; niedrigere: OR 0,46–0,72 protektiv). Befunde konsistent über alle Kohorten.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HRS, ELSA, SHARE, CHARLS, KLoSA – europäische und non-europäische Daten, jedoch nur weil robust repliziert</w:t>
      </w:r>
    </w:p>
    <w:p>
      <w:r>
        <w:rPr>
          <w:color w:val="5A7D3A"/>
          <w:sz w:val="18"/>
        </w:rPr>
        <w:t>https://pubmed.ncbi.nlm.nih.gov/42595986/</w:t>
      </w:r>
    </w:p>
    <w:p>
      <w:pPr>
        <w:pStyle w:val="Heading2"/>
      </w:pPr>
      <w:r>
        <w:t>Akutgeriatrische Versorgungsmodelle in Dänemark: Nationale Bestandsaufnahme und Variabilität der Assessment-Praktiken</w:t>
      </w:r>
    </w:p>
    <w:p>
      <w:r>
        <w:rPr>
          <w:i/>
          <w:color w:val="666666"/>
          <w:sz w:val="18"/>
        </w:rPr>
        <w:t>Brockhattingen KK et al.  ·  Dan Med J  ·  02.07.2026  ·  PMID 42563704</w:t>
      </w:r>
    </w:p>
    <w:p>
      <w:r>
        <w:t>Nationale Querschnittsbefragung aller 20 Krankenhaus-Geriatriestationen in Dänemark zur Struktur, Teamzusammensetzung und Assessment-Funktionen in akutgeriatrischen Modellen für Patienten ≥65 Jahre mit akuter medizinischer Erkrankung.</w:t>
      </w:r>
    </w:p>
    <w:p>
      <w:r>
        <w:rPr>
          <w:b/>
        </w:rPr>
        <w:t xml:space="preserve">Ergebnis: </w:t>
      </w:r>
      <w:r>
        <w:t>Zwölf von 20 Stationen (60%) melden aktive akutgeriatrische Funktionen. Alle 12 führen diagnostische Bewertung, patientenzentrierte Evaluation und Basis-Assessments durch. Andere Elemente variabel: EKG (n=4–10/12), Ultraschall, Frailty-Assessment, interdisziplinäre Review, Koordination mit Community-Care (4–10/12). Erkenntnis: Große Variation in Struktur und Inhalten trotz Flächendeckung.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europäisches Gesundheitssystem, vergleichbar mit deutschem Modell</w:t>
      </w:r>
    </w:p>
    <w:p>
      <w:r>
        <w:rPr>
          <w:color w:val="5A7D3A"/>
          <w:sz w:val="18"/>
        </w:rPr>
        <w:t>https://pubmed.ncbi.nlm.nih.gov/42563704/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Gesundes Altern und Longevity</dc:title>
  <dc:subject/>
  <dc:creator>Monitor Versorgungsforschung</dc:creator>
  <cp:keywords/>
  <dc:description>generated by python-docx</dc:description>
  <cp:lastModifiedBy/>
  <cp:revision>1</cp:revision>
  <dcterms:created xsi:type="dcterms:W3CDTF">2026-08-19T06:00:00Z</dcterms:created>
  <dcterms:modified xsi:type="dcterms:W3CDTF">2026-08-19T06:00:00Z</dcterms:modified>
  <cp:category/>
</cp:coreProperties>
</file>