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Gesundes Altern und Longevity</w:t>
      </w:r>
    </w:p>
    <w:p>
      <w:r>
        <w:rPr>
          <w:i/>
          <w:color w:val="666666"/>
          <w:sz w:val="18"/>
        </w:rPr>
        <w:t>Stand: 18.08.2026  |  6 Studien  |  longevity.m-vf.de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Frailty-Verteilung und Sterblichkeit in Europa: Ländervergleich zeigt höchste Last in USA und Südosteuropa</w:t>
      </w:r>
    </w:p>
    <w:p>
      <w:r>
        <w:rPr>
          <w:i/>
          <w:color w:val="666666"/>
          <w:sz w:val="18"/>
        </w:rPr>
        <w:t>Drijver-Headley S et al.  ·  Age Ageing  ·  03.08.2026  ·  PMID 42607277</w:t>
      </w:r>
    </w:p>
    <w:p>
      <w:r>
        <w:t>Vergleichende Analyse von Frailty-Indizes, Sterblichkeit und Frailty-Progression in 17 Ländern mit unterschiedlichen Gesundheitssystemen.</w:t>
      </w:r>
    </w:p>
    <w:p>
      <w:r>
        <w:rPr>
          <w:b/>
        </w:rPr>
        <w:t xml:space="preserve">Ergebnis: </w:t>
      </w:r>
      <w:r>
        <w:t>In der USA, Mexiko und Südosteuropa war Gebrechlichkeit am höchsten, in Nord- und Zentraleuropa am niedrigsten; Sterblichkeit und Defizitakkumulation differierten erheblich zwischen Ländern, mit höchsten Werten in Mexiko. Meta-analytische Methoden zeigen, dass Frailty-Unterschiede zwischen Ländern wesentlich mit lokalen Einkommens- und Versorgungsstrukturen assoziiert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SHARE und ELSA (Europa) direkt vergleichbar; USA/Mexiko zeigen Effekte unterschiedlicher Finanzierung und sozialer Ungleichheit.</w:t>
      </w:r>
    </w:p>
    <w:p>
      <w:r>
        <w:rPr>
          <w:color w:val="5A7D3A"/>
          <w:sz w:val="18"/>
        </w:rPr>
        <w:t>https://pubmed.ncbi.nlm.nih.gov/42607277/</w:t>
      </w:r>
    </w:p>
    <w:p>
      <w:pPr>
        <w:pStyle w:val="Heading2"/>
      </w:pPr>
      <w:r>
        <w:t>Funktionelles Altern und Vermögensungleichheit: England und Kanada zeigen unterschiedliche Ungleichheitsgradienten</w:t>
      </w:r>
    </w:p>
    <w:p>
      <w:r>
        <w:rPr>
          <w:i/>
          <w:color w:val="666666"/>
          <w:sz w:val="18"/>
        </w:rPr>
        <w:t>Schrempft S et al.  ·  PLoS Med  ·  13.08.2026  ·  PMID 42594078</w:t>
      </w:r>
    </w:p>
    <w:p>
      <w:r>
        <w:t>Längsschnittstudie der Assoziation zwischen Vermögen und körperlicher Funktionsfähigkeit (Ganggeschwindigkeit, Griffstärke, Mobilitätseinschränkungen, ADL/IADL) in England und Kanada über 10 Jahre.</w:t>
      </w:r>
    </w:p>
    <w:p>
      <w:r>
        <w:rPr>
          <w:b/>
        </w:rPr>
        <w:t xml:space="preserve">Ergebnis: </w:t>
      </w:r>
      <w:r>
        <w:t>Bei weniger Vermögen: 15 Jahre Funktionsverlust bei Ganggeschwindigkeit in England vs. 9 Jahre in Kanada; 20 Jahre Funktionsverlust bei ADL-Schwierigkeiten in England vs. 9 Jahre in Kanada. Vermögensungleichheiten in der Funktionsfähigkeit waren größer in England trotz ähnlicher Gesundheitssysteme, bleiben nach Anpassung für Komorbiditäten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und Kanada – beide gemäßigte Einkommen und ähnliche Sozialversicherung; Unterschied verdeutlicht Bedeutung von Vermögen neben Systemfinanzierung.</w:t>
      </w:r>
    </w:p>
    <w:p>
      <w:r>
        <w:rPr>
          <w:color w:val="5A7D3A"/>
          <w:sz w:val="18"/>
        </w:rPr>
        <w:t>https://pubmed.ncbi.nlm.nih.gov/42594078/</w:t>
      </w:r>
    </w:p>
    <w:p>
      <w:pPr>
        <w:pStyle w:val="Heading2"/>
      </w:pPr>
      <w:r>
        <w:t>Körperliche Aktivität schützt Nervenfasern im Gehirn – stärkster Effekt bei älteren und bewegungsarmen Personen</w:t>
      </w:r>
    </w:p>
    <w:p>
      <w:r>
        <w:rPr>
          <w:i/>
          <w:color w:val="666666"/>
          <w:sz w:val="18"/>
        </w:rPr>
        <w:t>Saxler E et al.  ·  Aging Cell  ·  Aug. 2026  ·  PMID 42568043</w:t>
      </w:r>
    </w:p>
    <w:p>
      <w:r>
        <w:t>Querschnittsstudie von 4.188 Teilnehmern (mittleres Alter 55,4 Jahre) der Rhineland-Studie zur Assoziation zwischen Beschleunigungsmesser-gemessener körperlicher Aktivität und Mikrostruktur weißer Substanz (Diffusions-MRT) mit Vermittlung durch Körpergewicht und kardiometabolische Faktoren.</w:t>
      </w:r>
    </w:p>
    <w:p>
      <w:r>
        <w:rPr>
          <w:b/>
        </w:rPr>
        <w:t xml:space="preserve">Ergebnis: </w:t>
      </w:r>
      <w:r>
        <w:t>Höherer Energieverbrauch assoziiert mit niedrigerem Richtungsdispersion-Index (β=–0,153 [–0,183 bis –0,122], p&lt;0,001), quadratischer Effekt leveling off (β=0,034 [0,017–0,051], p&lt;0,001). Mit zunehmendem Alter: körperliche Aktivität stärker mit höherer Neuritendichte und niedriger mittlerer Diffusivität assoziiert; Effekt am größten bei älteren und sedentären Personen, vermittelt durch Körpergewicht, kardiometabolische und entzündliche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(Bonn) – Populationsstichprobe, vergleichbare Versorgung, direkt auf Altenprävention übertragbar.</w:t>
      </w:r>
    </w:p>
    <w:p>
      <w:r>
        <w:rPr>
          <w:color w:val="5A7D3A"/>
          <w:sz w:val="18"/>
        </w:rPr>
        <w:t>https://pubmed.ncbi.nlm.nih.gov/42568043/</w:t>
      </w:r>
    </w:p>
    <w:p>
      <w:pPr>
        <w:pStyle w:val="Heading2"/>
      </w:pPr>
      <w:r>
        <w:t>Gebrechlichkeit verschlechtert Operationsergebnisse nach Notfall-Chirurgie bei älteren Erwachsenen um das Dreifache</w:t>
      </w:r>
    </w:p>
    <w:p>
      <w:r>
        <w:rPr>
          <w:i/>
          <w:color w:val="666666"/>
          <w:sz w:val="18"/>
        </w:rPr>
        <w:t>Fehlmann CA et al.  ·  Swiss Med Wkly  ·  26.06.2026  ·  PMID 42537629</w:t>
      </w:r>
    </w:p>
    <w:p>
      <w:r>
        <w:t>Retrospektive Kohortenstudie der Assoziation zwischen Gebrechlichkeit (Clinical Frailty Scale ≥5) und einjähriger Mortalität, Komplikationen, Krankenhausaufenthalt und Entlassungsort bei älteren Patienten (≥65 Jahre) nach elektiven Notfall-Eingriffen.</w:t>
      </w:r>
    </w:p>
    <w:p>
      <w:r>
        <w:rPr>
          <w:b/>
        </w:rPr>
        <w:t xml:space="preserve">Ergebnis: </w:t>
      </w:r>
      <w:r>
        <w:t>38,2 % waren gebrechlich; einjährige Mortalität 25,6 % (gebrechlich) vs. 6,6 % (nicht gebrechlich), adjustierte OR 3,0 [95%-KI 1,7–5,1]; Komplikationen OR 2,3 [1,5–3,6]; Krankenhausaufenthalt +46,4 % [26,8–69,0 %]; Entlassung nicht nach Hause OR 2,1 [1,4–3,2]. Frailty ist ein starker unabhängiger Risikofaktor für schlechte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– dem deutschsprachigen Raum ähnliches System, vergleichbare Klinikdokumentation und Risikostratifizierung.</w:t>
      </w:r>
    </w:p>
    <w:p>
      <w:r>
        <w:rPr>
          <w:color w:val="5A7D3A"/>
          <w:sz w:val="18"/>
        </w:rPr>
        <w:t>https://pubmed.ncbi.nlm.nih.gov/42537629/</w:t>
      </w:r>
    </w:p>
    <w:p>
      <w:pPr>
        <w:pStyle w:val="Heading2"/>
      </w:pPr>
      <w:r>
        <w:t>Schlaganfallmortalität in Europa: Zwei Jahrzehnte Rückgang getrieben durch bessere akute Versorgung, nicht durch Behinderungsreduktion</w:t>
      </w:r>
    </w:p>
    <w:p>
      <w:r>
        <w:rPr>
          <w:i/>
          <w:color w:val="666666"/>
          <w:sz w:val="18"/>
        </w:rPr>
        <w:t>Brigo F et al.  ·  Eur Stroke J  ·  06.07.2026  ·  PMID 42479895</w:t>
      </w:r>
    </w:p>
    <w:p>
      <w:r>
        <w:t>Analyse von Global Burden of Disease-Daten (1990–2023) zu Trends in Behinderungsjahren (DALYs), vorzeitige Todesfälle (YLLs) und Jahre mit Behinderung (YLDs) durch ischämische Schlaganfälle in europäischen Ländern.</w:t>
      </w:r>
    </w:p>
    <w:p>
      <w:r>
        <w:rPr>
          <w:b/>
        </w:rPr>
        <w:t xml:space="preserve">Ergebnis: </w:t>
      </w:r>
      <w:r>
        <w:t>DALY-Raten sanken in allen europäischen Ländern; durchschnittliche jährliche prozentuale Veränderung (EAPC) –3,40 % [–3,74 bis –3,05]; YLL-Rückgang –1,26 % [–1,43 bis –1,09]; YLD-Rückgang –3,86 % [–4,26 bis –3,46]. Rückgang der vorzeitigen Mortalität war Haupttreiber; YLD-Fortschritt blieb heterogen und geringer, regionale Unterschiede in Zentral-/Westeuropa vs. Ost-/Südosteuropa.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Alle europäischen Länder – direkt vergleichbar mit Deutschland; GBD-Daten ermöglichen Vergleich von Versorgungsqualität und Prevention.</w:t>
      </w:r>
    </w:p>
    <w:p>
      <w:r>
        <w:rPr>
          <w:color w:val="5A7D3A"/>
          <w:sz w:val="18"/>
        </w:rPr>
        <w:t>https://pubmed.ncbi.nlm.nih.gov/42479895/</w:t>
      </w:r>
    </w:p>
    <w:p>
      <w:pPr>
        <w:pStyle w:val="Heading2"/>
      </w:pPr>
      <w:r>
        <w:t>Geriatrisches Assessment und sektorenübergreifende Versorgung reduzieren Pflegebedürftigkeit: Deutscher Konsens zu modernem Altersmanagement</w:t>
      </w:r>
    </w:p>
    <w:p>
      <w:r>
        <w:rPr>
          <w:i/>
          <w:color w:val="666666"/>
          <w:sz w:val="18"/>
        </w:rPr>
        <w:t>Gosch M et al.  ·  Z Gerontol Geriatr  ·  21.07.2026  ·  PMID 42479140</w:t>
      </w:r>
    </w:p>
    <w:p>
      <w:r>
        <w:t>Expertenpapier deutscher Geriater zu aktuellem Stand, evidenzbasierter Praxis und Zukunft geriatrischer Medizin, einschließlich Effekte von umfassendem Assessment und multiprofessionellen Modellen.</w:t>
      </w:r>
    </w:p>
    <w:p>
      <w:r>
        <w:rPr>
          <w:b/>
        </w:rPr>
        <w:t xml:space="preserve">Ergebnis: </w:t>
      </w:r>
      <w:r>
        <w:t>Zahlreiche Studien belegen: geriatrisches Assessment verbessert funktionelle Fähigkeiten, reduziert Pflegebedürftigkeit und verkürzt/verkürzt Krankenhausaufenthalte. Defizite bestehen in flächendeckender Versorgung, Finanzierung, Fachkräftemangel und Integration in andere Fachgebiete.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direkte Evidenz zur deutschen Versorgungssituation und politischen Handlungsfelder für Systemreformen.</w:t>
      </w:r>
    </w:p>
    <w:p>
      <w:r>
        <w:rPr>
          <w:color w:val="5A7D3A"/>
          <w:sz w:val="18"/>
        </w:rPr>
        <w:t>https://pubmed.ncbi.nlm.nih.gov/42479140/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2026-08-18T06:00:00Z</dcterms:created>
  <dcterms:modified xsi:type="dcterms:W3CDTF">2026-08-18T06:00:00Z</dcterms:modified>
  <cp:category/>
</cp:coreProperties>
</file>