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Gesundes Altern und Longevity</w:t>
      </w:r>
    </w:p>
    <w:p>
      <w:r>
        <w:rPr>
          <w:i/>
          <w:color w:val="666666"/>
          <w:sz w:val="18"/>
        </w:rPr>
        <w:t>Stand: 21.10.2026  |  361 Studien  |  longevity.m-vf.de</w:t>
      </w:r>
    </w:p>
    <w:p>
      <w:pPr>
        <w:pStyle w:val="Heading1"/>
      </w:pPr>
      <w:r>
        <w:t>Aufgenommen am 21.10.2026</w:t>
      </w:r>
    </w:p>
    <w:p>
      <w:pPr>
        <w:pStyle w:val="Heading2"/>
      </w:pPr>
      <w:r>
        <w:t>Soziale Vulnerabilität als Frailty-Dimension in neurodegenerativen Erkrankungen</w:t>
      </w:r>
    </w:p>
    <w:p>
      <w:r>
        <w:rPr>
          <w:i/>
          <w:color w:val="666666"/>
          <w:sz w:val="18"/>
        </w:rPr>
        <w:t>Panzavolta A et al.  ·  Neurol Sci  ·  20.10.2026  ·  PMID 42900408</w:t>
      </w:r>
    </w:p>
    <w:p>
      <w:r>
        <w:t>Querschnittsstudie mit 47 Alzheimer-, 24 Frontotemporale-Demenz- und 66 Kontrollpersonen zur Messung physischer und sozialer Frailty mittels 60-Item-Fragebogen.</w:t>
      </w:r>
    </w:p>
    <w:p>
      <w:r>
        <w:rPr>
          <w:b/>
        </w:rPr>
        <w:t xml:space="preserve">Ergebnis: </w:t>
      </w:r>
      <w:r>
        <w:t>Demenzpatienten zeigten signifikant höhere globale (gFI) und soziale Frailty-Scores (sFI) als Kontrollen; sFI korrelierte mit Schweregrad und kognitiven Mustern bei beiden Demenzformen. Physische Frailty unterschied sich nicht zwischen Gruppen.</w:t>
      </w:r>
    </w:p>
    <w:p>
      <w:r>
        <w:rPr>
          <w:b/>
          <w:sz w:val="19"/>
        </w:rPr>
        <w:t xml:space="preserve">Übertragbarkeit: </w:t>
      </w:r>
      <w:r>
        <w:rPr>
          <w:sz w:val="19"/>
        </w:rPr>
        <w:t>Italien, europäische Versorgungsstruktur; soziale Frailty-Dimension relevant für deutschsprachige geriatrische Praxis.</w:t>
      </w:r>
    </w:p>
    <w:p>
      <w:r>
        <w:rPr>
          <w:color w:val="5A7D3A"/>
          <w:sz w:val="18"/>
        </w:rPr>
        <w:t>https://pubmed.ncbi.nlm.nih.gov/42900408/</w:t>
      </w:r>
    </w:p>
    <w:p>
      <w:pPr>
        <w:pStyle w:val="Heading2"/>
      </w:pPr>
      <w:r>
        <w:t>Unterschiedliche Verlaufsmuster oraler Frailty nach Zahnimplantaten im Alter</w:t>
      </w:r>
    </w:p>
    <w:p>
      <w:r>
        <w:rPr>
          <w:i/>
          <w:color w:val="666666"/>
          <w:sz w:val="18"/>
        </w:rPr>
        <w:t>Zhang Y et al.  ·  Front Public Health  ·  05.10.2026  ·  PMID 42898353</w:t>
      </w:r>
    </w:p>
    <w:p>
      <w:r>
        <w:t>Prospektive Kohortenstudie mit 211 älteren Patienten ≥60 Jahre, die Zahnimplantate erhielten, zur Identifizierung von Frailty-Trajektorien über 12 Monate mittels latent class growth modelling.</w:t>
      </w:r>
    </w:p>
    <w:p>
      <w:r>
        <w:rPr>
          <w:b/>
        </w:rPr>
        <w:t xml:space="preserve">Ergebnis: </w:t>
      </w:r>
      <w:r>
        <w:t>Drei Trajektorien wurden identifiziert: Rascher Rückgang-Stabil (42,7 %), Gradueller Rückgang-Plateau (35,1 %), Persistiert-Hohes-Risiko (22,2 %). Unabhängige Prädiktoren für die Hochrisiko-Gruppe: Alter (aOR 1,12), Polypharmazie (aOR 1,25), fehlende Zähne (aOR 1,09).</w:t>
      </w:r>
    </w:p>
    <w:p>
      <w:r>
        <w:rPr>
          <w:b/>
          <w:sz w:val="19"/>
        </w:rPr>
        <w:t xml:space="preserve">Übertragbarkeit: </w:t>
      </w:r>
      <w:r>
        <w:rPr>
          <w:sz w:val="19"/>
        </w:rPr>
        <w:t>China, aber klinisch-geriatrische Fragestellung; Polypharmazie-Effekt global relevant.</w:t>
      </w:r>
    </w:p>
    <w:p>
      <w:r>
        <w:rPr>
          <w:color w:val="5A7D3A"/>
          <w:sz w:val="18"/>
        </w:rPr>
        <w:t>https://pubmed.ncbi.nlm.nih.gov/42898353/</w:t>
      </w:r>
    </w:p>
    <w:p>
      <w:pPr>
        <w:pStyle w:val="Heading2"/>
      </w:pPr>
      <w:r>
        <w:t>Ernährungsvielfalt und gewonnene gesunde Lebensjahre bei älteren Erwachsenen</w:t>
      </w:r>
    </w:p>
    <w:p>
      <w:r>
        <w:rPr>
          <w:i/>
          <w:color w:val="666666"/>
          <w:sz w:val="18"/>
        </w:rPr>
        <w:t>Shi J et al.  ·  Front Public Health  ·  05.10.2026  ·  PMID 42898119</w:t>
      </w:r>
    </w:p>
    <w:p>
      <w:r>
        <w:t>Prospektive Kohortenstudie mit 9.953 Teilnehmern ≥65 Jahre zur Assoziation zwischen Ernährungsvielfalt und gewonnenen gesunden Lebensjahren (HLE) mittels Multistate-Analyse.</w:t>
      </w:r>
    </w:p>
    <w:p>
      <w:r>
        <w:rPr>
          <w:b/>
        </w:rPr>
        <w:t xml:space="preserve">Ergebnis: </w:t>
      </w:r>
      <w:r>
        <w:t>Bei hoher vs. niedriger Ernährungsvielfalt verlängerte sich die Lebenserwartung mit 65 Jahren um 1,26 Jahre (14,54 vs. 15,80 Jahre) und die HLE um 0,90 Jahre (13,32 vs. 14,22 Jahre). Höhere Ernährungsvielfalt war mit niedrigeren Sterblichkeitsübergängen aus Gesundheit und Behinderung verbunden; diese Unterschiede waren bei Männern und Stadtbewohnern ausgeprägter.</w:t>
      </w:r>
    </w:p>
    <w:p>
      <w:r>
        <w:rPr>
          <w:b/>
          <w:sz w:val="19"/>
        </w:rPr>
        <w:t xml:space="preserve">Übertragbarkeit: </w:t>
      </w:r>
      <w:r>
        <w:rPr>
          <w:sz w:val="19"/>
        </w:rPr>
        <w:t>China, nur bedingt übertragbar - andere Ernährungsmuster und Kohorte ohne europäische Sozialversicherung.</w:t>
      </w:r>
    </w:p>
    <w:p>
      <w:r>
        <w:rPr>
          <w:color w:val="5A7D3A"/>
          <w:sz w:val="18"/>
        </w:rPr>
        <w:t>https://pubmed.ncbi.nlm.nih.gov/42898119/</w:t>
      </w:r>
    </w:p>
    <w:p>
      <w:pPr>
        <w:pStyle w:val="Heading2"/>
      </w:pPr>
      <w:r>
        <w:t>Frailty und atherogenic Index kombiniert vorhersagen Herz-Metab.-Multimorbidität bei Älteren</w:t>
      </w:r>
    </w:p>
    <w:p>
      <w:r>
        <w:rPr>
          <w:i/>
          <w:color w:val="666666"/>
          <w:sz w:val="18"/>
        </w:rPr>
        <w:t>Wu H et al.  ·  J Glob Health  ·  19.10.2026  ·  PMID 42895260</w:t>
      </w:r>
    </w:p>
    <w:p>
      <w:r>
        <w:t>Prospektive Kohortenstudie mit 4.157 Teilnehmern ≥45 Jahre (CHARLS) zur Assoziation zwischen kumulativem AIP-FI-Index (atherogenic index × 37-Deficit-Frailty-Index) und incident cardiometabolic multimorbidity über 8,5 Jahre mittels Cox-Modelle und Machine Learning.</w:t>
      </w:r>
    </w:p>
    <w:p>
      <w:r>
        <w:rPr>
          <w:b/>
        </w:rPr>
        <w:t xml:space="preserve">Ergebnis: </w:t>
      </w:r>
      <w:r>
        <w:t>612 CMM-Fälle: Kumulative AIP-FI zeigte stärkere Assoziation mit CMM-Risiko als Baseline-Wert (HR 1,46 pro SD). Höchstes vs. niedrigstes Quartil: HR 3,95 (95% CI 2,95–5,29). Prädiktive AUC 0,7117 mit NRI 0,157 über traditionelle Marker. Bidirektionale Synergieeffekte zwischen AIP und FI.</w:t>
      </w:r>
    </w:p>
    <w:p>
      <w:r>
        <w:rPr>
          <w:b/>
          <w:sz w:val="19"/>
        </w:rPr>
        <w:t xml:space="preserve">Übertragbarkeit: </w:t>
      </w:r>
      <w:r>
        <w:rPr>
          <w:sz w:val="19"/>
        </w:rPr>
        <w:t>China (CHARLS), aber Konzept der kombinierten Vulnerabilität-Marker übertragbar auf deutsches Assessment.</w:t>
      </w:r>
    </w:p>
    <w:p>
      <w:r>
        <w:rPr>
          <w:color w:val="5A7D3A"/>
          <w:sz w:val="18"/>
        </w:rPr>
        <w:t>https://pubmed.ncbi.nlm.nih.gov/42895260/</w:t>
      </w:r>
    </w:p>
    <w:p>
      <w:pPr>
        <w:pStyle w:val="Heading2"/>
      </w:pPr>
      <w:r>
        <w:t>Triglycerid-Glukose-Frailty-Index bei Rheumatoider Arthritis vorhersagt Herz-Mortalität</w:t>
      </w:r>
    </w:p>
    <w:p>
      <w:r>
        <w:rPr>
          <w:i/>
          <w:color w:val="666666"/>
          <w:sz w:val="18"/>
        </w:rPr>
        <w:t>Xu Y et al.  ·  Medicine (Baltimore)  ·  16.10.2026  ·  PMID 42888590</w:t>
      </w:r>
    </w:p>
    <w:p>
      <w:r>
        <w:t>Querschnitt-Kohortenstudie mit 1.090 US-amerikanischen RA-Patienten aus NHANES 1999–2018 zur Assoziation zwischen TyG-FI (Triglycerid-Glukose-Index × 49-Item-Frailty-Index) und prevalent CVD sowie kardiovaskulärer Mortalität.</w:t>
      </w:r>
    </w:p>
    <w:p>
      <w:r>
        <w:rPr>
          <w:b/>
        </w:rPr>
        <w:t xml:space="preserve">Ergebnis: </w:t>
      </w:r>
      <w:r>
        <w:t>TyG-FI pro Einheit: OR 4,50 (95% CI 3,20–6,33) für prävalente CVD; HR 1,77 (95% CI 1,16–2,70) für Herz-Mortalität. AUC-Modelle mit TyG-FI (0,80 CVD, 0,81 Mortalität) überlegen vs. TyG allein (0,73, 0,80). Stärkere Assoziation bei Alter ≤65 Jahren.</w:t>
      </w:r>
    </w:p>
    <w:p>
      <w:r>
        <w:rPr>
          <w:b/>
          <w:sz w:val="19"/>
        </w:rPr>
        <w:t xml:space="preserve">Übertragbarkeit: </w:t>
      </w:r>
      <w:r>
        <w:rPr>
          <w:sz w:val="19"/>
        </w:rPr>
        <w:t>USA-Kohort, aber RA-assoziierte Multimorbidität und kombinierte Indizes relevant für deutsches Risiko-Assessment.</w:t>
      </w:r>
    </w:p>
    <w:p>
      <w:r>
        <w:rPr>
          <w:color w:val="5A7D3A"/>
          <w:sz w:val="18"/>
        </w:rPr>
        <w:t>https://pubmed.ncbi.nlm.nih.gov/42888590/</w:t>
      </w:r>
    </w:p>
    <w:p>
      <w:pPr>
        <w:pStyle w:val="Heading2"/>
      </w:pPr>
      <w:r>
        <w:t>Gesundheit im Alter als multidimensionales System: Validierung an 46.317 Europäern</w:t>
      </w:r>
    </w:p>
    <w:p>
      <w:r>
        <w:rPr>
          <w:i/>
          <w:color w:val="666666"/>
          <w:sz w:val="18"/>
        </w:rPr>
        <w:t>Tun T et al.  ·  Soc Sci Med  ·  16.09.2026  ·  PMID 42766933</w:t>
      </w:r>
    </w:p>
    <w:p>
      <w:r>
        <w:t>Sekundäranalyse von SHARE Wave 8 mit 46.317 Teilnehmern 50–104 Jahre zur psychometrischen Validierung eines sechsdimensionalen Gesundheitskonstrukts mittels Strukturgleichungsmodellierung.</w:t>
      </w:r>
    </w:p>
    <w:p>
      <w:r>
        <w:rPr>
          <w:b/>
        </w:rPr>
        <w:t xml:space="preserve">Ergebnis: </w:t>
      </w:r>
      <w:r>
        <w:t>Bestätigung einer zweiten Ordnung SEM mit sechs Dimensionen (Physische Gesundheit, Funktionsfähigkeit, Kognition, psychisches Wohlbefinden, finanzielle Autonomie, soziales Engagement) mit Faktorladungen 0,579–0,832 und guten Modellfit-Indizes (RMSEA 0,054, CFI 0,904). Modell war in europäischen Ländern konsistent.</w:t>
      </w:r>
    </w:p>
    <w:p>
      <w:r>
        <w:rPr>
          <w:b/>
          <w:sz w:val="19"/>
        </w:rPr>
        <w:t xml:space="preserve">Übertragbarkeit: </w:t>
      </w:r>
      <w:r>
        <w:rPr>
          <w:sz w:val="19"/>
        </w:rPr>
        <w:t>SHARE-Daten aus 28 europäischen Ländern, direkt auf Deutschland anwendbar.</w:t>
      </w:r>
    </w:p>
    <w:p>
      <w:r>
        <w:rPr>
          <w:color w:val="5A7D3A"/>
          <w:sz w:val="18"/>
        </w:rPr>
        <w:t>https://pubmed.ncbi.nlm.nih.gov/42766933/</w:t>
      </w:r>
    </w:p>
    <w:p>
      <w:pPr>
        <w:pStyle w:val="Heading1"/>
      </w:pPr>
      <w:r>
        <w:t>Aufgenommen am 20.10.2026</w:t>
      </w:r>
    </w:p>
    <w:p>
      <w:pPr>
        <w:pStyle w:val="Heading2"/>
      </w:pPr>
      <w:r>
        <w:t>Ösophagusspasmus bei Hochbetagter: Dysphagie-Diagnose bricht Teufelskreis aus Gewichtsverlust, Sarkopenie und Sturzrisiko</w:t>
      </w:r>
    </w:p>
    <w:p>
      <w:r>
        <w:rPr>
          <w:i/>
          <w:color w:val="666666"/>
          <w:sz w:val="18"/>
        </w:rPr>
        <w:t>Klein J et al.  ·  Dtsch Med Wochenschr  ·  19.10.2026  ·  PMID 42896540</w:t>
      </w:r>
    </w:p>
    <w:p>
      <w:r>
        <w:t>Fallbericht einer 93-jährigen sarkopenen Patientin mit Appetitlosigkeit, Übelkeit und Erbrechen in einer deutschen geriatrischen Klinik, bei der eine Breischluck-Untersuchung einen Ösophagussphinkterspasmus nachwies.</w:t>
      </w:r>
    </w:p>
    <w:p>
      <w:r>
        <w:rPr>
          <w:b/>
        </w:rPr>
        <w:t xml:space="preserve">Ergebnis: </w:t>
      </w:r>
      <w:r>
        <w:t>Nach Diagnose des distalen Motilitätsverluste durch Breischluck-Untersuchung konservative Therapie mit Botulinumtoxin-Injektionen durchgeführt, was kurzfristig zur Symptomverbesserung führte. Patientin kam aus dem Zyklus von Dysphagie → Gewichtsverlust → Sarkopenie → Frailty → Sturz heraus. Fallbericht unterstreicht Notwendigkeit gezielter Diagnostik und Therapie zur Prävention von Komplikationen.</w:t>
      </w:r>
    </w:p>
    <w:p>
      <w:r>
        <w:rPr>
          <w:b/>
          <w:sz w:val="19"/>
        </w:rPr>
        <w:t xml:space="preserve">Übertragbarkeit: </w:t>
      </w:r>
      <w:r>
        <w:rPr>
          <w:sz w:val="19"/>
        </w:rPr>
        <w:t>Deutschland (Bonn); geriatrisches Versorgungssystem und Versorgungskontext direkt anwendbar</w:t>
      </w:r>
    </w:p>
    <w:p>
      <w:r>
        <w:rPr>
          <w:color w:val="5A7D3A"/>
          <w:sz w:val="18"/>
        </w:rPr>
        <w:t>https://pubmed.ncbi.nlm.nih.gov/42896540/</w:t>
      </w:r>
    </w:p>
    <w:p>
      <w:pPr>
        <w:pStyle w:val="Heading2"/>
      </w:pPr>
      <w:r>
        <w:t>Zweistufiges Frailty-Screening in Hepatologie: Stuhl-Test und Griffstärke ersparen zwei Drittel der vollständigen Assessments</w:t>
      </w:r>
    </w:p>
    <w:p>
      <w:r>
        <w:rPr>
          <w:i/>
          <w:color w:val="666666"/>
          <w:sz w:val="18"/>
        </w:rPr>
        <w:t>Wang J et al.  ·  Nurs Open  ·  Okt. 2026  ·  PMID 42896173</w:t>
      </w:r>
    </w:p>
    <w:p>
      <w:r>
        <w:t>Querschnittstudie bei 606 hospitalisierten Patienten mit chronischer Lebererkrankung (August 2021–August 2025), die eine Pflegekraft-getragene Screening-Strategie mit Timed-Chair-Stand und Griffstärke gegen den Liver Frailty Index validierte.</w:t>
      </w:r>
    </w:p>
    <w:p>
      <w:r>
        <w:rPr>
          <w:b/>
        </w:rPr>
        <w:t xml:space="preserve">Ergebnis: </w:t>
      </w:r>
      <w:r>
        <w:t>Frailty-Prävalenz 18,6%. Einstufiges Screening (Chair-Stands ≥16,55 s oder Griffstärke ≤23,42 kg) erreichte 100% Sensitivität (Negative Predictive Value 1,000), identifizierte alle frailen Fälle und vermied 62,3% der vollständigen Assessments. Null verpasste Fälle in fünf Split-Sample-Analysen reproduziert.</w:t>
      </w:r>
    </w:p>
    <w:p>
      <w:r>
        <w:rPr>
          <w:b/>
          <w:sz w:val="19"/>
        </w:rPr>
        <w:t xml:space="preserve">Übertragbarkeit: </w:t>
      </w:r>
      <w:r>
        <w:rPr>
          <w:sz w:val="19"/>
        </w:rPr>
        <w:t>China; aber Screening-Kriterien und hepatologische Versorgung international ähnlich, externe Validierung ausstehend</w:t>
      </w:r>
    </w:p>
    <w:p>
      <w:r>
        <w:rPr>
          <w:color w:val="5A7D3A"/>
          <w:sz w:val="18"/>
        </w:rPr>
        <w:t>https://pubmed.ncbi.nlm.nih.gov/42896173/</w:t>
      </w:r>
    </w:p>
    <w:p>
      <w:pPr>
        <w:pStyle w:val="Heading2"/>
      </w:pPr>
      <w:r>
        <w:t>Frailty reduziert Arbeitsfähigkeit im Alter um vier bis acht Jahre</w:t>
      </w:r>
    </w:p>
    <w:p>
      <w:r>
        <w:rPr>
          <w:i/>
          <w:color w:val="666666"/>
          <w:sz w:val="18"/>
        </w:rPr>
        <w:t>Shui Y et al.  ·  J Glob Health  ·  19.10.2026  ·  PMID 42895270</w:t>
      </w:r>
    </w:p>
    <w:p>
      <w:r>
        <w:t>Multistate-Markov-Modelle bei 180.314 Personen ≥50 Jahren aus fünf harmonisierten Kohorten (33 Länder) zur Assoziation von Frailty-Status (robust, pre-frail, frail) mit gesunder Arbeitslebenserwartung (HWLE) im Alter von 50 Jahren.</w:t>
      </w:r>
    </w:p>
    <w:p>
      <w:r>
        <w:rPr>
          <w:b/>
        </w:rPr>
        <w:t xml:space="preserve">Ergebnis: </w:t>
      </w:r>
      <w:r>
        <w:t>HWLE bei 50 Jahren: 11,87 Jahre (95%-KI 11,74–12,00) robust, 7,34 Jahre (7,19–7,50) pre-frail, 3,77 Jahre (3,57–3,97) frail. Gegenüber robusten Personen: 4,53 Jahre kürzer (95%-KI −4,76, −4,29) pre-frail, 8,11 Jahre kürzer (−8,38, −7,84) frail. Männer hatten längere HWLE als Frauen in robusten und pre-frailen Gruppen. Höhere Bildung, Nichtrauchen und günstige nationale Faktoren verlängerten HWLE.</w:t>
      </w:r>
    </w:p>
    <w:p>
      <w:r>
        <w:rPr>
          <w:b/>
          <w:sz w:val="19"/>
        </w:rPr>
        <w:t xml:space="preserve">Übertragbarkeit: </w:t>
      </w:r>
      <w:r>
        <w:rPr>
          <w:sz w:val="19"/>
        </w:rPr>
        <w:t>33 Länder inklusive europäische; Frailty-Index robust, Bezug zu Arbeitsmarkt und Rente unterscheidet sich, aber Grundmechanismus universell</w:t>
      </w:r>
    </w:p>
    <w:p>
      <w:r>
        <w:rPr>
          <w:color w:val="5A7D3A"/>
          <w:sz w:val="18"/>
        </w:rPr>
        <w:t>https://pubmed.ncbi.nlm.nih.gov/42895270/</w:t>
      </w:r>
    </w:p>
    <w:p>
      <w:pPr>
        <w:pStyle w:val="Heading2"/>
      </w:pPr>
      <w:r>
        <w:t>Frailty-Trajektoren vorhersagen Osteoporose-Risiko stärker als einzelne Messungen</w:t>
      </w:r>
    </w:p>
    <w:p>
      <w:r>
        <w:rPr>
          <w:i/>
          <w:color w:val="666666"/>
          <w:sz w:val="18"/>
        </w:rPr>
        <w:t>Zhou J et al.  ·  J Glob Health  ·  19.10.2026  ·  PMID 42895262</w:t>
      </w:r>
    </w:p>
    <w:p>
      <w:r>
        <w:t>Longitudinale Kohortenstudie mit drei großen harmonisierten Datensätzen (HRS, ELSA, SHARE; ≥50 Jahre) zum Zusammenhang zwischen Frailty-Index-Verlauf und neuaufgetretener Osteoporose über 4–8 Jahre Nachbeobachtung.</w:t>
      </w:r>
    </w:p>
    <w:p>
      <w:r>
        <w:rPr>
          <w:b/>
        </w:rPr>
        <w:t xml:space="preserve">Ergebnis: </w:t>
      </w:r>
      <w:r>
        <w:t>Insgesamt 244 (ELSA), 2.693 (SHARE) und 1.986 (HRS) Neuerkrankungen mit Osteoporose. Höherer baseline Frailty Index unabhängig assoziiert mit erhöhtem Osteoporose-Risiko (HRS HR 1,43; 95%-KI 1,36–1,50; ELSA HR 1,36; 1,19–1,57; SHARE HR 1,39; 1,33–1,45, alle p&lt;0,001). Vier identifizierte Frailty-Trajektoren zeigten generell erhöhte Osteoporose-Risiken. Nichtlineare Analysen wiesen Schwellenwerteffekte auf (steilere Anstiege bei niedrigeren FI-Werten). Griffstärke vermittelte Assoziation partiell.</w:t>
      </w:r>
    </w:p>
    <w:p>
      <w:r>
        <w:rPr>
          <w:b/>
          <w:sz w:val="19"/>
        </w:rPr>
        <w:t xml:space="preserve">Übertragbarkeit: </w:t>
      </w:r>
      <w:r>
        <w:rPr>
          <w:sz w:val="19"/>
        </w:rPr>
        <w:t>Europäische und US-Kohorten; Frailty Index und Osteoporose-Definitions vergleichbar international</w:t>
      </w:r>
    </w:p>
    <w:p>
      <w:r>
        <w:rPr>
          <w:color w:val="5A7D3A"/>
          <w:sz w:val="18"/>
        </w:rPr>
        <w:t>https://pubmed.ncbi.nlm.nih.gov/42895262/</w:t>
      </w:r>
    </w:p>
    <w:p>
      <w:pPr>
        <w:pStyle w:val="Heading2"/>
      </w:pPr>
      <w:r>
        <w:t>Schädlicher Alkoholkonsum bei älteren Sturzpatienten häufig, mit Hyponatriämie assoziiert</w:t>
      </w:r>
    </w:p>
    <w:p>
      <w:r>
        <w:rPr>
          <w:i/>
          <w:color w:val="666666"/>
          <w:sz w:val="18"/>
        </w:rPr>
        <w:t>Rogmark C et al.  ·  Acta Orthop  ·  19.10.2026  ·  PMID 42894497</w:t>
      </w:r>
    </w:p>
    <w:p>
      <w:r>
        <w:t>Prospektive Kohortenstudie bei 505 Personen ≥65 Jahren mit akuter Sturz-bedingter Fraktur (Februar 2023–August 2024), die Phosphatidylethanol (PEth) als objektiven Marker für chronischen Alkoholkonsum zur Risikostratifizierung nutzte.</w:t>
      </w:r>
    </w:p>
    <w:p>
      <w:r>
        <w:rPr>
          <w:b/>
        </w:rPr>
        <w:t xml:space="preserve">Ergebnis: </w:t>
      </w:r>
      <w:r>
        <w:t>13% zeigten schädlichen Alkoholkonsum (PEth &gt;0,30 µmol/L), 8,9% intermediären Konsum (0,05–0,30), 78% keinen/niedrigen Konsum (&lt;0,05). Von nicht-frailen Patienten hatten 18% schädlichen und 11% intermediären Konsum. In der propensity-score-gematchten Kohorte: Alkoholkonsum assoziiert mit höherer Hyponatriämie-Wahrscheinlichkeit (OR 2,3; 95%-KI 1,1–4,5; p=0,02). Trend zu niedrigerer 90-Tages-Mortalität (OR 0,2; 95%-KI 0,1–1,0; p=0,05).</w:t>
      </w:r>
    </w:p>
    <w:p>
      <w:r>
        <w:rPr>
          <w:b/>
          <w:sz w:val="19"/>
        </w:rPr>
        <w:t xml:space="preserve">Übertragbarkeit: </w:t>
      </w:r>
      <w:r>
        <w:rPr>
          <w:sz w:val="19"/>
        </w:rPr>
        <w:t>Schweden (Lund/Malmö); Trauma-Management und Frailty-Screening vergleichbar mit Deutschland</w:t>
      </w:r>
    </w:p>
    <w:p>
      <w:r>
        <w:rPr>
          <w:color w:val="5A7D3A"/>
          <w:sz w:val="18"/>
        </w:rPr>
        <w:t>https://pubmed.ncbi.nlm.nih.gov/42894497/</w:t>
      </w:r>
    </w:p>
    <w:p>
      <w:pPr>
        <w:pStyle w:val="Heading2"/>
      </w:pPr>
      <w:r>
        <w:t>Soziale Kontakte fördern Grundfähigkeiten im Alter weltweit</w:t>
      </w:r>
    </w:p>
    <w:p>
      <w:r>
        <w:rPr>
          <w:i/>
          <w:color w:val="666666"/>
          <w:sz w:val="18"/>
        </w:rPr>
        <w:t>Lai ETC et al.  ·  Lancet Healthy Longev  ·  12.10.2026  ·  PMID 42863480</w:t>
      </w:r>
    </w:p>
    <w:p>
      <w:r>
        <w:t>Harmonisierte Längsschnittstudie zu 39.021 Personen ab 50 Jahren aus fünf Kohorten (USA, England, Europa, China, Japan), die den Zusammenhang zwischen sozialer Vernetzung und intrinsischer Kapazität (fünf Domänen: Kognition, Psyche, Sinne, Bewegung, Vitalität) untersuchte.</w:t>
      </w:r>
    </w:p>
    <w:p>
      <w:r>
        <w:rPr>
          <w:b/>
        </w:rPr>
        <w:t xml:space="preserve">Ergebnis: </w:t>
      </w:r>
      <w:r>
        <w:t>Höhere baseline soziale Vernetzung korrelierte mit besserer gesamter intrinsischer Kapazität (β=0,04 SD pro Punkt; 95%-KI 0,03–0,06). Stärkste Assoziationen zeigten sich in psychologischer (β=0,05 SD) und kognitiver Domäne (β=0,03 SD), beide p&lt;0,001. Soziale Partizipation und Partnerschaft waren am konsistentesten mit höherer Kapazität assoziiert. Baseline-Vernetzung sagte jedoch keine unterschiedlichen Raten des Funktionsverfalls über Follow-up voraus (β=0,0024 SD/Jahr; 95%-KI −0,0004 bis 0,0053).</w:t>
      </w:r>
    </w:p>
    <w:p>
      <w:r>
        <w:rPr>
          <w:b/>
          <w:sz w:val="19"/>
        </w:rPr>
        <w:t xml:space="preserve">Übertragbarkeit: </w:t>
      </w:r>
      <w:r>
        <w:rPr>
          <w:sz w:val="19"/>
        </w:rPr>
        <w:t>England und europäische Kohorten, vergleichbare Altersstrukturen und Sozialversicherungssysteme (SHARE-Daten)</w:t>
      </w:r>
    </w:p>
    <w:p>
      <w:r>
        <w:rPr>
          <w:color w:val="5A7D3A"/>
          <w:sz w:val="18"/>
        </w:rPr>
        <w:t>https://pubmed.ncbi.nlm.nih.gov/42863480/</w:t>
      </w:r>
    </w:p>
    <w:p>
      <w:pPr>
        <w:pStyle w:val="Heading2"/>
      </w:pPr>
      <w:r>
        <w:t>Bessere Grundfähigkeiten in neueren Generationen Europas – aber mit wachsenden Ungleichheiten</w:t>
      </w:r>
    </w:p>
    <w:p>
      <w:r>
        <w:rPr>
          <w:i/>
          <w:color w:val="666666"/>
          <w:sz w:val="18"/>
        </w:rPr>
        <w:t>Beard JR et al.  ·  Lancet Healthy Longev  ·  09.10.2026  ·  PMID 42854708</w:t>
      </w:r>
    </w:p>
    <w:p>
      <w:r>
        <w:t>Analyse von sieben Wellen der SHARE-Studie (2004–2022) bei 80.105 Personen ab 50 Jahren aus zehn europäischen Ländern zur Entwicklung der intrinsischen Kapazität über Geburtskohorten.</w:t>
      </w:r>
    </w:p>
    <w:p>
      <w:r>
        <w:rPr>
          <w:b/>
        </w:rPr>
        <w:t xml:space="preserve">Ergebnis: </w:t>
      </w:r>
      <w:r>
        <w:t>Neuere Geburtskohorten zeigten bei Studieneintritt höhere intrinsische Kapazität (Geburtsjahrkoeffizient 0,797; 95%-KI 0,780–0,815, p&lt;0,0001) und langsamere 10-Jahres-Rückgänge (0,426; 95%-KI 0,372–0,480, p&lt;0,0001). Frauen verzeichneten größere Gewinne als Männer. Länder mit niedrigerer Ausgangskapazität (z. B. Italien) zeigten größere Verbesserungen, aber kleinere Verlangsamungen im Rückgang. Höherer sozioökonomischer Status war mit größeren Gewinnen assoziiert, was Ungleichheiten verschärfte.</w:t>
      </w:r>
    </w:p>
    <w:p>
      <w:r>
        <w:rPr>
          <w:b/>
          <w:sz w:val="19"/>
        </w:rPr>
        <w:t xml:space="preserve">Übertragbarkeit: </w:t>
      </w:r>
      <w:r>
        <w:rPr>
          <w:sz w:val="19"/>
        </w:rPr>
        <w:t>10 europäische SHARE-Länder inklusive Deutschland; direkt auf deutsches Gesundheitssystem übertragbar</w:t>
      </w:r>
    </w:p>
    <w:p>
      <w:r>
        <w:rPr>
          <w:color w:val="5A7D3A"/>
          <w:sz w:val="18"/>
        </w:rPr>
        <w:t>https://pubmed.ncbi.nlm.nih.gov/42854708/</w:t>
      </w:r>
    </w:p>
    <w:p>
      <w:pPr>
        <w:pStyle w:val="Heading1"/>
      </w:pPr>
      <w:r>
        <w:t>Aufgenommen am 19.10.2026</w:t>
      </w:r>
    </w:p>
    <w:p>
      <w:pPr>
        <w:pStyle w:val="Heading2"/>
      </w:pPr>
      <w:r>
        <w:t>Geriatrische Schulungslücken in ambulanter Versorgung: Bedarfsanalyse aus 41 europäischen Ländern</w:t>
      </w:r>
    </w:p>
    <w:p>
      <w:r>
        <w:rPr>
          <w:i/>
          <w:color w:val="666666"/>
          <w:sz w:val="18"/>
        </w:rPr>
        <w:t>Kravvariti E et al.  ·  Age Ageing  ·  03.08.2026  ·  PMID 42891966</w:t>
      </w:r>
    </w:p>
    <w:p>
      <w:r>
        <w:t>Querschnittsbefragung von 2380 Fachkräften (Ärzte, Pflege, Diätassistenten, Therapeuten) aus Ambulanzen und häuslichen Diensten zur Selbsteinschätzung ihres Wissensstands bei 33 geriatrischen Themen.</w:t>
      </w:r>
    </w:p>
    <w:p>
      <w:r>
        <w:rPr>
          <w:b/>
        </w:rPr>
        <w:t xml:space="preserve">Ergebnis: </w:t>
      </w:r>
      <w:r>
        <w:t>Erhebliche Wissenslücken in allen Berufsgruppen: Umfassendes geriatrisches Assessment, Frailty-Screening, Polymedikation und Deprescribing, Sarkopenie, Dysphagie sowie Verhaltens- und Depressionssymptome bei Demenz zählten zu den Top-Defiziten. Profession-spezifische Prioritäten: Kommunikation und Vorsorgeverfügungen für Pflege, Deprescribing für Ärzte und Apotheker, Ernährungsassessment für Diätassistenten.</w:t>
      </w:r>
    </w:p>
    <w:p>
      <w:r>
        <w:rPr>
          <w:b/>
          <w:sz w:val="19"/>
        </w:rPr>
        <w:t xml:space="preserve">Übertragbarkeit: </w:t>
      </w:r>
      <w:r>
        <w:rPr>
          <w:sz w:val="19"/>
        </w:rPr>
        <w:t>41 europäische Länder, direkt relevant für deutschsprachigen Raum und Versorgungsstrukturen</w:t>
      </w:r>
    </w:p>
    <w:p>
      <w:r>
        <w:rPr>
          <w:color w:val="5A7D3A"/>
          <w:sz w:val="18"/>
        </w:rPr>
        <w:t>https://pubmed.ncbi.nlm.nih.gov/42891966/</w:t>
      </w:r>
    </w:p>
    <w:p>
      <w:pPr>
        <w:pStyle w:val="Heading2"/>
      </w:pPr>
      <w:r>
        <w:t>Elektronischer Frailty-Index sagt Sterblichkeit bei älteren Menschen voraus</w:t>
      </w:r>
    </w:p>
    <w:p>
      <w:r>
        <w:rPr>
          <w:i/>
          <w:color w:val="666666"/>
          <w:sz w:val="18"/>
        </w:rPr>
        <w:t>Du X et al.  ·  Front Public Health  ·  02.10.2026  ·  PMID 42890831</w:t>
      </w:r>
    </w:p>
    <w:p>
      <w:r>
        <w:t>Systematische Übersichtsarbeit und Meta-Analyse von 12 Studien (13 Kohorten mit 11 Hazard-Ratio- und 2 Odds-Ratio-Analysen) zur Assoziation zwischen elektronischem Frailty-Index (eFI) und Mortalität.</w:t>
      </w:r>
    </w:p>
    <w:p>
      <w:r>
        <w:rPr>
          <w:b/>
        </w:rPr>
        <w:t xml:space="preserve">Ergebnis: </w:t>
      </w:r>
      <w:r>
        <w:t>Dosisabhängige Assoziation: Milde Frailty (HR 1,81), moderate Frailty (HR 2,95) und schwere Frailty (HR 4,41) gegenüber nicht-frailer Gruppe. Erhebliche Heterogenität zwischen Studien je nach Nachbeobachtungsdauer, eFI-Schwellenwert und Studienumfeld. eFI scheint nützlich für Frailty-Screening und Risikostratifizierung, aber Ergebnisse erfordern vorsichtige Interpretation.</w:t>
      </w:r>
    </w:p>
    <w:p>
      <w:r>
        <w:rPr>
          <w:b/>
          <w:sz w:val="19"/>
        </w:rPr>
        <w:t xml:space="preserve">Übertragbarkeit: </w:t>
      </w:r>
      <w:r>
        <w:rPr>
          <w:sz w:val="19"/>
        </w:rPr>
        <w:t>UK Biobank und andere, elektronische Gesundheitsregisterdaten wie in Deutschland verfügbar</w:t>
      </w:r>
    </w:p>
    <w:p>
      <w:r>
        <w:rPr>
          <w:color w:val="5A7D3A"/>
          <w:sz w:val="18"/>
        </w:rPr>
        <w:t>https://pubmed.ncbi.nlm.nih.gov/42890831/</w:t>
      </w:r>
    </w:p>
    <w:p>
      <w:pPr>
        <w:pStyle w:val="Heading2"/>
      </w:pPr>
      <w:r>
        <w:t>Orale Frailty bei älteren Menschen mit Multimorbidität: Prävalenz 71,2%, verknüpft mit körperlicher Frailty</w:t>
      </w:r>
    </w:p>
    <w:p>
      <w:r>
        <w:rPr>
          <w:i/>
          <w:color w:val="666666"/>
          <w:sz w:val="18"/>
        </w:rPr>
        <w:t>Zhou Y et al.  ·  Front Public Health  ·  02.10.2026  ·  PMID 42890626</w:t>
      </w:r>
    </w:p>
    <w:p>
      <w:r>
        <w:t>Querschnittsstudie von 393 Personen ≥60 Jahre mit ≥1 chronischer Erkrankung in Nordostchina zur Prävalenz oraler Frailty mittels Oral Frailty Index-8 (OFI-8) und assoziierten Faktoren.</w:t>
      </w:r>
    </w:p>
    <w:p>
      <w:r>
        <w:rPr>
          <w:b/>
        </w:rPr>
        <w:t xml:space="preserve">Ergebnis: </w:t>
      </w:r>
      <w:r>
        <w:t>71,2% (n=280) orale Frailty (OFI-8: 5,61±2,58). Häufigste Items: Schwierigkeiten mit harter Nahrung 62,3%, Verschlucken 48,6%, Mundtrockenheit 45,8%. Unabhängig assoziiert: höheres Alter, weibliches Geschlecht, niedriges Einkommen, niedriger/hoher BMI, Alkoholkonsum, körperliche Frailty, Schlafstörung, negative Altersattitude, ≥3 Erkrankungen, Diabetes (alle p&lt;0,05).</w:t>
      </w:r>
    </w:p>
    <w:p>
      <w:r>
        <w:rPr>
          <w:b/>
          <w:sz w:val="19"/>
        </w:rPr>
        <w:t xml:space="preserve">Übertragbarkeit: </w:t>
      </w:r>
      <w:r>
        <w:rPr>
          <w:sz w:val="19"/>
        </w:rPr>
        <w:t>China, ethnische Minderheit – überwiegend strukturelle Befunde, Screening-Befund direkt relevant</w:t>
      </w:r>
    </w:p>
    <w:p>
      <w:r>
        <w:rPr>
          <w:color w:val="5A7D3A"/>
          <w:sz w:val="18"/>
        </w:rPr>
        <w:t>https://pubmed.ncbi.nlm.nih.gov/42890626/</w:t>
      </w:r>
    </w:p>
    <w:p>
      <w:pPr>
        <w:pStyle w:val="Heading2"/>
      </w:pPr>
      <w:r>
        <w:t>Frailty mit multilokulalen Schmerzen vergesellschaftet, teilweise durch Depression vermittelt</w:t>
      </w:r>
    </w:p>
    <w:p>
      <w:r>
        <w:rPr>
          <w:i/>
          <w:color w:val="666666"/>
          <w:sz w:val="18"/>
        </w:rPr>
        <w:t>Cheng Y et al.  ·  Medicine (Baltimore)  ·  16.10.2026  ·  PMID 42888628</w:t>
      </w:r>
    </w:p>
    <w:p>
      <w:r>
        <w:t>Querschnittsanalyse von 5281 Personen ≥45 Jahre aus China Health and Retirement Longitudinal Study zu Assoziation zwischen korrigiertem modifiziertem Frailty-Index (CMFI) und chronischen Schmerzen mit Mediationsanalyse.</w:t>
      </w:r>
    </w:p>
    <w:p>
      <w:r>
        <w:rPr>
          <w:b/>
        </w:rPr>
        <w:t xml:space="preserve">Ergebnis: </w:t>
      </w:r>
      <w:r>
        <w:t>Höherer CMFI stark mit erhöhtem Schmerz-Risiko assoziiert: Höchstes vs. niedrigstes CMFI-Quartil zeigte 11,6-fach erhöhtes Risiko für Kreuzschmerzen, 17,0-fach für Multisite-Schmerzen und 11,5-fach höhere Schmerzlokalisationen. Depression vermittelte ca. 30% dieser Assoziationen. Unterschiede nach Alter, Bildung und Wohnort.</w:t>
      </w:r>
    </w:p>
    <w:p>
      <w:r>
        <w:rPr>
          <w:b/>
          <w:sz w:val="19"/>
        </w:rPr>
        <w:t xml:space="preserve">Übertragbarkeit: </w:t>
      </w:r>
      <w:r>
        <w:rPr>
          <w:sz w:val="19"/>
        </w:rPr>
        <w:t>China, vergleichbare Altersstruktur – Befunde aber nicht direkt auf deutsche Sozialversicherung übertragbar</w:t>
      </w:r>
    </w:p>
    <w:p>
      <w:r>
        <w:rPr>
          <w:color w:val="5A7D3A"/>
          <w:sz w:val="18"/>
        </w:rPr>
        <w:t>https://pubmed.ncbi.nlm.nih.gov/42888628/</w:t>
      </w:r>
    </w:p>
    <w:p>
      <w:pPr>
        <w:pStyle w:val="Heading2"/>
      </w:pPr>
      <w:r>
        <w:t>Höhere Frailty mit schlechterer Herzgesundheit: Dosis-Wirkungs-Beziehung in US-Stichprobe</w:t>
      </w:r>
    </w:p>
    <w:p>
      <w:r>
        <w:rPr>
          <w:i/>
          <w:color w:val="666666"/>
          <w:sz w:val="18"/>
        </w:rPr>
        <w:t>Yan W et al.  ·  Medicine (Baltimore)  ·  16.10.2026  ·  PMID 42888560</w:t>
      </w:r>
    </w:p>
    <w:p>
      <w:r>
        <w:t>Querschnittsanalyse von 8015 Erwachsenen ≥20 Jahre aus NHANES 2007–2018 zur Assoziation zwischen Frailty-Index und kardiovaskulärer Gesundheit nach American Heart Association Definition.</w:t>
      </w:r>
    </w:p>
    <w:p>
      <w:r>
        <w:rPr>
          <w:b/>
        </w:rPr>
        <w:t xml:space="preserve">Ergebnis: </w:t>
      </w:r>
      <w:r>
        <w:t>Höhere Frailty-Niveaus linear mit erhöhtem Risiko schlechter kardiovaskulärer Gesundheit assoziiert (dosisabhängig). Serum-25(OH)D-Level unabhängig invers mit schlechter kardiovaskulärer Gesundheit assoziiert. Keine statistisch signifikante multiplikative Interaktion zwischen Frailty und 25(OH)D. Assoziationen variierten nach Geschlecht und 25(OH)D-Status.</w:t>
      </w:r>
    </w:p>
    <w:p>
      <w:r>
        <w:rPr>
          <w:b/>
          <w:sz w:val="19"/>
        </w:rPr>
        <w:t xml:space="preserve">Übertragbarkeit: </w:t>
      </w:r>
      <w:r>
        <w:rPr>
          <w:sz w:val="19"/>
        </w:rPr>
        <w:t>USA, aber Frailty-Kardiovaskularität-Assoziation prinzipiell übertragbar</w:t>
      </w:r>
    </w:p>
    <w:p>
      <w:r>
        <w:rPr>
          <w:color w:val="5A7D3A"/>
          <w:sz w:val="18"/>
        </w:rPr>
        <w:t>https://pubmed.ncbi.nlm.nih.gov/42888560/</w:t>
      </w:r>
    </w:p>
    <w:p>
      <w:pPr>
        <w:pStyle w:val="Heading2"/>
      </w:pPr>
      <w:r>
        <w:t>Handgriffkraft und Stuhlaufstehen als Functional-Indikatoren: Methodische Vorbehalte bei multizentrischen Studien</w:t>
      </w:r>
    </w:p>
    <w:p>
      <w:r>
        <w:rPr>
          <w:i/>
          <w:color w:val="666666"/>
          <w:sz w:val="18"/>
        </w:rPr>
        <w:t>Kudratova Z et al.  ·  Aging Clin Exp Res  ·  15.10.2026  ·  PMID 42875631</w:t>
      </w:r>
    </w:p>
    <w:p>
      <w:r>
        <w:t>Methodologischer Kommentar zu Prospektivanalyse über kumulative Handgriffkraft und erfolgreiches Altern in drei internationalen Kohorten, kritische Bewertung von Studiendesign und Vergleichbarkeit.</w:t>
      </w:r>
    </w:p>
    <w:p>
      <w:r>
        <w:rPr>
          <w:b/>
        </w:rPr>
        <w:t xml:space="preserve">Ergebnis: </w:t>
      </w:r>
      <w:r>
        <w:t>Handgriffkraft erfasst nicht alle funktionellen Determinanten erfolgreiches Alterns. Selbstberichtete chronische Erkrankungen verursachen Klassifizierungsfehler (unterschiedlich nach Sozioökonomie). Zwei-Phasen-Temporaldesign adressiert Selektionsbias und Kohortengrenzen unzureichend. Kohorten-relatives kognitives Schwellenwert gefährdet Bevölkerungsvergleichbarkeit. Empfehlung: stärkere methodologische Reflexion und Standardisierung.</w:t>
      </w:r>
    </w:p>
    <w:p>
      <w:r>
        <w:rPr>
          <w:b/>
          <w:sz w:val="19"/>
        </w:rPr>
        <w:t xml:space="preserve">Übertragbarkeit: </w:t>
      </w:r>
      <w:r>
        <w:rPr>
          <w:sz w:val="19"/>
        </w:rPr>
        <w:t>Internationale Kohorten (USA, Asien, Europa), Methoden-Review – Design-Kritik grundsätzlich relevant</w:t>
      </w:r>
    </w:p>
    <w:p>
      <w:r>
        <w:rPr>
          <w:color w:val="5A7D3A"/>
          <w:sz w:val="18"/>
        </w:rPr>
        <w:t>https://pubmed.ncbi.nlm.nih.gov/42875631/</w:t>
      </w:r>
    </w:p>
    <w:p>
      <w:pPr>
        <w:pStyle w:val="Heading1"/>
      </w:pPr>
      <w:r>
        <w:t>Aufgenommen am 18.10.2026</w:t>
      </w:r>
    </w:p>
    <w:p>
      <w:pPr>
        <w:pStyle w:val="Heading2"/>
      </w:pPr>
      <w:r>
        <w:t>Krafttraining senkt Gebrechlichkeit im Alter stärker als Gehen oder Tai Chi</w:t>
      </w:r>
    </w:p>
    <w:p>
      <w:r>
        <w:rPr>
          <w:i/>
          <w:color w:val="666666"/>
          <w:sz w:val="18"/>
        </w:rPr>
        <w:t>Li J et al.  ·  Front Public Health  ·  02.10.2026  ·  PMID 42891303</w:t>
      </w:r>
    </w:p>
    <w:p>
      <w:r>
        <w:t>Systematische Übersicht mit Metaanalyse von randomisierten Studien zu Krafttraining, Gehen und Tai Chi bei älteren Menschen mit Gebrechlichkeit (Frailty).</w:t>
      </w:r>
    </w:p>
    <w:p>
      <w:r>
        <w:rPr>
          <w:b/>
        </w:rPr>
        <w:t xml:space="preserve">Ergebnis: </w:t>
      </w:r>
      <w:r>
        <w:t>Bei 1.361 Teilnehmern zeigte Krafttraining eine signifikante Reduktion von Gebrechlichkeit (SMD = -0,78, 95%-KI -1,22 bis -0,35), während Gehen und Tai Chi keine statistisch signifikanten Effekte aufwiesen. Heterogenität war erheblich (I² = 88%), und optimale Dosierungsempfehlungen konnten nicht abgeleitet werden.</w:t>
      </w:r>
    </w:p>
    <w:p>
      <w:r>
        <w:rPr>
          <w:b/>
          <w:sz w:val="19"/>
        </w:rPr>
        <w:t xml:space="preserve">Übertragbarkeit: </w:t>
      </w:r>
      <w:r>
        <w:rPr>
          <w:sz w:val="19"/>
        </w:rPr>
        <w:t>Internationale Evidenz, direkt auf deutsches Versorgungssystem übertragbar</w:t>
      </w:r>
    </w:p>
    <w:p>
      <w:r>
        <w:rPr>
          <w:color w:val="5A7D3A"/>
          <w:sz w:val="18"/>
        </w:rPr>
        <w:t>https://pubmed.ncbi.nlm.nih.gov/42891303/</w:t>
      </w:r>
    </w:p>
    <w:p>
      <w:pPr>
        <w:pStyle w:val="Heading1"/>
      </w:pPr>
      <w:r>
        <w:t>Aufgenommen am 17.10.2026</w:t>
      </w:r>
    </w:p>
    <w:p>
      <w:pPr>
        <w:pStyle w:val="Heading2"/>
      </w:pPr>
      <w:r>
        <w:t>Vitamin-D-Mangel und Frailty-Risiko im Alter: Assoziationen in USA-Daten</w:t>
      </w:r>
    </w:p>
    <w:p>
      <w:r>
        <w:rPr>
          <w:i/>
          <w:color w:val="666666"/>
          <w:sz w:val="18"/>
        </w:rPr>
        <w:t>Zheng J et al.  ·  Aging Male  ·  31.12.2026  ·  PMID 42886648</w:t>
      </w:r>
    </w:p>
    <w:p>
      <w:r>
        <w:t>Querschnittanalyse von 8.064 US-Amerikanern über 40 Jahren, untersucht die Beziehung zwischen Serum-Vitamin-D und Gebrechlichkeit mit einem 49-Item-Frailty-Index.</w:t>
      </w:r>
    </w:p>
    <w:p>
      <w:r>
        <w:rPr>
          <w:b/>
        </w:rPr>
        <w:t xml:space="preserve">Ergebnis: </w:t>
      </w:r>
      <w:r>
        <w:t>Vitamin-D-Mangel (&lt;25 nmol/L) war mit erhöhtem Frailty-Risiko assoziiert (OR 2,15, 95% CI 1,42–3,25), während Insuffizienz nicht signifikant war (OR 1,15, 95% CI 0,95–1,38). Gebrechlichkeitsprävalenz: Mangel 55,9%, Insuffizienz 42,9%, ausreichend 37,2%. U-förmiger Zusammenhang zwischen Vitamin-D und Frailty-Index.</w:t>
      </w:r>
    </w:p>
    <w:p>
      <w:r>
        <w:rPr>
          <w:b/>
          <w:sz w:val="19"/>
        </w:rPr>
        <w:t xml:space="preserve">Übertragbarkeit: </w:t>
      </w:r>
      <w:r>
        <w:rPr>
          <w:sz w:val="19"/>
        </w:rPr>
        <w:t>USA-Daten, aber Assoziationsfrage unabhängig von Gesundheitssystem, große bevölkerungsrepräsentative Stichprobe.</w:t>
      </w:r>
    </w:p>
    <w:p>
      <w:r>
        <w:rPr>
          <w:color w:val="5A7D3A"/>
          <w:sz w:val="18"/>
        </w:rPr>
        <w:t>https://pubmed.ncbi.nlm.nih.gov/42886648/</w:t>
      </w:r>
    </w:p>
    <w:p>
      <w:pPr>
        <w:pStyle w:val="Heading2"/>
      </w:pPr>
      <w:r>
        <w:t>Mundgesundheit und Gebrechlichkeit im Alter: Geschlechtsunterschiede</w:t>
      </w:r>
    </w:p>
    <w:p>
      <w:r>
        <w:rPr>
          <w:i/>
          <w:color w:val="666666"/>
          <w:sz w:val="18"/>
        </w:rPr>
        <w:t>Yang JE et al.  ·  PLoS One  ·  16.10.2026  ·  PMID 42886645</w:t>
      </w:r>
    </w:p>
    <w:p>
      <w:r>
        <w:t>Südkoreanische Querschnittstudie mit 3.729 älteren Menschen (≥65 Jahre) untersucht Assoziationen zwischen Mundgesundheit und Frailty-Status (robust, Prä-Frailty, Frailty).</w:t>
      </w:r>
    </w:p>
    <w:p>
      <w:r>
        <w:rPr>
          <w:b/>
        </w:rPr>
        <w:t xml:space="preserve">Ergebnis: </w:t>
      </w:r>
      <w:r>
        <w:t>16% waren gebrechlich, 84% nicht gebrechlich. Zahnlosigkeit ohne Zahnersatz war stärkster Faktor (Frauen: OR 3,76; Männer: OR 2,95). Zahnlosigkeit, Kau-/Schluckstörungen und Zahnschmerzen waren signifikant mit Frailty assoziiert. Geschlechtsspezifische Unterschiede: Zahnempfindlichkeit erhöhte Frailty-Risiko bei Frauen (OR 1,82), senkte es bei Männern (OR 0,85).</w:t>
      </w:r>
    </w:p>
    <w:p>
      <w:r>
        <w:rPr>
          <w:b/>
          <w:sz w:val="19"/>
        </w:rPr>
        <w:t xml:space="preserve">Übertragbarkeit: </w:t>
      </w:r>
      <w:r>
        <w:rPr>
          <w:sz w:val="19"/>
        </w:rPr>
        <w:t>Korea, Datenqualität hoch, aber Übertragbarkeit auf Deutschland eingeschränkt durch unterschiedliche Zahnversorgung und Mundgesundheit.</w:t>
      </w:r>
    </w:p>
    <w:p>
      <w:r>
        <w:rPr>
          <w:color w:val="5A7D3A"/>
          <w:sz w:val="18"/>
        </w:rPr>
        <w:t>https://pubmed.ncbi.nlm.nih.gov/42886645/</w:t>
      </w:r>
    </w:p>
    <w:p>
      <w:pPr>
        <w:pStyle w:val="Heading2"/>
      </w:pPr>
      <w:r>
        <w:t>Ernährungsinterventionen bei Mangelernährung, Sarkopenie und Frailty im Alter</w:t>
      </w:r>
    </w:p>
    <w:p>
      <w:r>
        <w:rPr>
          <w:i/>
          <w:color w:val="666666"/>
          <w:sz w:val="18"/>
        </w:rPr>
        <w:t>Khalaf H et al.  ·  Nutrients  ·  27.09.2026  ·  PMID 42884640</w:t>
      </w:r>
    </w:p>
    <w:p>
      <w:r>
        <w:t>Narrative Übersichtsarbeit zur Evidenz für Ernährungsmassnahmen (Food First, Lebensmittelfortifikation, orale Nahrungsergänzungen) bei älteren Menschen und Pflegeheimbewohnern.</w:t>
      </w:r>
    </w:p>
    <w:p>
      <w:r>
        <w:rPr>
          <w:b/>
        </w:rPr>
        <w:t xml:space="preserve">Ergebnis: </w:t>
      </w:r>
      <w:r>
        <w:t>Lebensmittelfortifikation erhöht effektiv Energie- und Proteinaufnahme; orale Nahrungsergänzungen (ONS) verbessern BMI und Alltagsfunktion und senken Hospitalisierungsraten. Multimodale Ansätze (Ernährung plus Bewegung) sind wirksamer; geringe Therapieadhärenz bleibt Barriere. Food-First-Ansatz in Kombination mit ONS zeigt beste Ergebnisse.</w:t>
      </w:r>
    </w:p>
    <w:p>
      <w:r>
        <w:rPr>
          <w:b/>
          <w:sz w:val="19"/>
        </w:rPr>
        <w:t xml:space="preserve">Übertragbarkeit: </w:t>
      </w:r>
      <w:r>
        <w:rPr>
          <w:sz w:val="19"/>
        </w:rPr>
        <w:t>UK/Europa-Daten, transferierbar auf deutschsprachige Pflegeheimversorgung.</w:t>
      </w:r>
    </w:p>
    <w:p>
      <w:r>
        <w:rPr>
          <w:color w:val="5A7D3A"/>
          <w:sz w:val="18"/>
        </w:rPr>
        <w:t>https://pubmed.ncbi.nlm.nih.gov/42884640/</w:t>
      </w:r>
    </w:p>
    <w:p>
      <w:pPr>
        <w:pStyle w:val="Heading2"/>
      </w:pPr>
      <w:r>
        <w:t>Hochverarbeitete Lebensmittel und Frailty im Alter: Assoziationen in Südkorea</w:t>
      </w:r>
    </w:p>
    <w:p>
      <w:r>
        <w:rPr>
          <w:i/>
          <w:color w:val="666666"/>
          <w:sz w:val="18"/>
        </w:rPr>
        <w:t>Lee H et al.  ·  Nutrients  ·  23.09.2026  ·  PMID 42884586</w:t>
      </w:r>
    </w:p>
    <w:p>
      <w:r>
        <w:t>Querschnittanalyse von 9.861 südkoreanischen Älteren (≥65 Jahre) untersucht die Beziehung zwischen Anteil hochverarbeiteter Lebensmittel (UPF) an der Gesamtenergieaufnahme und Gebrechlichkeit.</w:t>
      </w:r>
    </w:p>
    <w:p>
      <w:r>
        <w:rPr>
          <w:b/>
        </w:rPr>
        <w:t xml:space="preserve">Ergebnis: </w:t>
      </w:r>
      <w:r>
        <w:t>Höchstes Quartil UPF-Energieanteil zeigte 31% höheres Frailty-Risiko als niedrigstes (OR 1,31, 95% CI 1,08–1,59, p=0,002). Besondere Assoziation mit niedriger körperlicher Aktivität (OR 1,31, 95% CI 1,13–1,51). Linearer Dosis-Wirkungs-Zusammenhang (keine Nicht-Linearität, p=0,8).</w:t>
      </w:r>
    </w:p>
    <w:p>
      <w:r>
        <w:rPr>
          <w:b/>
          <w:sz w:val="19"/>
        </w:rPr>
        <w:t xml:space="preserve">Übertragbarkeit: </w:t>
      </w:r>
      <w:r>
        <w:rPr>
          <w:sz w:val="19"/>
        </w:rPr>
        <w:t>Korea, Ernährungsassoziationen sind kulturabhängig und weniger auf Deutschland übertragbar als mediterrane oder nordeuropäische Diätmuster.</w:t>
      </w:r>
    </w:p>
    <w:p>
      <w:r>
        <w:rPr>
          <w:color w:val="5A7D3A"/>
          <w:sz w:val="18"/>
        </w:rPr>
        <w:t>https://pubmed.ncbi.nlm.nih.gov/42884586/</w:t>
      </w:r>
    </w:p>
    <w:p>
      <w:pPr>
        <w:pStyle w:val="Heading2"/>
      </w:pPr>
      <w:r>
        <w:t>Alltagsmessung psychischer Symptome im älteren Alter: Machbarkeit und Prädiktoren</w:t>
      </w:r>
    </w:p>
    <w:p>
      <w:r>
        <w:rPr>
          <w:i/>
          <w:color w:val="666666"/>
          <w:sz w:val="18"/>
        </w:rPr>
        <w:t>Kang J et al.  ·  J Affect Disord  ·  01.01.2027  ·  PMID 42785391</w:t>
      </w:r>
    </w:p>
    <w:p>
      <w:r>
        <w:t>US-amerikanische Studie mit 64 älteren Erwachsenen (Durchschnittsalter 63,4 Jahre; 31 gesund, 33 mit Depression), die zweimal täglich über ~10 Wochen Symptome via Smartphone berichteten.</w:t>
      </w:r>
    </w:p>
    <w:p>
      <w:r>
        <w:rPr>
          <w:b/>
        </w:rPr>
        <w:t xml:space="preserve">Ergebnis: </w:t>
      </w:r>
      <w:r>
        <w:t>Gesamtausfallquote 76% (SD 22,1). Gesunde Teilnehmer zeigten höhere Compliance (81% vs. 71% bei Depression, p=0,04). Schnellere Antwortlatenz sagte höhere Adhärenz voraus. Rasche affektive Schwankungen am Anfang waren Prädiktoren niedriger Adhärenz. EMA ist mit Anpassungen im späteren Alter durchführbar.</w:t>
      </w:r>
    </w:p>
    <w:p>
      <w:r>
        <w:rPr>
          <w:b/>
          <w:sz w:val="19"/>
        </w:rPr>
        <w:t xml:space="preserve">Übertragbarkeit: </w:t>
      </w:r>
      <w:r>
        <w:rPr>
          <w:sz w:val="19"/>
        </w:rPr>
        <w:t>USA, Methode unabhängig von Gesundheitssystem, aber Adhärenz-Faktoren in älteren Erwachsenen noch wenig erforscht.</w:t>
      </w:r>
    </w:p>
    <w:p>
      <w:r>
        <w:rPr>
          <w:color w:val="5A7D3A"/>
          <w:sz w:val="18"/>
        </w:rPr>
        <w:t>https://pubmed.ncbi.nlm.nih.gov/42785391/</w:t>
      </w:r>
    </w:p>
    <w:p>
      <w:pPr>
        <w:pStyle w:val="Heading2"/>
      </w:pPr>
      <w:r>
        <w:t>Funktionsfähigkeit am Lebensende: Drei Verlaufsmuster in den letzten Lebensjahren</w:t>
      </w:r>
    </w:p>
    <w:p>
      <w:r>
        <w:rPr>
          <w:i/>
          <w:color w:val="666666"/>
          <w:sz w:val="18"/>
        </w:rPr>
        <w:t>Kyrönlahti S et al.  ·  J Gerontol A Biol Sci Med Sci  ·  06.10.2026  ·  PMID 42720597</w:t>
      </w:r>
    </w:p>
    <w:p>
      <w:r>
        <w:t>Schwedische Längsschnittstudie mit 2.294 älteren Menschen (62% Frauen, Durchschnittsalter 89,8 Jahre), die verfolgte, wie sich Alltagsfähigkeiten (ADL-Einschränkungen) zeitlich vor dem Tod entwickelten.</w:t>
      </w:r>
    </w:p>
    <w:p>
      <w:r>
        <w:rPr>
          <w:b/>
        </w:rPr>
        <w:t xml:space="preserve">Ergebnis: </w:t>
      </w:r>
      <w:r>
        <w:t>53% zeigten durchgehend niedrige ADL-Einschränkungen bis zum Tod, 36% einen flachen Anstieg und 11% einen steilen Anstieg. Frauen, niedriger gebildete Personen und älter Verstorbene hatten häufiger zunehmende Behinderung. Kognitives Defizit war mit steiler Verschlechterung assoziiert. Für die meisten blieb die funktionale Fähigkeit bis 2 Jahre vor dem Tod erhalten.</w:t>
      </w:r>
    </w:p>
    <w:p>
      <w:r>
        <w:rPr>
          <w:b/>
          <w:sz w:val="19"/>
        </w:rPr>
        <w:t xml:space="preserve">Übertragbarkeit: </w:t>
      </w:r>
      <w:r>
        <w:rPr>
          <w:sz w:val="19"/>
        </w:rPr>
        <w:t>Schwedische Daten, vergleichbare nordeuropäische Altersstruktur und Versorgungssystem.</w:t>
      </w:r>
    </w:p>
    <w:p>
      <w:r>
        <w:rPr>
          <w:color w:val="5A7D3A"/>
          <w:sz w:val="18"/>
        </w:rPr>
        <w:t>https://pubmed.ncbi.nlm.nih.gov/42720597/</w:t>
      </w:r>
    </w:p>
    <w:p>
      <w:pPr>
        <w:pStyle w:val="Heading1"/>
      </w:pPr>
      <w:r>
        <w:t>Aufgenommen am 16.10.2026</w:t>
      </w:r>
    </w:p>
    <w:p>
      <w:pPr>
        <w:pStyle w:val="Heading2"/>
      </w:pPr>
      <w:r>
        <w:t>Hörverfall in der Lebensmitte: Metabolische Gesundheit und Lärmexposition prägen Verlauf</w:t>
      </w:r>
    </w:p>
    <w:p>
      <w:r>
        <w:rPr>
          <w:i/>
          <w:color w:val="666666"/>
          <w:sz w:val="18"/>
        </w:rPr>
        <w:t>Smit AL et al.  ·  PLoS One  ·  15.10.2026  ·  PMID 42879410</w:t>
      </w:r>
    </w:p>
    <w:p>
      <w:r>
        <w:t>Sechsjährige Längsschnittstudie an 3.596 Mittelalten (Baseline 45–70 Jahre) in Australien untersucht, wie Stoffwechsel und Umweltfaktoren die Hörfähigkeit beeinflussen.</w:t>
      </w:r>
    </w:p>
    <w:p>
      <w:r>
        <w:rPr>
          <w:b/>
        </w:rPr>
        <w:t xml:space="preserve">Ergebnis: </w:t>
      </w:r>
      <w:r>
        <w:t>Hörschwellen verschlechterten sich über 6 Jahre; Prävalenz mild-oder-stärkerer Hörverlust stieg von 14 % auf 26 % (4FPTA) und 53 % auf 71 % (HFPTA). Größerer Verfall bei Männern und Hochfrequenzen. Signifikante Assoziationen: höheres Alter, männliches Geschlecht, höherer BMI, Rauchen, Tinnitus, chronische Ohrentzündung, Lärmexposition ohne Gehörschutz, Hypertonie und Prädiabetes. Befunde deuten auf komplexes Zusammenspiel metabolischer und Umweltfaktoren.</w:t>
      </w:r>
    </w:p>
    <w:p>
      <w:r>
        <w:rPr>
          <w:b/>
          <w:sz w:val="19"/>
        </w:rPr>
        <w:t xml:space="preserve">Übertragbarkeit: </w:t>
      </w:r>
      <w:r>
        <w:rPr>
          <w:sz w:val="19"/>
        </w:rPr>
        <w:t>Australien, vergleichbar Deutschland und Westeuropa; Gehörverlust in der Lebensmitte auch in Deutschland relevant.</w:t>
      </w:r>
    </w:p>
    <w:p>
      <w:r>
        <w:rPr>
          <w:color w:val="5A7D3A"/>
          <w:sz w:val="18"/>
        </w:rPr>
        <w:t>https://pubmed.ncbi.nlm.nih.gov/42879410/</w:t>
      </w:r>
    </w:p>
    <w:p>
      <w:pPr>
        <w:pStyle w:val="Heading2"/>
      </w:pPr>
      <w:r>
        <w:t>Frailty bei rheumatoider Arthritis: Häufig, prognostisch bedeutsam, teilweise modifizierbar</w:t>
      </w:r>
    </w:p>
    <w:p>
      <w:r>
        <w:rPr>
          <w:i/>
          <w:color w:val="666666"/>
          <w:sz w:val="18"/>
        </w:rPr>
        <w:t>Legge A et al.  ·  Curr Rheumatol Rep  ·  15.10.2026  ·  PMID 42878990</w:t>
      </w:r>
    </w:p>
    <w:p>
      <w:r>
        <w:t>Übersichtsarbeit zur Prävalenz, Messung und klinischen Bedeutung von Frailty bei rheumatoider Arthritis – ein häufiges Merkmal vorzeitigen Alterns.</w:t>
      </w:r>
    </w:p>
    <w:p>
      <w:r>
        <w:rPr>
          <w:b/>
        </w:rPr>
        <w:t xml:space="preserve">Ergebnis: </w:t>
      </w:r>
      <w:r>
        <w:t>Frailty betrifft etwa ein Drittel der RA-Patienten; Prävalenz variiert mit Messinstrument. Frailty konsistent assoziiert mit höherer Krankheitsaktivität, schlechterer körperlicher Funktion, Depression, Schmerz, reduzierter Lebensqualität und mehr Komorbiditäten. Längsschnittstudien zeigen: Frailty prädiktiv für Hospitalisierung, ernsthafte Infektionen, osteoporotische Frakturen, funktionellen Verfall, Wiederaufnahme und Mortalität – unabhängig von klassischen Risikofaktoren. Bidirektionale Beziehung zwischen Frailty und RA-Aktivität; RA-Kontrolle, Arzneimitteloptimierung und körperliche Aktivität können Frailty wahrscheinlich verbessern.</w:t>
      </w:r>
    </w:p>
    <w:p>
      <w:r>
        <w:rPr>
          <w:b/>
          <w:sz w:val="19"/>
        </w:rPr>
        <w:t xml:space="preserve">Übertragbarkeit: </w:t>
      </w:r>
      <w:r>
        <w:rPr>
          <w:sz w:val="19"/>
        </w:rPr>
        <w:t>Versorgungsfrage weltweit; Frailty-Assessment und -Interventionen universell anwendbar.</w:t>
      </w:r>
    </w:p>
    <w:p>
      <w:r>
        <w:rPr>
          <w:color w:val="5A7D3A"/>
          <w:sz w:val="18"/>
        </w:rPr>
        <w:t>https://pubmed.ncbi.nlm.nih.gov/42878990/</w:t>
      </w:r>
    </w:p>
    <w:p>
      <w:pPr>
        <w:pStyle w:val="Heading2"/>
      </w:pPr>
      <w:r>
        <w:t>Psychologische Folgen von Stürzen im Alter: internationale Konsensusdefinition</w:t>
      </w:r>
    </w:p>
    <w:p>
      <w:r>
        <w:rPr>
          <w:i/>
          <w:color w:val="666666"/>
          <w:sz w:val="18"/>
        </w:rPr>
        <w:t>Okrah AK et al.  ·  Age Ageing  ·  03.08.2026  ·  PMID 42878245</w:t>
      </w:r>
    </w:p>
    <w:p>
      <w:r>
        <w:t>Internationale Expertengruppe entwickelt erste formale Definition der psychologischen Schäden nach Stürzen älterer Menschen.</w:t>
      </w:r>
    </w:p>
    <w:p>
      <w:r>
        <w:rPr>
          <w:b/>
        </w:rPr>
        <w:t xml:space="preserve">Ergebnis: </w:t>
      </w:r>
      <w:r>
        <w:t>93 % (28/30) der Panel-Mitglieder bestätigten Bedarf für eine formale Definition. Konsensus erreicht in Runde 4 (n=48, 77,4%), stabilisiert in Runde 5 (n=49, 86,0%). Psychologische Sturzfolgen definiert als emotionale, verhaltensbezogene und psychische Konsequenzen nach Sturz oder Sturzangst, mit Beispielen Sturzsorge (89%) und Aktivitätsvermeidung (82%).</w:t>
      </w:r>
    </w:p>
    <w:p>
      <w:r>
        <w:rPr>
          <w:b/>
          <w:sz w:val="19"/>
        </w:rPr>
        <w:t xml:space="preserve">Übertragbarkeit: </w:t>
      </w:r>
      <w:r>
        <w:rPr>
          <w:sz w:val="19"/>
        </w:rPr>
        <w:t>UK, Australien, Deutschland – Sturzprävention ist universelle Versorgungsfrage.</w:t>
      </w:r>
    </w:p>
    <w:p>
      <w:r>
        <w:rPr>
          <w:color w:val="5A7D3A"/>
          <w:sz w:val="18"/>
        </w:rPr>
        <w:t>https://pubmed.ncbi.nlm.nih.gov/42878245/</w:t>
      </w:r>
    </w:p>
    <w:p>
      <w:pPr>
        <w:pStyle w:val="Heading2"/>
      </w:pPr>
      <w:r>
        <w:t>Soziale Teilhabe stärker mit gesundem Altern verbunden als einzelne Verhaltensweisen</w:t>
      </w:r>
    </w:p>
    <w:p>
      <w:r>
        <w:rPr>
          <w:i/>
          <w:color w:val="666666"/>
          <w:sz w:val="18"/>
        </w:rPr>
        <w:t>Sahab L et al.  ·  Front Public Health  ·  30.09.2026  ·  PMID 42876511</w:t>
      </w:r>
    </w:p>
    <w:p>
      <w:r>
        <w:t>Longitudinale Analyse von 9.748 älteren Amerikanern über 10 Jahre prüft, welche Faktoren mit Freiheit von Behinderung, kognitiver Intaktheit und hoher Funktionsfähigkeit im Alter assoziiert sind.</w:t>
      </w:r>
    </w:p>
    <w:p>
      <w:r>
        <w:rPr>
          <w:b/>
        </w:rPr>
        <w:t xml:space="preserve">Ergebnis: </w:t>
      </w:r>
      <w:r>
        <w:t>Soziale Teilhabe 2006 signifikant assoziiert mit gesundem Altern 2016 (Schätzer 0,09, 95%-KI 0,08–0,11). Körperliche Aktivität zeigte stärkste Assoziation (0,31, 95%-KI 0,29–0,33). Gesundes Altern 2010 prädiktiv für 2016 (0,46, 95%-KI 0,45–0,47). Soziale Teilhabe ist Schlüsselfaktor für Healthy Ageing neben etablierten Verhaltensweisen.</w:t>
      </w:r>
    </w:p>
    <w:p>
      <w:r>
        <w:rPr>
          <w:b/>
          <w:sz w:val="19"/>
        </w:rPr>
        <w:t xml:space="preserve">Übertragbarkeit: </w:t>
      </w:r>
      <w:r>
        <w:rPr>
          <w:sz w:val="19"/>
        </w:rPr>
        <w:t>USA, Datenbasis Health and Retirement Study – Sozialsystem unterscheidet sich; Kernbefund zu sozialer Teilhabe aber universell relevant.</w:t>
      </w:r>
    </w:p>
    <w:p>
      <w:r>
        <w:rPr>
          <w:color w:val="5A7D3A"/>
          <w:sz w:val="18"/>
        </w:rPr>
        <w:t>https://pubmed.ncbi.nlm.nih.gov/42876511/</w:t>
      </w:r>
    </w:p>
    <w:p>
      <w:pPr>
        <w:pStyle w:val="Heading2"/>
      </w:pPr>
      <w:r>
        <w:t>Frailty-Assessment in Alzheimer-Therapieentscheidungen: Expertenkonsens</w:t>
      </w:r>
    </w:p>
    <w:p>
      <w:r>
        <w:rPr>
          <w:i/>
          <w:color w:val="666666"/>
          <w:sz w:val="18"/>
        </w:rPr>
        <w:t>Bellelli G et al.  ·  J Prev Alzheimers Dis  ·  04.09.2026  ·  PMID 42697176</w:t>
      </w:r>
    </w:p>
    <w:p>
      <w:r>
        <w:t>Europäische und internationale Expertengruppe empfiehlt systematische Frailty-Bewertung bei Auswahl von Disease-modifying-Therapien im Alter.</w:t>
      </w:r>
    </w:p>
    <w:p>
      <w:r>
        <w:rPr>
          <w:b/>
        </w:rPr>
        <w:t xml:space="preserve">Ergebnis: </w:t>
      </w:r>
      <w:r>
        <w:t>Frailty betrifft etwa ein Drittel der Alzheimer-Patienten. Frailty ist assoziiert mit höherer Krankheitsaktivität, schlechterer Funktionsfähigkeit, mehr Depressionen, Schmerzen und Mortalität – unabhängig von klassischen Risikofaktoren. Empfehlung: regelmäßiges Frailty-Assessment in Klinik und Studien; Arzneimitteloptimierung und körperliche Aktivität können Frailty möglicherweise verbessern.</w:t>
      </w:r>
    </w:p>
    <w:p>
      <w:r>
        <w:rPr>
          <w:b/>
          <w:sz w:val="19"/>
        </w:rPr>
        <w:t xml:space="preserve">Übertragbarkeit: </w:t>
      </w:r>
      <w:r>
        <w:rPr>
          <w:sz w:val="19"/>
        </w:rPr>
        <w:t>Europäische Versorgungssysteme (Italien, UK, Frankreich, Schweiz, Skandinavien, Irland); direkt auf deutsches Setting übertragbar.</w:t>
      </w:r>
    </w:p>
    <w:p>
      <w:r>
        <w:rPr>
          <w:color w:val="5A7D3A"/>
          <w:sz w:val="18"/>
        </w:rPr>
        <w:t>https://pubmed.ncbi.nlm.nih.gov/42697176/</w:t>
      </w:r>
    </w:p>
    <w:p>
      <w:pPr>
        <w:pStyle w:val="Heading2"/>
      </w:pPr>
      <w:r>
        <w:t>Kognitiver Abbau beginnt bereits in den 30ern: Längsschnittpool aus drei Kontinenten</w:t>
      </w:r>
    </w:p>
    <w:p>
      <w:r>
        <w:rPr>
          <w:i/>
          <w:color w:val="666666"/>
          <w:sz w:val="18"/>
        </w:rPr>
        <w:t>Novotný JS et al.  ·  J Prev Alzheimers Dis  ·  07.08.2026  ·  PMID 42566820</w:t>
      </w:r>
    </w:p>
    <w:p>
      <w:r>
        <w:t>Gepoolte Längsschnittstudie mit 14.389 Erwachsenen aus China, USA und Tschechien identifiziert Alter des Beginns messbarer kognitiver Abnahme und ihre Trajektorien.</w:t>
      </w:r>
    </w:p>
    <w:p>
      <w:r>
        <w:rPr>
          <w:b/>
        </w:rPr>
        <w:t xml:space="preserve">Ergebnis: </w:t>
      </w:r>
      <w:r>
        <w:t>Messbarer kognitiver Abbau erste Mal in der Altersgruppe 31–40 Jahre erkannt (durchschnittliche Änderung −1,2 Punkte, 95%-KI −2,1 bis −0,3). Abnahmemagnitude stieg progressiv mit Alter, erreichte −11,4 Punkte in ältesten Gruppe (alle p&lt;0,001). Nicht-Gedächtnisdomänen zeigten frühere Anfälligkeit (ab 31 Jahre), signifikanter Gedächtnisabbau erst nach 50. Individuelle Trajektorien zeigen hohe Heterogenität; chronologisches Alter ist kein deterministischer Proxy für Abbau. Befunde unterstützen Lebenskurs-Ansätze zur Gehirngesundheit.</w:t>
      </w:r>
    </w:p>
    <w:p>
      <w:r>
        <w:rPr>
          <w:b/>
          <w:sz w:val="19"/>
        </w:rPr>
        <w:t xml:space="preserve">Übertragbarkeit: </w:t>
      </w:r>
      <w:r>
        <w:rPr>
          <w:sz w:val="19"/>
        </w:rPr>
        <w:t>Asien, Nordamerika, Europa – Datenkohärenz über drei Kontinente; universell für frühe Überwachung relevant.</w:t>
      </w:r>
    </w:p>
    <w:p>
      <w:r>
        <w:rPr>
          <w:color w:val="5A7D3A"/>
          <w:sz w:val="18"/>
        </w:rPr>
        <w:t>https://pubmed.ncbi.nlm.nih.gov/42566820/</w:t>
      </w:r>
    </w:p>
    <w:p>
      <w:pPr>
        <w:pStyle w:val="Heading1"/>
      </w:pPr>
      <w:r>
        <w:t>Aufgenommen am 15.10.2026</w:t>
      </w:r>
    </w:p>
    <w:p>
      <w:pPr>
        <w:pStyle w:val="Heading2"/>
      </w:pPr>
      <w:r>
        <w:t>Blutmetaboliten als Sterblichkeitsuhr: Beschleunigte Metabolomic-Alterung erhöht Mortalität um 60%</w:t>
      </w:r>
    </w:p>
    <w:p>
      <w:r>
        <w:rPr>
          <w:i/>
          <w:color w:val="666666"/>
          <w:sz w:val="18"/>
        </w:rPr>
        <w:t>Cao L et al.  ·  Sci Transl Med  ·  14.10.2026  ·  PMID 42873893</w:t>
      </w:r>
    </w:p>
    <w:p>
      <w:r>
        <w:t>Entwicklung von Metabolomic-Alterungsuhr (mAA) und Mortalitäts-Metrik (Age Deviation) an 18.476 Chinesen (Alter 1–96 Jahre) mittels Plasma-Metabolom-Profiling über 6 Jahre Nachbeobachtung (2019–2025).</w:t>
      </w:r>
    </w:p>
    <w:p>
      <w:r>
        <w:rPr>
          <w:b/>
        </w:rPr>
        <w:t xml:space="preserve">Ergebnis: </w:t>
      </w:r>
      <w:r>
        <w:t>56 altersassoziierte Metabolite wurden identifiziert. Höhere mAA war assoziiert mit Gesundheitsverschlechterung, ungünstigen Lebensstilen und erhöhtem Risiko für chronische Erkrankungen (Fettleber, Hypertonie, Diabetes) sowie All-Cause-Mortalität während Follow-up. Age Deviation (Abweichung vom alterserwarteten Mortalitätsrisiko) korrelierte mit etablierten Gesundheitsmessgrößen und Multimorbidität. Plasma-Metabolomic-Profile könnten als skalierbare, lebensumfassende Methode zur Risikoschichtung verwendet werden.</w:t>
      </w:r>
    </w:p>
    <w:p>
      <w:r>
        <w:rPr>
          <w:b/>
          <w:sz w:val="19"/>
        </w:rPr>
        <w:t xml:space="preserve">Übertragbarkeit: </w:t>
      </w:r>
      <w:r>
        <w:rPr>
          <w:sz w:val="19"/>
        </w:rPr>
        <w:t>China; Metabolomic-Biomarker erfordern Validierung in europäischen Kohorten</w:t>
      </w:r>
    </w:p>
    <w:p>
      <w:r>
        <w:rPr>
          <w:color w:val="5A7D3A"/>
          <w:sz w:val="18"/>
        </w:rPr>
        <w:t>https://pubmed.ncbi.nlm.nih.gov/42873893/</w:t>
      </w:r>
    </w:p>
    <w:p>
      <w:pPr>
        <w:pStyle w:val="Heading2"/>
      </w:pPr>
      <w:r>
        <w:t>Frailty und Hypoalbuminämie als Prädiktoren für Funktionsverlust nach Schlaganfall</w:t>
      </w:r>
    </w:p>
    <w:p>
      <w:r>
        <w:rPr>
          <w:i/>
          <w:color w:val="666666"/>
          <w:sz w:val="18"/>
        </w:rPr>
        <w:t>Yang J et al.  ·  Nurs Open  ·  Okt. 2026  ·  PMID 42872623</w:t>
      </w:r>
    </w:p>
    <w:p>
      <w:r>
        <w:t>Prospektive Kohortenstudie an 175 Schlaganfallpatienten, die untersuchte, ob Hypoalbuminämie die Beziehung zwischen Gebrechlichkeit und schlechtem funktionellem Outcome vermittelt.</w:t>
      </w:r>
    </w:p>
    <w:p>
      <w:r>
        <w:rPr>
          <w:b/>
        </w:rPr>
        <w:t xml:space="preserve">Ergebnis: </w:t>
      </w:r>
      <w:r>
        <w:t>Von 175 Patienten waren 29,7% gebrechlich und 36,6% entwickelten Hypoalbuminämie. Gebrechlichkeit war assoziiert mit schlechtem Outcome (mRS &gt;3) bei Entlassung (RR 1,56; 95% KI 1,12–2,16), nach 30 Tagen (RR 2,02; 95% KI 1,41–2,89) und nach 90 Tagen (RR 2,79; 95% KI 1,81–4,30). Hypoalbuminämie vermittelte diese Assoziation teilweise mit Anteilen von 22,2% (Entlassung), 16,9% (30 Tage) und 14,0% (90 Tage). Das Frailty-Screening und Albuminmonitoring können frühe Risikostratifizierung ermöglichen.</w:t>
      </w:r>
    </w:p>
    <w:p>
      <w:r>
        <w:rPr>
          <w:b/>
          <w:sz w:val="19"/>
        </w:rPr>
        <w:t xml:space="preserve">Übertragbarkeit: </w:t>
      </w:r>
      <w:r>
        <w:rPr>
          <w:sz w:val="19"/>
        </w:rPr>
        <w:t>China-Daten, aber Frailty-Assessment und Ernährungsmonitoring sind universal anwendbar</w:t>
      </w:r>
    </w:p>
    <w:p>
      <w:r>
        <w:rPr>
          <w:color w:val="5A7D3A"/>
          <w:sz w:val="18"/>
        </w:rPr>
        <w:t>https://pubmed.ncbi.nlm.nih.gov/42872623/</w:t>
      </w:r>
    </w:p>
    <w:p>
      <w:pPr>
        <w:pStyle w:val="Heading2"/>
      </w:pPr>
      <w:r>
        <w:t>Neurotoxische Berufsexpositionen beschleunigen Gehirnalterung: Scoping Review zu Kognitiver Reserve</w:t>
      </w:r>
    </w:p>
    <w:p>
      <w:r>
        <w:rPr>
          <w:i/>
          <w:color w:val="666666"/>
          <w:sz w:val="18"/>
        </w:rPr>
        <w:t>Leton N et al.  ·  Front Public Health  ·  29.09.2026  ·  PMID 42871458</w:t>
      </w:r>
    </w:p>
    <w:p>
      <w:r>
        <w:t>Systematische Scoping Review (16 Studien, 2011–2026) zur Assoziation beruflicher Neurotoxinexpositionen (Blei, Aluminium, Lösungsmittel) mit kognitiven Defiziten und Gehirnalterung.</w:t>
      </w:r>
    </w:p>
    <w:p>
      <w:r>
        <w:rPr>
          <w:b/>
        </w:rPr>
        <w:t xml:space="preserve">Ergebnis: </w:t>
      </w:r>
      <w:r>
        <w:t>Studien zeigten durchgehend Assoziationen zwischen Exposition (Blei, Lösungsmittel, Verbrennungsprodukte) und kognitiven oder neurologischen Defiziten relevant für Gehirnalterung. Häufigste Outcomes: Kognitive Abnahme/Beeinträchtigung; Neuroimaging-Befunde: funktionelle Konnektivität, Weiße-Substanz-Veränderungen, kortikale Dicke und Hirnvolumenreduktion. Kognitive Reserve wurde inkonsistent operationalisiert (Bildung, biologische Anfälligkeit, Neuroimaging-Marker). China war am häufigsten vertreten, Evidenz aus anderen ressourcenlimitierten Regionen begrenzt.</w:t>
      </w:r>
    </w:p>
    <w:p>
      <w:r>
        <w:rPr>
          <w:b/>
          <w:sz w:val="19"/>
        </w:rPr>
        <w:t xml:space="preserve">Übertragbarkeit: </w:t>
      </w:r>
      <w:r>
        <w:rPr>
          <w:sz w:val="19"/>
        </w:rPr>
        <w:t>Internationale Berufsgesundheit; Deutschland mit vergleichbarer Expositionserfassung</w:t>
      </w:r>
    </w:p>
    <w:p>
      <w:r>
        <w:rPr>
          <w:color w:val="5A7D3A"/>
          <w:sz w:val="18"/>
        </w:rPr>
        <w:t>https://pubmed.ncbi.nlm.nih.gov/42871458/</w:t>
      </w:r>
    </w:p>
    <w:p>
      <w:pPr>
        <w:pStyle w:val="Heading2"/>
      </w:pPr>
      <w:r>
        <w:t>Altersstigma fördert Depression im Alter: Soziale Unterstützung als Schutzfaktor</w:t>
      </w:r>
    </w:p>
    <w:p>
      <w:r>
        <w:rPr>
          <w:i/>
          <w:color w:val="666666"/>
          <w:sz w:val="18"/>
        </w:rPr>
        <w:t>Karasoy G et al.  ·  Psychogeriatrics  ·  Nov. 2026  ·  PMID 42870687</w:t>
      </w:r>
    </w:p>
    <w:p>
      <w:r>
        <w:t>Querschnittstudie an 162 Personen ab 65 Jahren zur Assoziation von internalisiertem Altersstigma und wahrgenommener sozialer Unterstützung mit depressiven Symptomen.</w:t>
      </w:r>
    </w:p>
    <w:p>
      <w:r>
        <w:rPr>
          <w:b/>
        </w:rPr>
        <w:t xml:space="preserve">Ergebnis: </w:t>
      </w:r>
      <w:r>
        <w:t>Höheres Altersstigma war assoziiert mit höheren depressiven Symptomen (β=0,205; 95% KI 0,099–0,311), höhere soziale Unterstützung mit niedrigeren Symptomen (β=−0,506; 95% KI −0,636 bis −0,375). Die Interaktion war signifikant (B=−0,002; 95% KI −0,003 bis −0,001; p&lt;0,001): Altersstigma war nur bei niedriger bis mittlerer sozialer Unterstützung mit Depression assoziiert, nicht bei hoher Unterstützung. Soziale Ressourcen puffern den negativen Effekt von Altersstereotypen.</w:t>
      </w:r>
    </w:p>
    <w:p>
      <w:r>
        <w:rPr>
          <w:b/>
          <w:sz w:val="19"/>
        </w:rPr>
        <w:t xml:space="preserve">Übertragbarkeit: </w:t>
      </w:r>
      <w:r>
        <w:rPr>
          <w:sz w:val="19"/>
        </w:rPr>
        <w:t>Türkei; Psychosoziale Mechanismen universal, aber Sozialversicherung unterschiedlich</w:t>
      </w:r>
    </w:p>
    <w:p>
      <w:r>
        <w:rPr>
          <w:color w:val="5A7D3A"/>
          <w:sz w:val="18"/>
        </w:rPr>
        <w:t>https://pubmed.ncbi.nlm.nih.gov/42870687/</w:t>
      </w:r>
    </w:p>
    <w:p>
      <w:pPr>
        <w:pStyle w:val="Heading2"/>
      </w:pPr>
      <w:r>
        <w:t>Sozioräumliche Ungleichheit und vorzeitige Alterung: Schwarze Amerikaner mit 5- bis 6-fach höherer Exposition</w:t>
      </w:r>
    </w:p>
    <w:p>
      <w:r>
        <w:rPr>
          <w:i/>
          <w:color w:val="666666"/>
          <w:sz w:val="18"/>
        </w:rPr>
        <w:t>Martin CL et al.  ·  J Gerontol B Psychol Sci Soc Sci  ·  01.10.2026  ·  PMID 42837511</w:t>
      </w:r>
    </w:p>
    <w:p>
      <w:r>
        <w:t>Analyse der National Longitudinal Study of Adolescent to Adult Health (Add Health), die umfangreiche, zeitvariable sozioräumliche Indikatoren (Wohnen, Justiz, Gewalt, Wirtschaft) mit geografischen Ebenen verknüpfte, um Altersungleichheiten vom Jugendalter (12–20 Jahre) bis ins frühe mittlere Alter (33–42 Jahre) zu dokumentieren.</w:t>
      </w:r>
    </w:p>
    <w:p>
      <w:r>
        <w:rPr>
          <w:b/>
        </w:rPr>
        <w:t xml:space="preserve">Ergebnis: </w:t>
      </w:r>
      <w:r>
        <w:t>Erhebliche und persistente Black-White-Disparitäten über alle Bereiche hinweg: Schwarze Befragte lebten signifikant häufiger in Counties mit höherer Zwangsräumungsquote, ökonomischer Segregation, höherer Haftquote und mehr Hate-Crime-Vorfällen. Schwarze Befragte lebten zudem in Bundesstaaten mit höherer historischer Lynchjustiz-Gewalt. Diese Messungen ermöglichen die Identifikation von Life-Course-Pfaden gesundheitlicher Ungleichheit.</w:t>
      </w:r>
    </w:p>
    <w:p>
      <w:r>
        <w:rPr>
          <w:b/>
          <w:sz w:val="19"/>
        </w:rPr>
        <w:t xml:space="preserve">Übertragbarkeit: </w:t>
      </w:r>
      <w:r>
        <w:rPr>
          <w:sz w:val="19"/>
        </w:rPr>
        <w:t>USA-Studie; Konzept der strukturellen Determinanten auf DACH übertragbar, aber Ausprägung völlig anders</w:t>
      </w:r>
    </w:p>
    <w:p>
      <w:r>
        <w:rPr>
          <w:color w:val="5A7D3A"/>
          <w:sz w:val="18"/>
        </w:rPr>
        <w:t>https://pubmed.ncbi.nlm.nih.gov/42837511/</w:t>
      </w:r>
    </w:p>
    <w:p>
      <w:pPr>
        <w:pStyle w:val="Heading2"/>
      </w:pPr>
      <w:r>
        <w:t>Geschlechtsspezifische Osteoporose-Progression: Knochendichteverlust ab 56 Jahren bei Männern, ab 64 Jahren bei Frauen</w:t>
      </w:r>
    </w:p>
    <w:p>
      <w:r>
        <w:rPr>
          <w:i/>
          <w:color w:val="666666"/>
          <w:sz w:val="18"/>
        </w:rPr>
        <w:t>Schröder G et al.  ·  PLoS One  ·  28.09.2026  ·  PMID 42804446</w:t>
      </w:r>
    </w:p>
    <w:p>
      <w:r>
        <w:t>Retrospektive Analyse von 71 CT-Aufnahmen der Wirbelsäule (C3–L5, Alter 4–102 Jahre) zur Quantifizierung altersbezogener Knochendichteverluste.</w:t>
      </w:r>
    </w:p>
    <w:p>
      <w:r>
        <w:rPr>
          <w:b/>
        </w:rPr>
        <w:t xml:space="preserve">Ergebnis: </w:t>
      </w:r>
      <w:r>
        <w:t>Hounsfield-Einheiten (HU) nahmen mit dem Alter ab (p&lt;0,001), mit ausgeprägtem Rückgang nach dem 60. Lebensjahr. Regressionsanalysen zeigten zwei Phasen des Dichteverlusts: bei Frauen später eintretend (nach 64 Jahren) als bei Männern (nach 56 Jahren, p&lt;0,001). HU-Werte korrelierten mit Knochenmineraldichte (r=0,86; 95% KI 0,72–0,94) und Knochenvolumenanteil (r=0,51; 95% KI 0,17–0,75). Ergebnisse unterstreichen Bedarf für geschlechtsspezifische Osteoporose-Prävention.</w:t>
      </w:r>
    </w:p>
    <w:p>
      <w:r>
        <w:rPr>
          <w:b/>
          <w:sz w:val="19"/>
        </w:rPr>
        <w:t xml:space="preserve">Übertragbarkeit: </w:t>
      </w:r>
      <w:r>
        <w:rPr>
          <w:sz w:val="19"/>
        </w:rPr>
        <w:t>Deutsche Kliniken mit CT-Daten vergleichbar; Altersgradienten international übertragbar</w:t>
      </w:r>
    </w:p>
    <w:p>
      <w:r>
        <w:rPr>
          <w:color w:val="5A7D3A"/>
          <w:sz w:val="18"/>
        </w:rPr>
        <w:t>https://pubmed.ncbi.nlm.nih.gov/42804446/</w:t>
      </w:r>
    </w:p>
    <w:p>
      <w:pPr>
        <w:pStyle w:val="Heading1"/>
      </w:pPr>
      <w:r>
        <w:t>Aufgenommen am 14.10.2026</w:t>
      </w:r>
    </w:p>
    <w:p>
      <w:pPr>
        <w:pStyle w:val="Heading2"/>
      </w:pPr>
      <w:r>
        <w:t>Schlafqualität als Vermittler zwischen Frailty und kognitiver Beeinträchtigung</w:t>
      </w:r>
    </w:p>
    <w:p>
      <w:r>
        <w:rPr>
          <w:i/>
          <w:color w:val="666666"/>
          <w:sz w:val="18"/>
        </w:rPr>
        <w:t>Chen L et al.  ·  Nurs Open  ·  Okt. 2026  ·  PMID 42868268</w:t>
      </w:r>
    </w:p>
    <w:p>
      <w:r>
        <w:t>Querschnittstudie an 2.830 Personen ab 60 Jahren in China untersuchte, ob Schlafqualität die Beziehung zwischen körperlicher Gebrechlichkeit (Frailty) und kognitiver Beeinträchtigung erklärt.</w:t>
      </w:r>
    </w:p>
    <w:p>
      <w:r>
        <w:rPr>
          <w:b/>
        </w:rPr>
        <w:t xml:space="preserve">Ergebnis: </w:t>
      </w:r>
      <w:r>
        <w:t>Kognitive Beeinträchtigung lag bei 21,77% vor. Schlafqualität vermittelte partiell die Beziehung zwischen Frailty und kognitiver Beeinträchtigung und erklärte 12,37 % des Gesamteffekts. Bessere Schlafqualität senkte signifikant das Risiko für kognitiven Verfall bei gebrechlichen älteren Menschen.</w:t>
      </w:r>
    </w:p>
    <w:p>
      <w:r>
        <w:rPr>
          <w:b/>
          <w:sz w:val="19"/>
        </w:rPr>
        <w:t xml:space="preserve">Übertragbarkeit: </w:t>
      </w:r>
      <w:r>
        <w:rPr>
          <w:sz w:val="19"/>
        </w:rPr>
        <w:t>China, aber Frailty-Screening und Schlafintervention sind geriatrischer Standard überall.</w:t>
      </w:r>
    </w:p>
    <w:p>
      <w:r>
        <w:rPr>
          <w:color w:val="5A7D3A"/>
          <w:sz w:val="18"/>
        </w:rPr>
        <w:t>https://pubmed.ncbi.nlm.nih.gov/42868268/</w:t>
      </w:r>
    </w:p>
    <w:p>
      <w:pPr>
        <w:pStyle w:val="Heading2"/>
      </w:pPr>
      <w:r>
        <w:t>Strukturelles Training und kognitive Aktivitäten verlängern demenzfreie Lebensjahre</w:t>
      </w:r>
    </w:p>
    <w:p>
      <w:r>
        <w:rPr>
          <w:i/>
          <w:color w:val="666666"/>
          <w:sz w:val="18"/>
        </w:rPr>
        <w:t>Li X et al.  ·  Alzheimers Dement  ·  Okt. 2026  ·  PMID 42867075</w:t>
      </w:r>
    </w:p>
    <w:p>
      <w:r>
        <w:t>Vierjährige prospektive Kohortenstudie (vier internationale Kohorten) untersuchte, wie körperliche Aktivität und kognitiv-soziale Aktivitäten zusammenhängen und die demenzfreie Lebenserwartung ab 50 Jahren beeinflussen.</w:t>
      </w:r>
    </w:p>
    <w:p>
      <w:r>
        <w:rPr>
          <w:b/>
        </w:rPr>
        <w:t xml:space="preserve">Ergebnis: </w:t>
      </w:r>
      <w:r>
        <w:t>Demenzfreie Lebenserwartung ab 50 Jahren betrug 17,5 Jahre (niedrig-niedrig), 23,2 Jahre (hoch-niedrig), 20,1 Jahre (niedrig-hoch) und 24,7 Jahre (hoch-hoch). Strukturelles Training und kognitiv-soziale Aktivitäten zeigten kombinierte, nicht austauschbare Vorteile – beide Faktoren sind erforderlich für optimale kognitive Alterung.</w:t>
      </w:r>
    </w:p>
    <w:p>
      <w:r>
        <w:rPr>
          <w:b/>
          <w:sz w:val="19"/>
        </w:rPr>
        <w:t xml:space="preserve">Übertragbarkeit: </w:t>
      </w:r>
      <w:r>
        <w:rPr>
          <w:sz w:val="19"/>
        </w:rPr>
        <w:t>Vier Kohorten aus Asien, Nordamerika, Europa; Befunde gelten kulturübergreifend.</w:t>
      </w:r>
    </w:p>
    <w:p>
      <w:r>
        <w:rPr>
          <w:color w:val="5A7D3A"/>
          <w:sz w:val="18"/>
        </w:rPr>
        <w:t>https://pubmed.ncbi.nlm.nih.gov/42867075/</w:t>
      </w:r>
    </w:p>
    <w:p>
      <w:pPr>
        <w:pStyle w:val="Heading2"/>
      </w:pPr>
      <w:r>
        <w:t>Soziale Unterstützung mildert Frailty-Effekte auf Kognition im Krankenhaus</w:t>
      </w:r>
    </w:p>
    <w:p>
      <w:r>
        <w:rPr>
          <w:i/>
          <w:color w:val="666666"/>
          <w:sz w:val="18"/>
        </w:rPr>
        <w:t>Dai J et al.  ·  Front Public Health  ·  28.09.2026  ·  PMID 42865808</w:t>
      </w:r>
    </w:p>
    <w:p>
      <w:r>
        <w:t>Querschnittstudie an 1.611 hospitalisierten Personen ≥60 Jahren untersuchte, wie Frailty auf Kognition wirkt und ob soziale Unterstützung diese Beziehung puffert.</w:t>
      </w:r>
    </w:p>
    <w:p>
      <w:r>
        <w:rPr>
          <w:b/>
        </w:rPr>
        <w:t xml:space="preserve">Ergebnis: </w:t>
      </w:r>
      <w:r>
        <w:t>Der Gesamteffekt von Frailty auf niedrigere kognitive Scores war statistisch nicht signifikant (p&gt;0,05), aber der indirekte Effekt über Depressionen und eingeschränkte Alltagsfunktionen erklärte 88,8 % der Assoziation. Soziale Unterstützung moderierte den Frailty-BADL-Link (B=0,120, p&lt;0,001) und den GDS-MMSE-Link (B=0,014, p=0,004) signifikant.</w:t>
      </w:r>
    </w:p>
    <w:p>
      <w:r>
        <w:rPr>
          <w:b/>
          <w:sz w:val="19"/>
        </w:rPr>
        <w:t xml:space="preserve">Übertragbarkeit: </w:t>
      </w:r>
      <w:r>
        <w:rPr>
          <w:sz w:val="19"/>
        </w:rPr>
        <w:t>China; Versorgungsmodell mit geriatrischem Assessment in Kliniken vergleichbar.</w:t>
      </w:r>
    </w:p>
    <w:p>
      <w:r>
        <w:rPr>
          <w:color w:val="5A7D3A"/>
          <w:sz w:val="18"/>
        </w:rPr>
        <w:t>https://pubmed.ncbi.nlm.nih.gov/42865808/</w:t>
      </w:r>
    </w:p>
    <w:p>
      <w:pPr>
        <w:pStyle w:val="Heading2"/>
      </w:pPr>
      <w:r>
        <w:t>Schmerz vorhersagt Frailty-Entstehung bei Fettlebererkrankung deutlich</w:t>
      </w:r>
    </w:p>
    <w:p>
      <w:r>
        <w:rPr>
          <w:i/>
          <w:color w:val="666666"/>
          <w:sz w:val="18"/>
        </w:rPr>
        <w:t>Hu H et al.  ·  Front Endocrinol (Lausanne)  ·  28.09.2026  ·  PMID 42865368</w:t>
      </w:r>
    </w:p>
    <w:p>
      <w:r>
        <w:t>Prospektive Kohortenstudie mit 3.622 CHARLS- und 2.059 ELSA-Teilnehmern (7–8 Jahre Follow-up) untersuchte, ob Schmerz ein stärkerer Prädiktor für Frailty-Neuauftreten ist als andere Faktoren und ob Depressionen die Wirkung vermitteln.</w:t>
      </w:r>
    </w:p>
    <w:p>
      <w:r>
        <w:rPr>
          <w:b/>
        </w:rPr>
        <w:t xml:space="preserve">Ergebnis: </w:t>
      </w:r>
      <w:r>
        <w:t>Schmerz war der stärkste Prädiktor für neue Frailty. Nach vollständiger Anpassung (mit Basis-Frailty-Index) zeigte Schmerz in CHARLS HR 1,219 (95%-CI 1,085–1,368) und in ELSA HR 1,310 (95%-CI 1,114–1,539). Die Bevölkerungsattributable Fraktion betrug 8,01 % (CHARLS) und 11,98 % (ELSA). Depressionen vermittelten 74,0 % (CHARLS) und 46,1 % (ELSA) des Gesamteffekts.</w:t>
      </w:r>
    </w:p>
    <w:p>
      <w:r>
        <w:rPr>
          <w:b/>
          <w:sz w:val="19"/>
        </w:rPr>
        <w:t xml:space="preserve">Übertragbarkeit: </w:t>
      </w:r>
      <w:r>
        <w:rPr>
          <w:sz w:val="19"/>
        </w:rPr>
        <w:t>China (CHARLS) und Großbritannien (ELSA); externe Validierung erhöht Übertragbarkeit.</w:t>
      </w:r>
    </w:p>
    <w:p>
      <w:r>
        <w:rPr>
          <w:color w:val="5A7D3A"/>
          <w:sz w:val="18"/>
        </w:rPr>
        <w:t>https://pubmed.ncbi.nlm.nih.gov/42865368/</w:t>
      </w:r>
    </w:p>
    <w:p>
      <w:pPr>
        <w:pStyle w:val="Heading2"/>
      </w:pPr>
      <w:r>
        <w:t>Chronische Einsamkeit verschlechtert Gesundheit und Funktionsfähigkeit älterer Menschen</w:t>
      </w:r>
    </w:p>
    <w:p>
      <w:r>
        <w:rPr>
          <w:i/>
          <w:color w:val="666666"/>
          <w:sz w:val="18"/>
        </w:rPr>
        <w:t>Ma Y et al.  ·  Nat Commun  ·  11.09.2026  ·  PMID 42864355</w:t>
      </w:r>
    </w:p>
    <w:p>
      <w:r>
        <w:t>Längsschnittstudie an 4.090 älteren Personen aus der English Longitudinal Study of Ageing untersuchte, wie chronische Einsamkeit und soziale Isolation mit 17 Gesundheitsergebnissen zusammenhängen.</w:t>
      </w:r>
    </w:p>
    <w:p>
      <w:r>
        <w:rPr>
          <w:b/>
        </w:rPr>
        <w:t xml:space="preserve">Ergebnis: </w:t>
      </w:r>
      <w:r>
        <w:t>Chronische Einsamkeit war mit schlechterer allgemeiner Gesundheit, reduzierter Funktionsfähigkeit und beeinträchtigtem psychischem Wohlbefinden sowie mehr gesundheitsschädlichen Verhaltensweisen assoziiert. Chronische Isolation und Isolationsbeginn waren mit niedrigerer Lebensqualität verbunden; Isolationsremission zeigte positive Effekte auf Wohlbefinden und Kognition gegenüber persistierender Isolation.</w:t>
      </w:r>
    </w:p>
    <w:p>
      <w:r>
        <w:rPr>
          <w:b/>
          <w:sz w:val="19"/>
        </w:rPr>
        <w:t xml:space="preserve">Übertragbarkeit: </w:t>
      </w:r>
      <w:r>
        <w:rPr>
          <w:sz w:val="19"/>
        </w:rPr>
        <w:t>England; europäisches Versorgungssystem, vergleichbares Gesundheitswesen und Sozialstrukturen.</w:t>
      </w:r>
    </w:p>
    <w:p>
      <w:r>
        <w:rPr>
          <w:color w:val="5A7D3A"/>
          <w:sz w:val="18"/>
        </w:rPr>
        <w:t>https://pubmed.ncbi.nlm.nih.gov/42864355/</w:t>
      </w:r>
    </w:p>
    <w:p>
      <w:pPr>
        <w:pStyle w:val="Heading2"/>
      </w:pPr>
      <w:r>
        <w:t>Neue nationale Studie zeigt erhebliche Gesundheitsdefizite bei US-Midlife-Adulten</w:t>
      </w:r>
    </w:p>
    <w:p>
      <w:r>
        <w:rPr>
          <w:i/>
          <w:color w:val="666666"/>
          <w:sz w:val="18"/>
        </w:rPr>
        <w:t>Hummer RA et al.  ·  J Gerontol B Psychol Sci Soc Sci  ·  01.10.2026  ·  PMID 42837512</w:t>
      </w:r>
    </w:p>
    <w:p>
      <w:r>
        <w:t>Wave VI der National Longitudinal Study of Adolescent to Adult Health (Add Health) beschreibt Gesundheit und biologische Aging-Marker an 11.979 Personen durchschnittlich 44 Jahre alt und dokumentiert erhebliche Unterschiede nach Rasse, Ethnizität und Bildung.</w:t>
      </w:r>
    </w:p>
    <w:p>
      <w:r>
        <w:rPr>
          <w:b/>
        </w:rPr>
        <w:t xml:space="preserve">Ergebnis: </w:t>
      </w:r>
      <w:r>
        <w:t>Von 11.979 befragten Personen hatten 49,9 % BMI ≥30 kg/m², 17 % berichteten aktuelle Depression. Breite Disparitäten bestanden in allen bewerteten Gesundheitsergebnissen nach Rasse/Ethnizität und Bildung. Wave VI lieferte 11.979 Umfragen, 6.073 Hausuntersuchungen und tausende kontextuelle und biologische Variablen für Lebensverlauf-Forschung.</w:t>
      </w:r>
    </w:p>
    <w:p>
      <w:r>
        <w:rPr>
          <w:b/>
          <w:sz w:val="19"/>
        </w:rPr>
        <w:t xml:space="preserve">Übertragbarkeit: </w:t>
      </w:r>
      <w:r>
        <w:rPr>
          <w:sz w:val="19"/>
        </w:rPr>
        <w:t>USA; Aussagen zu sozialen Unterschieden in Gesundheit übertragbar, Finanzierungssystem grundlegend anders.</w:t>
      </w:r>
    </w:p>
    <w:p>
      <w:r>
        <w:rPr>
          <w:color w:val="5A7D3A"/>
          <w:sz w:val="18"/>
        </w:rPr>
        <w:t>https://pubmed.ncbi.nlm.nih.gov/42837512/</w:t>
      </w:r>
    </w:p>
    <w:p>
      <w:pPr>
        <w:pStyle w:val="Heading1"/>
      </w:pPr>
      <w:r>
        <w:t>Aufgenommen am 13.10.2026</w:t>
      </w:r>
    </w:p>
    <w:p>
      <w:pPr>
        <w:pStyle w:val="Heading2"/>
      </w:pPr>
      <w:r>
        <w:t>Muskelabbau im Alter: Sozioökonomie, Ernährung und körperliche Aktivität beeinflussen Muskelmasse über 17 Jahre</w:t>
      </w:r>
    </w:p>
    <w:p>
      <w:r>
        <w:rPr>
          <w:i/>
          <w:color w:val="666666"/>
          <w:sz w:val="18"/>
        </w:rPr>
        <w:t>Suleiman A et al.  ·  Australas J Ageing  ·  Dez. 2026  ·  PMID 42861734</w:t>
      </w:r>
    </w:p>
    <w:p>
      <w:r>
        <w:t>Eine 17-jährige prospektive Kohortenstudie mit 3033 Teilnehmern identifizierte Faktoren, die die Muskelmasse im Alter beeinflussen.</w:t>
      </w:r>
    </w:p>
    <w:p>
      <w:r>
        <w:rPr>
          <w:b/>
        </w:rPr>
        <w:t xml:space="preserve">Ergebnis: </w:t>
      </w:r>
      <w:r>
        <w:t>Höheres Alter und weibliches Geschlecht waren mit niedrigerer appendikulärer Muskelmasse assoziiert (β = −0,07 pro Jahr; 95%-KI −0,08 bis −0,06). Positive Prädiktoren waren Sozialstatus (β = 0,33), Kalziumaufnahme (β = 0,46), Knochenmineraldichte (β = 0,38) und Schilddrüsenhormontherapie (β = 0,52). Körperliche Inaktivität (β = −0,48), Rauchen (β = −0,24) und Schlaganfall-Vorgeschichte (β = −0,51) waren mit geringerer Muskelmasse assoziiert. Die Ergebnisse zeigen modifizierbare Faktoren für den Erhalt der Muskelmasse in der Alterung.</w:t>
      </w:r>
    </w:p>
    <w:p>
      <w:r>
        <w:rPr>
          <w:b/>
          <w:sz w:val="19"/>
        </w:rPr>
        <w:t xml:space="preserve">Übertragbarkeit: </w:t>
      </w:r>
      <w:r>
        <w:rPr>
          <w:sz w:val="19"/>
        </w:rPr>
        <w:t>Australische prospektive Kohortendaten, vergleichbar mit europäischen Versorgungssettings</w:t>
      </w:r>
    </w:p>
    <w:p>
      <w:r>
        <w:rPr>
          <w:color w:val="5A7D3A"/>
          <w:sz w:val="18"/>
        </w:rPr>
        <w:t>https://pubmed.ncbi.nlm.nih.gov/42861734/</w:t>
      </w:r>
    </w:p>
    <w:p>
      <w:pPr>
        <w:pStyle w:val="Heading2"/>
      </w:pPr>
      <w:r>
        <w:t>Widerstandstraining bei älteren Männern: weniger Muskelaufbau trotz gleicher Trainingsbelastung</w:t>
      </w:r>
    </w:p>
    <w:p>
      <w:r>
        <w:rPr>
          <w:i/>
          <w:color w:val="666666"/>
          <w:sz w:val="18"/>
        </w:rPr>
        <w:t>Lewis DT et al.  ·  Physiol Rep  ·  Okt. 2026  ·  PMID 42860700</w:t>
      </w:r>
    </w:p>
    <w:p>
      <w:r>
        <w:t>Eine Studie mit 17 jüngeren und 15 älteren untrainierten Männern verglich Muskelaufbau und Proteinveränderungen nach 10–12 Wochen Widerstandstraining.</w:t>
      </w:r>
    </w:p>
    <w:p>
      <w:r>
        <w:rPr>
          <w:b/>
        </w:rPr>
        <w:t xml:space="preserve">Ergebnis: </w:t>
      </w:r>
      <w:r>
        <w:t>Trotz vergleichbarer Trainingsvolumina gewannen jüngere Männer mehr Muskelmasse (+2,73 kg vs. +1,18 kg; p = 0,009) und zeigten größere Zuwächse der Unterschenkeldicke (+0,49 cm vs. +0,20 cm; p = 0,002). Bei jüngeren Erwachsenen veränderte das Training 135 Proteine (FDR &lt; 0,05), bei älteren jedoch null. Die Proteom-Plastizität war bei älteren Männern komprimiert statt qualitativ verändert, was erklärt, warum der Muskelaufbau trotz Training geringer ausfällt.</w:t>
      </w:r>
    </w:p>
    <w:p>
      <w:r>
        <w:rPr>
          <w:b/>
          <w:sz w:val="19"/>
        </w:rPr>
        <w:t xml:space="preserve">Übertragbarkeit: </w:t>
      </w:r>
      <w:r>
        <w:rPr>
          <w:sz w:val="19"/>
        </w:rPr>
        <w:t>USA-Universitätsdaten zur Trainingsphysiologie, Befund zum Altern universell übertragbar</w:t>
      </w:r>
    </w:p>
    <w:p>
      <w:r>
        <w:rPr>
          <w:color w:val="5A7D3A"/>
          <w:sz w:val="18"/>
        </w:rPr>
        <w:t>https://pubmed.ncbi.nlm.nih.gov/42860700/</w:t>
      </w:r>
    </w:p>
    <w:p>
      <w:pPr>
        <w:pStyle w:val="Heading2"/>
      </w:pPr>
      <w:r>
        <w:t>Frailty-Screening bei Hämodialysepatienten: XGBoost-Modell mit AUC 0,917 identifiziert 48,6 % der Patienten</w:t>
      </w:r>
    </w:p>
    <w:p>
      <w:r>
        <w:rPr>
          <w:i/>
          <w:color w:val="666666"/>
          <w:sz w:val="18"/>
        </w:rPr>
        <w:t>Wang J et al.  ·  Ann Med  ·  11.10.2026  ·  PMID 42860582</w:t>
      </w:r>
    </w:p>
    <w:p>
      <w:r>
        <w:t>Eine retrospektive Studie mit 626 Hämodialysepatienten aus vier Kliniken entwickelte ein Machine-Learning-Modell zur Frailty-Erkennung.</w:t>
      </w:r>
    </w:p>
    <w:p>
      <w:r>
        <w:rPr>
          <w:b/>
        </w:rPr>
        <w:t xml:space="preserve">Ergebnis: </w:t>
      </w:r>
      <w:r>
        <w:t>Frailty-Prävalenz lag bei 48,6 %. Das XGBoost-Modell zeigte beste externe Validierungsleistung: AUC = 0,917 (95%-KI 0,867–0,967), Genauigkeit 84,7 %, Sensitivität 85,0 %, Spezifität 84,4 %. Sechs Prädiktoren wurden identifiziert: Alter, Griffstärke, Komorbiditäten, Charlson-Index, Albumin und Pro-BNP. Das Modell unterstützt systematisches Frailty-Screening in der Nierenfachversorgung.</w:t>
      </w:r>
    </w:p>
    <w:p>
      <w:r>
        <w:rPr>
          <w:b/>
          <w:sz w:val="19"/>
        </w:rPr>
        <w:t xml:space="preserve">Übertragbarkeit: </w:t>
      </w:r>
      <w:r>
        <w:rPr>
          <w:sz w:val="19"/>
        </w:rPr>
        <w:t>Chinesische Klinikstudie; Frailty-Screening und Prognose universal relevant</w:t>
      </w:r>
    </w:p>
    <w:p>
      <w:r>
        <w:rPr>
          <w:color w:val="5A7D3A"/>
          <w:sz w:val="18"/>
        </w:rPr>
        <w:t>https://pubmed.ncbi.nlm.nih.gov/42860582/</w:t>
      </w:r>
    </w:p>
    <w:p>
      <w:pPr>
        <w:pStyle w:val="Heading2"/>
      </w:pPr>
      <w:r>
        <w:t>KI-gestützte Assessment-Tools für intrinsische Kapazität: 161 Studien zeigen Schwerpunkte bei Kognition und Mobilität, Lücken bei Sinnesfunktion</w:t>
      </w:r>
    </w:p>
    <w:p>
      <w:r>
        <w:rPr>
          <w:i/>
          <w:color w:val="666666"/>
          <w:sz w:val="18"/>
        </w:rPr>
        <w:t>Yu C et al.  ·  J Med Internet Res  ·  05.10.2026  ·  PMID 42832757</w:t>
      </w:r>
    </w:p>
    <w:p>
      <w:r>
        <w:t>Ein systematisches Scoping-Review (161 Studien, 2016–2026) charakterisierte KI-basierte digitale Messtools zur Erfassung intrinsischer Kapazität bei älteren Menschen nach WHO-Domänen und Technologie.</w:t>
      </w:r>
    </w:p>
    <w:p>
      <w:r>
        <w:rPr>
          <w:b/>
        </w:rPr>
        <w:t xml:space="preserve">Ergebnis: </w:t>
      </w:r>
      <w:r>
        <w:t>Forschung seit 2016 exponentiell gestiegen; 28 Länder vertreten (USA, China dominant). 11 Kategorien KI-gestützter Geräte identifiziert: Multimodal-Erfassungsgeräte, Computer-Vision-Systeme, KI-Plattformen führend. 21 Typen digitaler Biomarker: Gangparameter, digitale Aufgabenleistung, körperliche Aktivität, Sprache, Gesichtszüge häufigst. Machine Learning und Deep Learning dominieren; Computer Vision und NLP zentral für multimodale Interpretation. Kognition und Lokomotion am weitesten entwickelt; Vitalität, Hörvermögen und Multi-Domain-Assessment unterrepräsentiert. KI-Tools könnten klinische Assessment ergänzen, benötigen aber robuste Validierung und Implementierungsforschung.</w:t>
      </w:r>
    </w:p>
    <w:p>
      <w:r>
        <w:rPr>
          <w:b/>
          <w:sz w:val="19"/>
        </w:rPr>
        <w:t xml:space="preserve">Übertragbarkeit: </w:t>
      </w:r>
      <w:r>
        <w:rPr>
          <w:sz w:val="19"/>
        </w:rPr>
        <w:t>Globale Übersicht; Lücken in der Standardisierung und externen Validierung überall manifest</w:t>
      </w:r>
    </w:p>
    <w:p>
      <w:r>
        <w:rPr>
          <w:color w:val="5A7D3A"/>
          <w:sz w:val="18"/>
        </w:rPr>
        <w:t>https://pubmed.ncbi.nlm.nih.gov/42832757/</w:t>
      </w:r>
    </w:p>
    <w:p>
      <w:pPr>
        <w:pStyle w:val="Heading2"/>
      </w:pPr>
      <w:r>
        <w:t>Mundmikrobiom und Kognition: Nitratverstoffwechselnde Bakterien assoziiert mit besserer kognitiver Leistung</w:t>
      </w:r>
    </w:p>
    <w:p>
      <w:r>
        <w:rPr>
          <w:i/>
          <w:color w:val="666666"/>
          <w:sz w:val="18"/>
        </w:rPr>
        <w:t>L'Heureux JE et al.  ·  PLoS One  ·  05.10.2026  ·  PMID 42832417</w:t>
      </w:r>
    </w:p>
    <w:p>
      <w:r>
        <w:t>Eine Studie mit 60 gesunden Teilnehmern (je 15 junge und 15 ältere Erwachsene aus UK und Belgien) untersuchte Zusammenhänge zwischen Mundmikrobiom, Stickstoffmonoxid-Biomarker und kognitiver Funktion.</w:t>
      </w:r>
    </w:p>
    <w:p>
      <w:r>
        <w:rPr>
          <w:b/>
        </w:rPr>
        <w:t xml:space="preserve">Ergebnis: </w:t>
      </w:r>
      <w:r>
        <w:t>Trotz geografischer Unterschiede in der Mikrobiomzusammensetzung waren altersbedingte mikrobielle Verschiebungen konsistent über Kohorten hinweg, mit Anreicherung von Treponema und Tannerella bei älteren Erwachsenen. Nitratverstoffwechselnde Taxa (Haemophilus parainfluenzae, Neisseria flavescens) waren konsistent mit kognitiven Leistungsmaßen assoziiert (p &lt; 0,05 in beiden Kohorten). Im UK war höheres Plasma-Nitrat mit besserer Digit-Symbol-Substitutions-Genauigkeit (β = 19,2; p &lt; 0,01) und schnellerer Reaktionszeit (β = −3444 ms; p &lt; 0,05) verknüpft. Geografie ist ein Haupttreiber mikrobieller Variation, konsistente altersbedingte Assoziationen bleiben aber über Populationen erhalten.</w:t>
      </w:r>
    </w:p>
    <w:p>
      <w:r>
        <w:rPr>
          <w:b/>
          <w:sz w:val="19"/>
        </w:rPr>
        <w:t xml:space="preserve">Übertragbarkeit: </w:t>
      </w:r>
      <w:r>
        <w:rPr>
          <w:sz w:val="19"/>
        </w:rPr>
        <w:t>UK und Belgien; europäische Grundlagenforschung mit klinischem Bezug zur Kognitionsförderung</w:t>
      </w:r>
    </w:p>
    <w:p>
      <w:r>
        <w:rPr>
          <w:color w:val="5A7D3A"/>
          <w:sz w:val="18"/>
        </w:rPr>
        <w:t>https://pubmed.ncbi.nlm.nih.gov/42832417/</w:t>
      </w:r>
    </w:p>
    <w:p>
      <w:pPr>
        <w:pStyle w:val="Heading2"/>
      </w:pPr>
      <w:r>
        <w:t>Migration im späten Alter: Identität und Zugehörigkeit bleiben zentral, alltägliche Integration folgt eigenem Weg</w:t>
      </w:r>
    </w:p>
    <w:p>
      <w:r>
        <w:rPr>
          <w:i/>
          <w:color w:val="666666"/>
          <w:sz w:val="18"/>
        </w:rPr>
        <w:t>Adad J et al.  ·  J Cross Cult Gerontol  ·  12.09.2026  ·  PMID 42730791</w:t>
      </w:r>
    </w:p>
    <w:p>
      <w:r>
        <w:t>Eine qualitative Studie mit 12 älteren Französinnen und Franzosen (≥ 70 Jahre), die nach Israel migrierten, untersuchte die Bedeutung dieser Erfahrung für Identität und Wohlbefinden.</w:t>
      </w:r>
    </w:p>
    <w:p>
      <w:r>
        <w:rPr>
          <w:b/>
        </w:rPr>
        <w:t xml:space="preserve">Ergebnis: </w:t>
      </w:r>
      <w:r>
        <w:t>Die Analyse zeigte ein ambivalentes Muster: Migration verursachte Unterbrechungen vertrauter sozialer Welten, wurde aber konsistent als Erfüllung eines Lebensprojekts um Familie, jüdische Identität und Zugehörigkeit interpretiert. Sprachliche, soziale und institutionelle Herausforderungen waren persistent, minderten aber die emotionale Bindung an Israel nicht. Emotionale Zugehörigkeit und alltägliche Integration folgen unterschiedlichen Trajektorien, was ein nuancierteres Verständnis von später Migration als Identitätsnegotiation statt einfacher Anpassung begründet.</w:t>
      </w:r>
    </w:p>
    <w:p>
      <w:r>
        <w:rPr>
          <w:b/>
          <w:sz w:val="19"/>
        </w:rPr>
        <w:t xml:space="preserve">Übertragbarkeit: </w:t>
      </w:r>
      <w:r>
        <w:rPr>
          <w:sz w:val="19"/>
        </w:rPr>
        <w:t>Qualitative Daten aus Israel und Frankreich; Erkenntnisse zu Identität und Wohlbefinden im Migrationsalter übertragbar</w:t>
      </w:r>
    </w:p>
    <w:p>
      <w:r>
        <w:rPr>
          <w:color w:val="5A7D3A"/>
          <w:sz w:val="18"/>
        </w:rPr>
        <w:t>https://pubmed.ncbi.nlm.nih.gov/42730791/</w:t>
      </w:r>
    </w:p>
    <w:p>
      <w:pPr>
        <w:pStyle w:val="Heading2"/>
      </w:pPr>
      <w:r>
        <w:t>Fettleber und Insulinresistenz: Triglycerid-Glukose-Index mit HR bis 8,27 für Lebererkrankung, biologisches Altern mediert 3–12 %</w:t>
      </w:r>
    </w:p>
    <w:p>
      <w:r>
        <w:rPr>
          <w:i/>
          <w:color w:val="666666"/>
          <w:sz w:val="18"/>
        </w:rPr>
        <w:t>Wang K et al.  ·  Front Endocrinol (Lausanne)  ·  11.08.2026  ·  PMID 42643580</w:t>
      </w:r>
    </w:p>
    <w:p>
      <w:r>
        <w:t>Eine prospektive Kohortenstudie mit 426.831 UK-Biobank-Teilnehmern ohne Fettleber zu Beginn untersuchte Triglycerid-Glukose-Indizes und Leberkrankheitsrisiko über 13,72 Jahre Nachbeobachtung.</w:t>
      </w:r>
    </w:p>
    <w:p>
      <w:r>
        <w:rPr>
          <w:b/>
        </w:rPr>
        <w:t xml:space="preserve">Ergebnis: </w:t>
      </w:r>
      <w:r>
        <w:t>Über den Nachbeobachtungszeitraum traten 6.308 neue Fettleberfälle auf. Alle sechs Triglycerid-Glukose-Adiposität-Composite-Indizes waren signifikant mit erhöhtem Fettleberrisiko assoziiert. Hazard Ratios für höchstes vs. niedrigstes Quartil: TyG-Taillenumfang 8,27 (95%-KI 7,34–9,30), TyG-Taille-Größe-Verhältnis 8,18 (7,24–9,23), TyG-BMI 6,28 (5,62–7,02), TyG-Body-Roundness-Index 7,79 (6,91–8,78). Biologisches Altern (KDM-BA, PhenoAge) vermittelte 3–12 % dieser Assoziationen. Nicht-lineare Beziehungen waren vorhanden (alle p &lt; 0,001).</w:t>
      </w:r>
    </w:p>
    <w:p>
      <w:r>
        <w:rPr>
          <w:b/>
          <w:sz w:val="19"/>
        </w:rPr>
        <w:t xml:space="preserve">Übertragbarkeit: </w:t>
      </w:r>
      <w:r>
        <w:rPr>
          <w:sz w:val="19"/>
        </w:rPr>
        <w:t>UK Biobank mit 426.831 Teilnehmern; Indexe zur Insulinresistenz und Lebererkrankung universal relevant</w:t>
      </w:r>
    </w:p>
    <w:p>
      <w:r>
        <w:rPr>
          <w:color w:val="5A7D3A"/>
          <w:sz w:val="18"/>
        </w:rPr>
        <w:t>https://pubmed.ncbi.nlm.nih.gov/42643580/</w:t>
      </w:r>
    </w:p>
    <w:p>
      <w:pPr>
        <w:pStyle w:val="Heading1"/>
      </w:pPr>
      <w:r>
        <w:t>Aufgenommen am 12.10.2026</w:t>
      </w:r>
    </w:p>
    <w:p>
      <w:pPr>
        <w:pStyle w:val="Heading2"/>
      </w:pPr>
      <w:r>
        <w:t>Motivation, Fähigkeit und Gelegenheit steuern Teilnahme an Altersprogrammen</w:t>
      </w:r>
    </w:p>
    <w:p>
      <w:r>
        <w:rPr>
          <w:i/>
          <w:color w:val="666666"/>
          <w:sz w:val="18"/>
        </w:rPr>
        <w:t>Faizal NA et al.  ·  Front Public Health  ·  25.09.2026  ·  PMID 42857060</w:t>
      </w:r>
    </w:p>
    <w:p>
      <w:r>
        <w:t>Qualitative Analyse mittels Theoretical Domains Framework und COM-B-Modell der Barrieren und Förderfaktoren für die Teilnahme an Active-Ageing-Programmen bei Älteren (50+) in Singapur, basierend auf 28 Interviews.</w:t>
      </w:r>
    </w:p>
    <w:p>
      <w:r>
        <w:rPr>
          <w:b/>
        </w:rPr>
        <w:t xml:space="preserve">Ergebnis: </w:t>
      </w:r>
      <w:r>
        <w:t>Motivation (Wissen, Wohlbefinden, digitale Fähigkeiten) war zentral, wurde aber durch Gesundheitsbedenken und körperliche Beschwerden, Technologie-Ängstlichkeit, Gedächtnisprobleme und sprachliche Barrieren gehemmt. Umweltfaktoren (Zeitverfügbarkeit, geografische Erreichbarkeit) und soziale Unterstützung (Familienermutigung) waren entscheidend. Ansatz zeigt, wie TDF und COM-B Intervention gestalten können.</w:t>
      </w:r>
    </w:p>
    <w:p>
      <w:r>
        <w:rPr>
          <w:b/>
          <w:sz w:val="19"/>
        </w:rPr>
        <w:t xml:space="preserve">Übertragbarkeit: </w:t>
      </w:r>
      <w:r>
        <w:rPr>
          <w:sz w:val="19"/>
        </w:rPr>
        <w:t>Singapur, Sozialdemokratie, digitale Versorgung, teilweise auf Deutschland übertragbar</w:t>
      </w:r>
    </w:p>
    <w:p>
      <w:r>
        <w:rPr>
          <w:color w:val="5A7D3A"/>
          <w:sz w:val="18"/>
        </w:rPr>
        <w:t>https://pubmed.ncbi.nlm.nih.gov/42857060/</w:t>
      </w:r>
    </w:p>
    <w:p>
      <w:pPr>
        <w:pStyle w:val="Heading2"/>
      </w:pPr>
      <w:r>
        <w:t>WHO-ICOPE-Ansatz für altersgerechte Primärversorgung in Portugal</w:t>
      </w:r>
    </w:p>
    <w:p>
      <w:r>
        <w:rPr>
          <w:i/>
          <w:color w:val="666666"/>
          <w:sz w:val="18"/>
        </w:rPr>
        <w:t>Vidinha Pereira AL et al.  ·  Front Public Health  ·  25.09.2026  ·  PMID 42856688</w:t>
      </w:r>
    </w:p>
    <w:p>
      <w:r>
        <w:t>Qualitative Analyse der Anpassungsfähigkeit des portugiesischen Gesundheitssystems an die alternde Bevölkerung und des Potenzials des WHO-ICOPE-Rahmens (Integrated Care for Older People) für die Primärversorgung.</w:t>
      </w:r>
    </w:p>
    <w:p>
      <w:r>
        <w:rPr>
          <w:b/>
        </w:rPr>
        <w:t xml:space="preserve">Ergebnis: </w:t>
      </w:r>
      <w:r>
        <w:t>Das portugiesische Gesundheitssystem, ursprünglich auf Mutter-Kind-Gesundheit ausgerichtet, zeigt Schwächen bei der Versorgung älterer Menschen mit Multimorbidität und Gebrechlichkeit. Der WHO-ICOPE-Ansatz wird als adaptierbar und skalierbar beschrieben, birgt aber Implementierungshürden durch Zeitmangel und mangelnde personelle und finanzielle Ressourcen. Pilot-Feldarbeit läuft zur Bewertung der Machbarkeit im portugiesischen Kontext.</w:t>
      </w:r>
    </w:p>
    <w:p>
      <w:r>
        <w:rPr>
          <w:b/>
          <w:sz w:val="19"/>
        </w:rPr>
        <w:t xml:space="preserve">Übertragbarkeit: </w:t>
      </w:r>
      <w:r>
        <w:rPr>
          <w:sz w:val="19"/>
        </w:rPr>
        <w:t>Portugal, südeuropäisches Sozialversicherungssystem, vergleichbare geriatrische Versorgungsfragen</w:t>
      </w:r>
    </w:p>
    <w:p>
      <w:r>
        <w:rPr>
          <w:color w:val="5A7D3A"/>
          <w:sz w:val="18"/>
        </w:rPr>
        <w:t>https://pubmed.ncbi.nlm.nih.gov/42856688/</w:t>
      </w:r>
    </w:p>
    <w:p>
      <w:pPr>
        <w:pStyle w:val="Heading2"/>
      </w:pPr>
      <w:r>
        <w:t>Markov-Modelle vorhersagen qualitätsadjustierte Lebenserwartung nach Strahlentherapie</w:t>
      </w:r>
    </w:p>
    <w:p>
      <w:r>
        <w:rPr>
          <w:i/>
          <w:color w:val="666666"/>
          <w:sz w:val="18"/>
        </w:rPr>
        <w:t>Tattenberg S et al.  ·  Med Phys  ·  Okt. 2026  ·  PMID 42837329</w:t>
      </w:r>
    </w:p>
    <w:p>
      <w:r>
        <w:t>Klinische Validierungsstudie eines Markov-Modells zur Simulation der lebenslangen qualitätsadjustierten Lebenserwartung (QALE) bei 148 Kopf-Hals-Krebspatienten nach Radiotherapie, inklusiv Tumorrezidiv, Toxizität, Fernmetastasen, Sekundärkarzinome und Sterblichkeit.</w:t>
      </w:r>
    </w:p>
    <w:p>
      <w:r>
        <w:rPr>
          <w:b/>
        </w:rPr>
        <w:t xml:space="preserve">Ergebnis: </w:t>
      </w:r>
      <w:r>
        <w:t>Lokoregionale Kontrolle in 94,4% der Simulationen vs. 89,9% klinisch (gute Übereinstimmung). Sterblichkeit mit Lokoregionalversagen 4,9% vs. 5,4% klinisch. Sekundärkarzinomrate 13,5%. Simulierte Lebenserwartung 76,5 ± 11,6 Jahre, qualitätsadjustiert 74,3 ± 11,0 QALY. Modell validiert für prospektive Vorhersagen und Vergleiche zwischen Patientenpopulationen.</w:t>
      </w:r>
    </w:p>
    <w:p>
      <w:r>
        <w:rPr>
          <w:b/>
          <w:sz w:val="19"/>
        </w:rPr>
        <w:t xml:space="preserve">Übertragbarkeit: </w:t>
      </w:r>
      <w:r>
        <w:rPr>
          <w:sz w:val="19"/>
        </w:rPr>
        <w:t>Methodische Innovation, Kohortendaten USA, QALE-Ansatz auf europäische Versorgung übertragbar</w:t>
      </w:r>
    </w:p>
    <w:p>
      <w:r>
        <w:rPr>
          <w:color w:val="5A7D3A"/>
          <w:sz w:val="18"/>
        </w:rPr>
        <w:t>https://pubmed.ncbi.nlm.nih.gov/42837329/</w:t>
      </w:r>
    </w:p>
    <w:p>
      <w:pPr>
        <w:pStyle w:val="Heading2"/>
      </w:pPr>
      <w:r>
        <w:t>Gebrechlichkeit und Depression lähmen Kognition bei Paaren langfristig</w:t>
      </w:r>
    </w:p>
    <w:p>
      <w:r>
        <w:rPr>
          <w:i/>
          <w:color w:val="666666"/>
          <w:sz w:val="18"/>
        </w:rPr>
        <w:t>Wu H et al.  ·  Psychiatry Res  ·  18.09.2026  ·  PMID 42828818</w:t>
      </w:r>
    </w:p>
    <w:p>
      <w:r>
        <w:t>Kohortenstudie an 5.828 Ehepaaren aus der China Health and Retirement Longitudinal Study (2011–2020) zur Analyse gemeinsamer Frailty- und Depressions-Trajektorien und ihrer Assoziation mit kognitiver Leistung über Zeit.</w:t>
      </w:r>
    </w:p>
    <w:p>
      <w:r>
        <w:rPr>
          <w:b/>
        </w:rPr>
        <w:t xml:space="preserve">Ergebnis: </w:t>
      </w:r>
      <w:r>
        <w:t>Vier distinct Multitrajectory-Gruppen identifiziert. Innerhalb von Paaren korrelierte kognitiver Verfall (r = 0,567, p &lt; 0,001). Alle Trajektoriengruppen außer der stabilen (G1) zeigten deutlich schlechtere beidseitige Kognition (p &lt; 0,001). Frauen in progressiver Frailty-Depression-Gruppe (G3) zeigten jährlichen kognitiven Rückgang von 0,125 Einheiten extra (p &lt; 0,001), Männer in G4 von 0,288 Einheiten/Jahr (p &lt; 0,001).</w:t>
      </w:r>
    </w:p>
    <w:p>
      <w:r>
        <w:rPr>
          <w:b/>
          <w:sz w:val="19"/>
        </w:rPr>
        <w:t xml:space="preserve">Übertragbarkeit: </w:t>
      </w:r>
      <w:r>
        <w:rPr>
          <w:sz w:val="19"/>
        </w:rPr>
        <w:t>China, Sozialversicherungssystem unterscheidet sich, Ergebnis zu Gebrechlichkeit-Depression-Kognition-Triaden übertragbar</w:t>
      </w:r>
    </w:p>
    <w:p>
      <w:r>
        <w:rPr>
          <w:color w:val="5A7D3A"/>
          <w:sz w:val="18"/>
        </w:rPr>
        <w:t>https://pubmed.ncbi.nlm.nih.gov/42828818/</w:t>
      </w:r>
    </w:p>
    <w:p>
      <w:pPr>
        <w:pStyle w:val="Heading2"/>
      </w:pPr>
      <w:r>
        <w:t>Räumliche Versorgungsgerechtigkeit für Altenpflege muss optimiert werden</w:t>
      </w:r>
    </w:p>
    <w:p>
      <w:r>
        <w:rPr>
          <w:i/>
          <w:color w:val="666666"/>
          <w:sz w:val="18"/>
        </w:rPr>
        <w:t>Chen X et al.  ·  Front Public Health  ·  18.09.2026  ·  PMID 42827439</w:t>
      </w:r>
    </w:p>
    <w:p>
      <w:r>
        <w:t>Raumanalytische Studie der Verteilung von Altenpflegeeinrichtungen in Guangzhou (China) unter Verwendung von Nearest-Neighbor-Index, Kernel-Density-Analyse, Netzwerk-Erreichbarkeit und Angebots-Nachfrage-Matching-Modellen.</w:t>
      </w:r>
    </w:p>
    <w:p>
      <w:r>
        <w:rPr>
          <w:b/>
        </w:rPr>
        <w:t xml:space="preserve">Ergebnis: </w:t>
      </w:r>
      <w:r>
        <w:t>Nachfrage und Angebot an Altenpflegefazilitäten zeigen starke räumliche Clusterung mit zentralem Versorgungskern. Gesamterreichbarkeit relativ hoch, aber mit Zentrum-Peripherie-Gefälle. Ressourcenallokation insgesamt angemessen, aber regionale Disparitäten bleiben. Empfehlung: Weiterer Ausbau zur Ausbalancierung der Zugänglichkeit.</w:t>
      </w:r>
    </w:p>
    <w:p>
      <w:r>
        <w:rPr>
          <w:b/>
          <w:sz w:val="19"/>
        </w:rPr>
        <w:t xml:space="preserve">Übertragbarkeit: </w:t>
      </w:r>
      <w:r>
        <w:rPr>
          <w:sz w:val="19"/>
        </w:rPr>
        <w:t>China, andere Finanzierungsstruktur, Methoden zur Disparitätenmessung übertragbar</w:t>
      </w:r>
    </w:p>
    <w:p>
      <w:r>
        <w:rPr>
          <w:color w:val="5A7D3A"/>
          <w:sz w:val="18"/>
        </w:rPr>
        <w:t>https://pubmed.ncbi.nlm.nih.gov/42827439/</w:t>
      </w:r>
    </w:p>
    <w:p>
      <w:pPr>
        <w:pStyle w:val="Heading2"/>
      </w:pPr>
      <w:r>
        <w:t>Langzeitverläufe von Gedächtnis und Einsamkeit prägen Wahrnehmung des Alterns</w:t>
      </w:r>
    </w:p>
    <w:p>
      <w:r>
        <w:rPr>
          <w:i/>
          <w:color w:val="666666"/>
          <w:sz w:val="18"/>
        </w:rPr>
        <w:t>Koch J et al.  ·  J Gerontol B Psychol Sci Soc Sci  ·  07.10.2026  ·  PMID 42625387</w:t>
      </w:r>
    </w:p>
    <w:p>
      <w:r>
        <w:t>Longitudinale Studie über 9 Jahre an 753 Berliner Älteren (61–81 Jahre zu Baseline), in der körperliche Gesundheit, Kognition und Einsamkeit als Prädiktoren für die subjektive Wahrnehmung altersbezogener Veränderungen untersucht wurden.</w:t>
      </w:r>
    </w:p>
    <w:p>
      <w:r>
        <w:rPr>
          <w:b/>
        </w:rPr>
        <w:t xml:space="preserve">Ergebnis: </w:t>
      </w:r>
      <w:r>
        <w:t>Bessere Baseline-Gedächtnisleistung (Recall) war mit weniger wahrgenommenen Altersverlusten assoziiert. Steilere Gedächtnisverschlechterung und höhere Morbidität korrelierte mit stärkerer Wahrnehmung von Verlusten. Höhere Einsamkeit war mit mehr wahrgenommenen Verlusten und weniger wahrgenommenen Gewinnen verbunden. Verarbeitungsgeschwindigkeit, Arbeitsgedächtnis, Hör- und Sehvermögen zeigten keine signifikanten Assoziationen.</w:t>
      </w:r>
    </w:p>
    <w:p>
      <w:r>
        <w:rPr>
          <w:b/>
          <w:sz w:val="19"/>
        </w:rPr>
        <w:t xml:space="preserve">Übertragbarkeit: </w:t>
      </w:r>
      <w:r>
        <w:rPr>
          <w:sz w:val="19"/>
        </w:rPr>
        <w:t>Deutsche Studie mit Berliner Probanden, vergleichbare Dokumentation und Messinstrumente</w:t>
      </w:r>
    </w:p>
    <w:p>
      <w:r>
        <w:rPr>
          <w:color w:val="5A7D3A"/>
          <w:sz w:val="18"/>
        </w:rPr>
        <w:t>https://pubmed.ncbi.nlm.nih.gov/42625387/</w:t>
      </w:r>
    </w:p>
    <w:p>
      <w:pPr>
        <w:pStyle w:val="Heading1"/>
      </w:pPr>
      <w:r>
        <w:t>Aufgenommen am 11.10.2026</w:t>
      </w:r>
    </w:p>
    <w:p>
      <w:pPr>
        <w:pStyle w:val="Heading2"/>
      </w:pPr>
      <w:r>
        <w:t>Frailty-Assessment verbessert Risikostratifizierung bei rekonstruktiver Kopf-Hals-Chirurgie</w:t>
      </w:r>
    </w:p>
    <w:p>
      <w:r>
        <w:rPr>
          <w:i/>
          <w:color w:val="666666"/>
          <w:sz w:val="18"/>
        </w:rPr>
        <w:t>Tee JW et al.  ·  Microsurgery  ·  Okt. 2026  ·  PMID 42855949</w:t>
      </w:r>
    </w:p>
    <w:p>
      <w:r>
        <w:t>Retrospektive Kohortenstudie mit 406 Patienten, die sich einer Fibula-Free-Flap-Rekonstruktion unterzogen, untersuchte den Wert des modifizierten Frailty-Index (mFI-5) zur Vorhersage perioperativer Komplikationen.</w:t>
      </w:r>
    </w:p>
    <w:p>
      <w:r>
        <w:rPr>
          <w:b/>
        </w:rPr>
        <w:t xml:space="preserve">Ergebnis: </w:t>
      </w:r>
      <w:r>
        <w:t>Der mFI-5 war ein stärkerer Prädiktor für Morbidität als das chronologische Alter. Patienten mit mFI-5=1 (adjustierte Odds Ratio 1,84; 95%-KI 1,01–3,47) und mFI-5=2 (aOR 3,45; 95%-KI 1,38–8,57) zeigten signifikant erhöhtes Risiko für medizinische Komplikationen. Ein mFI-5=2 war auch unabhängiger Prädiktor für chirurgische Komplikationen (aOR 2,27; 95%-KI 1,00–5,43).</w:t>
      </w:r>
    </w:p>
    <w:p>
      <w:r>
        <w:rPr>
          <w:b/>
          <w:sz w:val="19"/>
        </w:rPr>
        <w:t xml:space="preserve">Übertragbarkeit: </w:t>
      </w:r>
      <w:r>
        <w:rPr>
          <w:sz w:val="19"/>
        </w:rPr>
        <w:t>Deutschland – Klinikdaten (ACS-NSQIP), Frailty-Assessment etabliert im deutschsprachigen Raum.</w:t>
      </w:r>
    </w:p>
    <w:p>
      <w:r>
        <w:rPr>
          <w:color w:val="5A7D3A"/>
          <w:sz w:val="18"/>
        </w:rPr>
        <w:t>https://pubmed.ncbi.nlm.nih.gov/42855949/</w:t>
      </w:r>
    </w:p>
    <w:p>
      <w:pPr>
        <w:pStyle w:val="Heading2"/>
      </w:pPr>
      <w:r>
        <w:t>Gesundheitskompetenz fördert erfolgreiches Altern bei älteren Ägyptern</w:t>
      </w:r>
    </w:p>
    <w:p>
      <w:r>
        <w:rPr>
          <w:i/>
          <w:color w:val="666666"/>
          <w:sz w:val="18"/>
        </w:rPr>
        <w:t>Ibrahim HS et al.  ·  BMC Public Health  ·  09.10.2026  ·  PMID 42855688</w:t>
      </w:r>
    </w:p>
    <w:p>
      <w:r>
        <w:t>Querschnittvergleichsstudie mit 246 Teilnehmern (123 mit chronischen Erkrankungen, 123 gesund), alle ≥65 Jahre, untersuchte den Zusammenhang zwischen Gesundheitskompetenz (Health Literacy) und erfolgreichem Altern (Successful Aging).</w:t>
      </w:r>
    </w:p>
    <w:p>
      <w:r>
        <w:rPr>
          <w:b/>
        </w:rPr>
        <w:t xml:space="preserve">Ergebnis: </w:t>
      </w:r>
      <w:r>
        <w:t>Patienten zeigten signifikant niedrigere Gesundheitskompetenz- und Erfolgreiches-Altern-Scores als Kontrollen (p&lt;0,001). Gesundheitskompetenz war positiv mit erfolgreichem Altern korreliert (r=0,612, p&lt;0,001) und blieb der stärkste unabhängige Prädiktor in der Regressionsanalyse. Höhere Bildung und Einkommen verbesserten erfolgreiches Altern; Alter, ländliche Wohnorte und Rauchen beeinträchtigten es.</w:t>
      </w:r>
    </w:p>
    <w:p>
      <w:r>
        <w:rPr>
          <w:b/>
          <w:sz w:val="19"/>
        </w:rPr>
        <w:t xml:space="preserve">Übertragbarkeit: </w:t>
      </w:r>
      <w:r>
        <w:rPr>
          <w:sz w:val="19"/>
        </w:rPr>
        <w:t>Ägypten – Übertragbarkeit begrenzt durch unterschiedliche Gesundheitssysteme und Sozialversicherung.</w:t>
      </w:r>
    </w:p>
    <w:p>
      <w:r>
        <w:rPr>
          <w:color w:val="5A7D3A"/>
          <w:sz w:val="18"/>
        </w:rPr>
        <w:t>https://pubmed.ncbi.nlm.nih.gov/42855688/</w:t>
      </w:r>
    </w:p>
    <w:p>
      <w:pPr>
        <w:pStyle w:val="Heading2"/>
      </w:pPr>
      <w:r>
        <w:t>Altersgerechte Versorgung und Wellness in Zhejiang: räumlich-zeitliche Entwicklung</w:t>
      </w:r>
    </w:p>
    <w:p>
      <w:r>
        <w:rPr>
          <w:i/>
          <w:color w:val="666666"/>
          <w:sz w:val="18"/>
        </w:rPr>
        <w:t>Qin S et al.  ·  Inquiry  ·  09.10.2026  ·  PMID 42853239</w:t>
      </w:r>
    </w:p>
    <w:p>
      <w:r>
        <w:t>Bewertungsstudie mit Entropie-Gewichtungsmethode analysierte räumlich-zeitliche Muster der Eignung älterenbezogener Versorgung und Wellness (SECW) in 11 Präfekturen Zhejangs 2014–2023 anhand von natürlichen Ressourcen, sozialen Ressourcen und sozialem Unterstützungsindex.</w:t>
      </w:r>
    </w:p>
    <w:p>
      <w:r>
        <w:rPr>
          <w:b/>
        </w:rPr>
        <w:t xml:space="preserve">Ergebnis: </w:t>
      </w:r>
      <w:r>
        <w:t>Gesamttrend der SECW in Zhejiang war aufsteigend, regionale Disparitäten bestanden fort. Ein Drei-Ebenen-Muster entstand: Hangzhou und Ningbo als Hochwertzentren; Küsten- und Zentralstädte als dynamische mittlere Ebene; Südwestregionen als relativ rückständige dritte Ebene. Moran's I-Analysen offenbarten negative räumliche Autokorrelation, dominiert von "High-Low"- und "Low-High"-Mustern; keine signifikanten Hochwertagglomerationen.</w:t>
      </w:r>
    </w:p>
    <w:p>
      <w:r>
        <w:rPr>
          <w:b/>
          <w:sz w:val="19"/>
        </w:rPr>
        <w:t xml:space="preserve">Übertragbarkeit: </w:t>
      </w:r>
      <w:r>
        <w:rPr>
          <w:sz w:val="19"/>
        </w:rPr>
        <w:t>China – Gesundheitssystem und Regionalstruktur unterscheiden sich von Deutschland; Konzept der Versorgungsgerechtigkeit aber relevant.</w:t>
      </w:r>
    </w:p>
    <w:p>
      <w:r>
        <w:rPr>
          <w:color w:val="5A7D3A"/>
          <w:sz w:val="18"/>
        </w:rPr>
        <w:t>https://pubmed.ncbi.nlm.nih.gov/42853239/</w:t>
      </w:r>
    </w:p>
    <w:p>
      <w:pPr>
        <w:pStyle w:val="Heading2"/>
      </w:pPr>
      <w:r>
        <w:t>Grünflächen schützen vor beschleunigter biologischer Alterung trotz Luftverschmutzung</w:t>
      </w:r>
    </w:p>
    <w:p>
      <w:r>
        <w:rPr>
          <w:i/>
          <w:color w:val="666666"/>
          <w:sz w:val="18"/>
        </w:rPr>
        <w:t>Ma G et al.  ·  Environ Health Perspect  ·  06.10.2026  ·  PMID 42852352</w:t>
      </w:r>
    </w:p>
    <w:p>
      <w:r>
        <w:t>Längsschnittstudie mit 11.760 Erwachsenen (20–65 Jahre) in chinesischer Hochverschmutzungsstadt untersuchte die Auswirkungen von Grünflächen und Luftschadstoffmischung auf biologische Alterungsmuster mittels Klemera-Doubal-Methode.</w:t>
      </w:r>
    </w:p>
    <w:p>
      <w:r>
        <w:rPr>
          <w:b/>
        </w:rPr>
        <w:t xml:space="preserve">Ergebnis: </w:t>
      </w:r>
      <w:r>
        <w:t>Höhere Grünflächenexposition (NDVI 500 m) war mit niedrigeren Chancen für Zugehörigkeit zur beschleunigten Alterungstrajektorie verbunden (OR 0,84; 95%-KI 0,75–0,95). Höhere PM₂,₅-, PM₁₀-, SO₂- und O₃-Expositionen waren mit höheren Chancen für beschleunigte Alterung assoziiert. Die Schadstoffmischung zeigte konsistente positive Assoziation (OR 1,16; 95%-KI 1,08–1,24), dominiert durch O₃ und PM₁₀. Grünflächen-Schutzeffekt wurde zu 25% durch reduzierte Schadstoffexposition vermittelt.</w:t>
      </w:r>
    </w:p>
    <w:p>
      <w:r>
        <w:rPr>
          <w:b/>
          <w:sz w:val="19"/>
        </w:rPr>
        <w:t xml:space="preserve">Übertragbarkeit: </w:t>
      </w:r>
      <w:r>
        <w:rPr>
          <w:sz w:val="19"/>
        </w:rPr>
        <w:t>China – Luftqualität und Grünflächenverfügbarkeit unterscheiden sich von Deutschland; Konzept aber auf deutsche Städte übertragbar.</w:t>
      </w:r>
    </w:p>
    <w:p>
      <w:r>
        <w:rPr>
          <w:color w:val="5A7D3A"/>
          <w:sz w:val="18"/>
        </w:rPr>
        <w:t>https://pubmed.ncbi.nlm.nih.gov/42852352/</w:t>
      </w:r>
    </w:p>
    <w:p>
      <w:pPr>
        <w:pStyle w:val="Heading2"/>
      </w:pPr>
      <w:r>
        <w:t>Regionale Disparitäten zwischen Bevölkerungsalterung und Gesundheitsressourcen in China</w:t>
      </w:r>
    </w:p>
    <w:p>
      <w:r>
        <w:rPr>
          <w:i/>
          <w:color w:val="666666"/>
          <w:sz w:val="18"/>
        </w:rPr>
        <w:t>Liu Q et al.  ·  Front Public Health  ·  23.09.2026  ·  PMID 42845648</w:t>
      </w:r>
    </w:p>
    <w:p>
      <w:r>
        <w:t>Provinziale Analyse (31 Regionen, 2000–2023) untersuchte die zeitlich-räumliche Koordination zwischen Alterungscharakteristiken der Bevölkerung und Kapazität des Gesundheitswesens mittels gekoppelter Koordinationsgradmodelle.</w:t>
      </w:r>
    </w:p>
    <w:p>
      <w:r>
        <w:rPr>
          <w:b/>
        </w:rPr>
        <w:t xml:space="preserve">Ergebnis: </w:t>
      </w:r>
      <w:r>
        <w:t>Chinas Alterungskoeffizient stieg von 7,0% (2000) auf 14,9% (2023). Die nationale Koordination verbesserte sich über den Zeitraum. Regionale Disparitäten blieben jedoch stark: Shandong und Jiangsu erreichten höchste Koordinationsklasse (D≥0,60), während Tibet und Qinghai in der niedrigsten Klasse blieben (D&lt;0,20). Der Variationskoeffizient der provinzialen Alterungskoeffizienten sank nur von 0,41 auf 0,38.</w:t>
      </w:r>
    </w:p>
    <w:p>
      <w:r>
        <w:rPr>
          <w:b/>
          <w:sz w:val="19"/>
        </w:rPr>
        <w:t xml:space="preserve">Übertragbarkeit: </w:t>
      </w:r>
      <w:r>
        <w:rPr>
          <w:sz w:val="19"/>
        </w:rPr>
        <w:t>China – Systeme und Ressourcenlage unterscheiden sich erheblich von Deutschland, Einsichten für Versorgungsplanung begrenzt übertragbar.</w:t>
      </w:r>
    </w:p>
    <w:p>
      <w:r>
        <w:rPr>
          <w:color w:val="5A7D3A"/>
          <w:sz w:val="18"/>
        </w:rPr>
        <w:t>https://pubmed.ncbi.nlm.nih.gov/42845648/</w:t>
      </w:r>
    </w:p>
    <w:p>
      <w:pPr>
        <w:pStyle w:val="Heading2"/>
      </w:pPr>
      <w:r>
        <w:t>Add CAPS-Protokoll: kognitives, physisches und Hörvermögen in der Midlife-Phase</w:t>
      </w:r>
    </w:p>
    <w:p>
      <w:r>
        <w:rPr>
          <w:i/>
          <w:color w:val="666666"/>
          <w:sz w:val="18"/>
        </w:rPr>
        <w:t>Aiello AE et al.  ·  J Gerontol B Psychol Sci Soc Sci  ·  01.10.2026  ·  PMID 42837504</w:t>
      </w:r>
    </w:p>
    <w:p>
      <w:r>
        <w:t>Methodenstudie zur Implementierung umfassender kognitiver, physischer und sensorischer Funktionstests (Add CAPS) bei 6.073 Personen durchschnittlich 44 Jahre alt in der Wave VI der Add Health Longitudinalstudie.</w:t>
      </w:r>
    </w:p>
    <w:p>
      <w:r>
        <w:rPr>
          <w:b/>
        </w:rPr>
        <w:t xml:space="preserve">Ergebnis: </w:t>
      </w:r>
      <w:r>
        <w:t>Antwortquoten betrugen ~85% für digitale kognitive Tests und ~94% für persönlich durchgeführte Tests. Jüngere Teilnehmende und solche mit höherer Bildung zeigten bessere kognitive Leistung. Männliche, ältere und weniger gebildete Teilnehmende hatten schlechteres Hörvermögen. Keine Altersunterschiede in der Handgriffstärke, aber Variation nach Bildung. Selbstberichtete kognitive und physische Schwierigkeiten waren häufig.</w:t>
      </w:r>
    </w:p>
    <w:p>
      <w:r>
        <w:rPr>
          <w:b/>
          <w:sz w:val="19"/>
        </w:rPr>
        <w:t xml:space="preserve">Übertragbarkeit: </w:t>
      </w:r>
      <w:r>
        <w:rPr>
          <w:sz w:val="19"/>
        </w:rPr>
        <w:t>USA – Add Health ist US-Kohortenstudie; Übertragung auf Deutschland eingeschränkt durch andere Altersstruktur und Versicherungssystem.</w:t>
      </w:r>
    </w:p>
    <w:p>
      <w:r>
        <w:rPr>
          <w:color w:val="5A7D3A"/>
          <w:sz w:val="18"/>
        </w:rPr>
        <w:t>https://pubmed.ncbi.nlm.nih.gov/42837504/</w:t>
      </w:r>
    </w:p>
    <w:p>
      <w:pPr>
        <w:pStyle w:val="Heading1"/>
      </w:pPr>
      <w:r>
        <w:t>Aufgenommen am 10.10.2026</w:t>
      </w:r>
    </w:p>
    <w:p>
      <w:pPr>
        <w:pStyle w:val="Heading2"/>
      </w:pPr>
      <w:r>
        <w:t>Aufwärts-Mobilität verzögert funktionalen Decline im Alter</w:t>
      </w:r>
    </w:p>
    <w:p>
      <w:r>
        <w:rPr>
          <w:i/>
          <w:color w:val="666666"/>
          <w:sz w:val="18"/>
        </w:rPr>
        <w:t>Guo L et al.  ·  J Glob Health  ·  09.10.2026  ·  PMID 42852608</w:t>
      </w:r>
    </w:p>
    <w:p>
      <w:r>
        <w:t>Harmonisierte Analyse von 100.362 Personen über 50 Jahren aus fünf Ländern (China, USA, Europa, Südkorea, Mexiko) zur Assoziation zwischen intergenerationaler Bildungsmobilität und intrinsischer Kapazität (kognitiv, Motorik, Vitalität, Sinne, psychisch).</w:t>
      </w:r>
    </w:p>
    <w:p>
      <w:r>
        <w:rPr>
          <w:b/>
        </w:rPr>
        <w:t xml:space="preserve">Ergebnis: </w:t>
      </w:r>
      <w:r>
        <w:t>Aufwärts-Mobilität korreliert mit höherer intrinsischer Kapazität (gepooltes β = 0,25; 95%-KI 0,24–0,26; p &lt; 0,001) und verzögert den altersbedingten Funktionsverlust in China, Europa, Südkorea und Mexiko signifikant. USA zeigt Ausnahme: Mobilität erhöht Baseline-Kapazität, aber nicht die Verlaufsrate. Befund unterstreicht Kontext-Abhängigkeit sozialer Determinanten.</w:t>
      </w:r>
    </w:p>
    <w:p>
      <w:r>
        <w:rPr>
          <w:b/>
          <w:sz w:val="19"/>
        </w:rPr>
        <w:t xml:space="preserve">Übertragbarkeit: </w:t>
      </w:r>
      <w:r>
        <w:rPr>
          <w:sz w:val="19"/>
        </w:rPr>
        <w:t>Europäische Länder inkludiert, aber Transferbarkeit auf Deutschland durch unterschiedliche Bildungs- und Sozialsysteme begrenzt.</w:t>
      </w:r>
    </w:p>
    <w:p>
      <w:r>
        <w:rPr>
          <w:color w:val="5A7D3A"/>
          <w:sz w:val="18"/>
        </w:rPr>
        <w:t>https://pubmed.ncbi.nlm.nih.gov/42852608/</w:t>
      </w:r>
    </w:p>
    <w:p>
      <w:pPr>
        <w:pStyle w:val="Heading2"/>
      </w:pPr>
      <w:r>
        <w:t>Zahnpflege-Inanspruchnahme und kognitiver Decline im Alter: 14-Jahr-Längsschnitt</w:t>
      </w:r>
    </w:p>
    <w:p>
      <w:r>
        <w:rPr>
          <w:i/>
          <w:color w:val="666666"/>
          <w:sz w:val="18"/>
        </w:rPr>
        <w:t>Jung YS et al.  ·  Front Public Health  ·  24.09.2026  ·  PMID 42851369</w:t>
      </w:r>
    </w:p>
    <w:p>
      <w:r>
        <w:t>Trajektorien-Analyse zahnärztlicher Inanspruchnahme über 14 Jahre (Health and Retirement Study, n = 14.599, ≥ 50 Jahre) und Assoziation mit kognitiver Leistung (27-Punkte-Score), mit Mediation durch Selbst-Gesundheit und ADL-Einschränkungen.</w:t>
      </w:r>
    </w:p>
    <w:p>
      <w:r>
        <w:rPr>
          <w:b/>
        </w:rPr>
        <w:t xml:space="preserve">Ergebnis: </w:t>
      </w:r>
      <w:r>
        <w:t>Drei Trajektorien identifiziert: Persistently High (53,3%), Decreasing (14,5%), Persistent Low (32,2%). Vs. Persistent High zeigte Persistent Low schnelleren kognitiven Decline (β = -0,107 pro 2-Jahr-Welle, 95%-KI -0,133 bis -0,081; p &lt; 0,0001), entsprechend 0,75 zusätzlichen Punkten über 14 Jahre. ADL-Verschlechterung mediiert 9,3–11,6% der Assoziation. Kausale Inferenz nicht möglich.</w:t>
      </w:r>
    </w:p>
    <w:p>
      <w:r>
        <w:rPr>
          <w:b/>
          <w:sz w:val="19"/>
        </w:rPr>
        <w:t xml:space="preserve">Übertragbarkeit: </w:t>
      </w:r>
      <w:r>
        <w:rPr>
          <w:sz w:val="19"/>
        </w:rPr>
        <w:t>US-Kohorte (Health and Retirement Study), Funktionsverschlechterung als Endpunkt systemunabhängig relevant; deutsche Übertragung mit Vorbehalten zur Gesundheitssystem-spezifität.</w:t>
      </w:r>
    </w:p>
    <w:p>
      <w:r>
        <w:rPr>
          <w:color w:val="5A7D3A"/>
          <w:sz w:val="18"/>
        </w:rPr>
        <w:t>https://pubmed.ncbi.nlm.nih.gov/42851369/</w:t>
      </w:r>
    </w:p>
    <w:p>
      <w:pPr>
        <w:pStyle w:val="Heading2"/>
      </w:pPr>
      <w:r>
        <w:t>Fettmasse-zu-Magermasse-Verhältnis im Alter: Perzentil-Kurven aus kanadischer Längsschnittstudie</w:t>
      </w:r>
    </w:p>
    <w:p>
      <w:r>
        <w:rPr>
          <w:i/>
          <w:color w:val="666666"/>
          <w:sz w:val="18"/>
        </w:rPr>
        <w:t>Kim C et al.  ·  J Cachexia Sarcopenia Muscle  ·  Okt. 2026  ·  PMID 42850807</w:t>
      </w:r>
    </w:p>
    <w:p>
      <w:r>
        <w:t>Entwicklung alters- und geschlechtsspezifischer FM/FFM-Perzentil-Kurven (1. bis 99. Perzentil) aus 28.791 Personen der Canadian Longitudinal Study on Aging (DXA-Messungen), um sarkopene Adipositas zu identifizieren.</w:t>
      </w:r>
    </w:p>
    <w:p>
      <w:r>
        <w:rPr>
          <w:b/>
        </w:rPr>
        <w:t xml:space="preserve">Ergebnis: </w:t>
      </w:r>
      <w:r>
        <w:t>Bei Männern steigen FM/FFM-Perzentile langsam mit Alter bis 70 Jahre, dann Stabilisierung; bei Frauen höhere Ausgangswerte, schnellerer Anstieg bis 68 Jahre (50. Perzentil: 0,71), dann Rückgang. Männer zeigen 50. Perzentil von 0,42 im Alter 86 Jahren. Kurven zeigen relevante alters- und geschlechtsspezifische Unterschiede für Risikoidentifikation.</w:t>
      </w:r>
    </w:p>
    <w:p>
      <w:r>
        <w:rPr>
          <w:b/>
          <w:sz w:val="19"/>
        </w:rPr>
        <w:t xml:space="preserve">Übertragbarkeit: </w:t>
      </w:r>
      <w:r>
        <w:rPr>
          <w:sz w:val="19"/>
        </w:rPr>
        <w:t>Kanadische Kohorte, ähnliches Gesundheitssystem; Daten direkt auf Deutschland übertragbar.</w:t>
      </w:r>
    </w:p>
    <w:p>
      <w:r>
        <w:rPr>
          <w:color w:val="5A7D3A"/>
          <w:sz w:val="18"/>
        </w:rPr>
        <w:t>https://pubmed.ncbi.nlm.nih.gov/42850807/</w:t>
      </w:r>
    </w:p>
    <w:p>
      <w:pPr>
        <w:pStyle w:val="Heading2"/>
      </w:pPr>
      <w:r>
        <w:t>Vitamin-D-Mangel und Sterblichkeit im Alter: Kohorten-Follow-up und Supplementierungseffekt</w:t>
      </w:r>
    </w:p>
    <w:p>
      <w:r>
        <w:rPr>
          <w:i/>
          <w:color w:val="666666"/>
          <w:sz w:val="18"/>
        </w:rPr>
        <w:t>Israel A et al.  ·  Aging Cell  ·  Okt. 2026  ·  PMID 42850752</w:t>
      </w:r>
    </w:p>
    <w:p>
      <w:r>
        <w:t>Longitudinale Analyse von über 468.500 Personen (israelisches und US-amerikanisches Kohorte) zur Assoziation zwischen Vitamin-D-Status und Alterungs-bezogenen Outcomes über bis zu 10 Jahren, mit Modellierung der Supplementierungs-Modifizierbarkeit.</w:t>
      </w:r>
    </w:p>
    <w:p>
      <w:r>
        <w:rPr>
          <w:b/>
        </w:rPr>
        <w:t xml:space="preserve">Ergebnis: </w:t>
      </w:r>
      <w:r>
        <w:t>Schwerer Vitamin-D-Mangel (&lt; 10 ng/mL vs. &gt; 30 ng/mL) assoziiert mit erhöhter Gesamtsterblichkeit (Israel: HR 2,57, 95%-KI 2,38–2,79; USA: HR 1,59, 95%-KI 1,55–1,63) und Multimorbidität. Supplementierung &gt; 10 ng/mL-Äquivalent reduziert Mortalität dose-abhängig (HR 0,72, 95%-KI 0,68–0,76). Befund unterstützt Vitamin D als modifizierbare Determinante der Alterungsvulnerabilität.</w:t>
      </w:r>
    </w:p>
    <w:p>
      <w:r>
        <w:rPr>
          <w:b/>
          <w:sz w:val="19"/>
        </w:rPr>
        <w:t xml:space="preserve">Übertragbarkeit: </w:t>
      </w:r>
      <w:r>
        <w:rPr>
          <w:sz w:val="19"/>
        </w:rPr>
        <w:t>Israelische Daten vergleichbar mit Deutschland (Gesundheitssystem); US-Ergebnisse mit Vorbehalten; klinische Modifizierbarkeit ist systemunabhängig.</w:t>
      </w:r>
    </w:p>
    <w:p>
      <w:r>
        <w:rPr>
          <w:color w:val="5A7D3A"/>
          <w:sz w:val="18"/>
        </w:rPr>
        <w:t>https://pubmed.ncbi.nlm.nih.gov/42850752/</w:t>
      </w:r>
    </w:p>
    <w:p>
      <w:pPr>
        <w:pStyle w:val="Heading2"/>
      </w:pPr>
      <w:r>
        <w:t>Ernährungsdiversität und Depression bei älteren Landbewohnern in China: dynamische Assoziationen</w:t>
      </w:r>
    </w:p>
    <w:p>
      <w:r>
        <w:rPr>
          <w:i/>
          <w:color w:val="666666"/>
          <w:sz w:val="18"/>
        </w:rPr>
        <w:t>Luohong et al.  ·  BMC Public Health  ·  24.07.2026  ·  PMID 42850599</w:t>
      </w:r>
    </w:p>
    <w:p>
      <w:r>
        <w:t>Latent Class Growth Analysis mit Netzwerk-Analyse (n = 899 ländliche Personen ≥ 60 Jahre, China, 2011–2018) zur Assoziation zwischen Ernährungsdiversitäts-Trajektorien und depressiven Symptomen (CESD-10).</w:t>
      </w:r>
    </w:p>
    <w:p>
      <w:r>
        <w:rPr>
          <w:b/>
        </w:rPr>
        <w:t xml:space="preserve">Ergebnis: </w:t>
      </w:r>
      <w:r>
        <w:t>Zwei Trajektorien: hoch und graduell steigend vs. persistently low. Persistently low-Gruppe zeigte höheres Depressionsrisiko (OR = 0,54, 95%-KI 0,396–0,736), d.h. 46% niedrigeres Risiko bei hoher Diversität. Netzwerk-Intensität unterschied sich signifikant (S = 0,98, p = 0,002). Kernale Symptome variierten zwischen Gruppen. Intervention auf Kernale Symptome empfohlen.</w:t>
      </w:r>
    </w:p>
    <w:p>
      <w:r>
        <w:rPr>
          <w:b/>
          <w:sz w:val="19"/>
        </w:rPr>
        <w:t xml:space="preserve">Übertragbarkeit: </w:t>
      </w:r>
      <w:r>
        <w:rPr>
          <w:sz w:val="19"/>
        </w:rPr>
        <w:t>China; Mechanism (Ernährung–Psyche) ist aber kulturunabhängig; moderate Übertragbarkeit auf Deutschland wegen anderer Ernährungskulturen und Lebensmittel-Verfügbarkeit.</w:t>
      </w:r>
    </w:p>
    <w:p>
      <w:r>
        <w:rPr>
          <w:color w:val="5A7D3A"/>
          <w:sz w:val="18"/>
        </w:rPr>
        <w:t>https://pubmed.ncbi.nlm.nih.gov/42850599/</w:t>
      </w:r>
    </w:p>
    <w:p>
      <w:pPr>
        <w:pStyle w:val="Heading2"/>
      </w:pPr>
      <w:r>
        <w:t>Neurologische Krankheitslast in Italien: Trends 1990–2023</w:t>
      </w:r>
    </w:p>
    <w:p>
      <w:r>
        <w:rPr>
          <w:i/>
          <w:color w:val="666666"/>
          <w:sz w:val="18"/>
        </w:rPr>
        <w:t>Brigo F et al.  ·  Neurol Sci  ·  09.10.2026  ·  PMID 42850460</w:t>
      </w:r>
    </w:p>
    <w:p>
      <w:r>
        <w:t>Analyse der Krankheitslast ausgewählter neurologischer Erkrankungen in Italien über 33 Jahre mittels Global Burden of Disease 2023-Daten (DALY, YLL, YLD).</w:t>
      </w:r>
    </w:p>
    <w:p>
      <w:r>
        <w:rPr>
          <w:b/>
        </w:rPr>
        <w:t xml:space="preserve">Ergebnis: </w:t>
      </w:r>
      <w:r>
        <w:t>Gesamte altersstandardisierte DALY-Raten sanken (EAPC -1,01%, 95%-KI -1,13 bis -0,89). Zerebrovaskuläre und ZNS-Infektionen zeigten größte Reduktionen; Multiple Sklerose, Parkinson, Epilepsie und Motoneuronerkrankung nahmen zu. Geschlechtsspezifische Unterschiede: Migräne, MS, Demenz stärker bei Frauen; Schlaganfall, Parkinson, Hirntumoren bei Männern.</w:t>
      </w:r>
    </w:p>
    <w:p>
      <w:r>
        <w:rPr>
          <w:b/>
          <w:sz w:val="19"/>
        </w:rPr>
        <w:t xml:space="preserve">Übertragbarkeit: </w:t>
      </w:r>
      <w:r>
        <w:rPr>
          <w:sz w:val="19"/>
        </w:rPr>
        <w:t>Italien, europäisches Gesundheitssystem mit vergleichbarer Datenerfassung; Ergebnisse auf Deutschland gut übertragbar.</w:t>
      </w:r>
    </w:p>
    <w:p>
      <w:r>
        <w:rPr>
          <w:color w:val="5A7D3A"/>
          <w:sz w:val="18"/>
        </w:rPr>
        <w:t>https://pubmed.ncbi.nlm.nih.gov/42850460/</w:t>
      </w:r>
    </w:p>
    <w:p>
      <w:pPr>
        <w:pStyle w:val="Heading1"/>
      </w:pPr>
      <w:r>
        <w:t>Aufgenommen am 09.10.2026</w:t>
      </w:r>
    </w:p>
    <w:p>
      <w:pPr>
        <w:pStyle w:val="Heading2"/>
      </w:pPr>
      <w:r>
        <w:t>Pflege-gestützte Intervention für aktives Altern bei migrierten älteren Menschen: Cluster-RCT-Protokoll</w:t>
      </w:r>
    </w:p>
    <w:p>
      <w:r>
        <w:rPr>
          <w:i/>
          <w:color w:val="666666"/>
          <w:sz w:val="18"/>
        </w:rPr>
        <w:t>Chen Z et al.  ·  J Eval Clin Pract  ·  Okt. 2026  ·  PMID 42848871</w:t>
      </w:r>
    </w:p>
    <w:p>
      <w:r>
        <w:t>Cluster-randomisierte Kontrollierte Studie plant Evaluation einer 22-Tage-Pflegeleiter-Intervention (TSAAIP-MOA) bei älteren Migranten mit Kindern in China zur Förderung aktiven Alterns.</w:t>
      </w:r>
    </w:p>
    <w:p>
      <w:r>
        <w:rPr>
          <w:b/>
        </w:rPr>
        <w:t xml:space="preserve">Ergebnis: </w:t>
      </w:r>
      <w:r>
        <w:t>Studienprotokoll: Primäroutcome ist Level aktiven Alterns; Sekundäroutcomes sind Änderungen in intrinsischer Kapazität, Gesundheitskompetenz und sozialer Teilhabe. Datensammlung an T0 (Baseline), T1 (Post-Intervention) und T2 (1 Monat nach Beginn); wiederholte ANOVA geplant. Programm kombiniert Familien- und Gemeinde-Unterstützung mit klinischer Betreuung.</w:t>
      </w:r>
    </w:p>
    <w:p>
      <w:r>
        <w:rPr>
          <w:b/>
          <w:sz w:val="19"/>
        </w:rPr>
        <w:t xml:space="preserve">Übertragbarkeit: </w:t>
      </w:r>
      <w:r>
        <w:rPr>
          <w:sz w:val="19"/>
        </w:rPr>
        <w:t>China-Studie, Protokoll noch nicht abgeschlossen; Konzept sozialer Integration und intrinsischer Kapazität in Versorgung relevant.</w:t>
      </w:r>
    </w:p>
    <w:p>
      <w:r>
        <w:rPr>
          <w:color w:val="5A7D3A"/>
          <w:sz w:val="18"/>
        </w:rPr>
        <w:t>https://pubmed.ncbi.nlm.nih.gov/42848871/</w:t>
      </w:r>
    </w:p>
    <w:p>
      <w:pPr>
        <w:pStyle w:val="Heading2"/>
      </w:pPr>
      <w:r>
        <w:t>Hypertonie-Verlaufsmuster und Gebrechlichkeit: Progressive Hypertonie verstärkt Frailty</w:t>
      </w:r>
    </w:p>
    <w:p>
      <w:r>
        <w:rPr>
          <w:i/>
          <w:color w:val="666666"/>
          <w:sz w:val="18"/>
        </w:rPr>
        <w:t>Pi Y et al.  ·  Geriatr Gerontol Int  ·  Okt. 2026  ·  PMID 42844672</w:t>
      </w:r>
    </w:p>
    <w:p>
      <w:r>
        <w:t>Longitudinale Kohortenstudie an 6.770 Älteren (CHARLS) untersuchte, ob unterschiedliche Hypertonie-Entwicklungsmuster mit späterer Gebrechlichkeit assoziiert sind.</w:t>
      </w:r>
    </w:p>
    <w:p>
      <w:r>
        <w:rPr>
          <w:b/>
        </w:rPr>
        <w:t xml:space="preserve">Ergebnis: </w:t>
      </w:r>
      <w:r>
        <w:t>Gegenüber anhaltend normaler Blutdruck zeigten progressive Hypertonie (β = 0,013; 95 %-KI: 0,006–0,020), remittierende/fluktuierende Hypertonie (β = 0,009; 95 %-KI: 0,003–0,015) und anhaltende Hypertonie (β = 0,008; 95 %-KI: 0,002–0,014) höhere Frailty-Indizes. Systolischer Druck zeigte nichtlineare Assoziation. Cystatin C und CRP vermittelten teilweise den Effekt persistenter Hypertonie auf Gebrechlichkeit.</w:t>
      </w:r>
    </w:p>
    <w:p>
      <w:r>
        <w:rPr>
          <w:b/>
          <w:sz w:val="19"/>
        </w:rPr>
        <w:t xml:space="preserve">Übertragbarkeit: </w:t>
      </w:r>
      <w:r>
        <w:rPr>
          <w:sz w:val="19"/>
        </w:rPr>
        <w:t>Chinesische Kohortenstudie, aber Hypertonie-Gebrechlichkeit-Assoziation mechanistisch universell.</w:t>
      </w:r>
    </w:p>
    <w:p>
      <w:r>
        <w:rPr>
          <w:color w:val="5A7D3A"/>
          <w:sz w:val="18"/>
        </w:rPr>
        <w:t>https://pubmed.ncbi.nlm.nih.gov/42844672/</w:t>
      </w:r>
    </w:p>
    <w:p>
      <w:pPr>
        <w:pStyle w:val="Heading2"/>
      </w:pPr>
      <w:r>
        <w:t>Mikrobiota-Zusammensetzung vorhersagt Entzündung besser als chronologisches Alter</w:t>
      </w:r>
    </w:p>
    <w:p>
      <w:r>
        <w:rPr>
          <w:i/>
          <w:color w:val="666666"/>
          <w:sz w:val="18"/>
        </w:rPr>
        <w:t>Eriksen C et al.  ·  Nat Commun  ·  08.09.2026  ·  PMID 42844264</w:t>
      </w:r>
    </w:p>
    <w:p>
      <w:r>
        <w:t>Analyse von 1.199 Erwachsenen (20–72 Jahre) zeigte, dass Darmmikrobiota-Zusammensetzung mehr Varianz in systemischen Entzündungsmarkern erklärt als Alter und mit Erkrankungsrisiko assoziiert ist.</w:t>
      </w:r>
    </w:p>
    <w:p>
      <w:r>
        <w:rPr>
          <w:b/>
        </w:rPr>
        <w:t xml:space="preserve">Ergebnis: </w:t>
      </w:r>
      <w:r>
        <w:t>Mikrobiota erklärte mehr Varianz als Alter für 97 % der Zytokine und 84 % der physiologischen Variablen. Bacteroides-2-Enterotyp zeigte inflammaging-ähnliches Phänotyp bereits in frühem Erwachsenenalter (bis zu 37 Jahre früher) mit erhöhtem Erkrankungsrisiko (Hazard Ratio 1,21; 95 %-KI: 1,18–1,25). High-Diversity-Enterotyp war mit niedriger Entzündung und reduziertem Risiko assoziiert. Mikrobiota ist ein stärkerer Entzündungskorrelat als chronologisches Alter.</w:t>
      </w:r>
    </w:p>
    <w:p>
      <w:r>
        <w:rPr>
          <w:b/>
          <w:sz w:val="19"/>
        </w:rPr>
        <w:t xml:space="preserve">Übertragbarkeit: </w:t>
      </w:r>
      <w:r>
        <w:rPr>
          <w:sz w:val="19"/>
        </w:rPr>
        <w:t>Dänische Bevölkerungsstudie, Mechanismus altersunabhängig, auf Deutschland übertragbar.</w:t>
      </w:r>
    </w:p>
    <w:p>
      <w:r>
        <w:rPr>
          <w:color w:val="5A7D3A"/>
          <w:sz w:val="18"/>
        </w:rPr>
        <w:t>https://pubmed.ncbi.nlm.nih.gov/42844264/</w:t>
      </w:r>
    </w:p>
    <w:p>
      <w:pPr>
        <w:pStyle w:val="Heading2"/>
      </w:pPr>
      <w:r>
        <w:t>Gebrechlichkeit bei älteren COPD-Patienten vorhersagt Exazerbationen und Klinikaufenthalte</w:t>
      </w:r>
    </w:p>
    <w:p>
      <w:r>
        <w:rPr>
          <w:i/>
          <w:color w:val="666666"/>
          <w:sz w:val="18"/>
        </w:rPr>
        <w:t>Bardakci MI et al.  ·  Colomb Med (Cali)  ·  30.03.2026  ·  PMID 42840874</w:t>
      </w:r>
    </w:p>
    <w:p>
      <w:r>
        <w:t>Querschnittstudie an 112 älteren COPD-Patienten (≥65 Jahre) prüfte, ob Gebrechlichkeit mit Krankheitsschwere, Exazerbationen und Hospitalisierungen korreliert.</w:t>
      </w:r>
    </w:p>
    <w:p>
      <w:r>
        <w:rPr>
          <w:b/>
        </w:rPr>
        <w:t xml:space="preserve">Ergebnis: </w:t>
      </w:r>
      <w:r>
        <w:t>Gebrechlichkeit-Prävalenz 49,1 % (55/112). Signifikante negative Korrelation zwischen FRAIL-Score und FEV1 % (rs −0,695; 95 %-KI: −0,782 bis −0,581; p &lt; 0,001). Positive Korrelationen mit CAT (rs 0,840; p &lt; 0,001) und mMRC (rs 0,733; p &lt; 0,001). Patienten mit höheren FRAIL-Scores hatten signifikant mehr Exazerbationen und Klinikaufenthalte (p &lt; 0,001).</w:t>
      </w:r>
    </w:p>
    <w:p>
      <w:r>
        <w:rPr>
          <w:b/>
          <w:sz w:val="19"/>
        </w:rPr>
        <w:t xml:space="preserve">Übertragbarkeit: </w:t>
      </w:r>
      <w:r>
        <w:rPr>
          <w:sz w:val="19"/>
        </w:rPr>
        <w:t>Türkische Studie, aber FRAIL-Score und COPD-Ergebnis international etabliert.</w:t>
      </w:r>
    </w:p>
    <w:p>
      <w:r>
        <w:rPr>
          <w:color w:val="5A7D3A"/>
          <w:sz w:val="18"/>
        </w:rPr>
        <w:t>https://pubmed.ncbi.nlm.nih.gov/42840874/</w:t>
      </w:r>
    </w:p>
    <w:p>
      <w:pPr>
        <w:pStyle w:val="Heading2"/>
      </w:pPr>
      <w:r>
        <w:t>CKM-spezifischer Aging-Index vorhersagt Mortalität besser als universelle biologische Alter</w:t>
      </w:r>
    </w:p>
    <w:p>
      <w:r>
        <w:rPr>
          <w:i/>
          <w:color w:val="666666"/>
          <w:sz w:val="18"/>
        </w:rPr>
        <w:t>Zhu Z et al.  ·  PLoS Med  ·  06.10.2026  ·  PMID 42837317</w:t>
      </w:r>
    </w:p>
    <w:p>
      <w:r>
        <w:t>Maschinelles Lernen an 6.896 NHANES-Teilnehmern entwickelte einen Cardiovascular-Kidney-Metabolic-spezifischen Aging-Index (CKMAI) zur Risikostratifizierung und Mortalitätsprognose.</w:t>
      </w:r>
    </w:p>
    <w:p>
      <w:r>
        <w:rPr>
          <w:b/>
        </w:rPr>
        <w:t xml:space="preserve">Ergebnis: </w:t>
      </w:r>
      <w:r>
        <w:t>CKMAI übertraf PhenoAge, KDM und CMI in allen Outcomes. Zeit-abhängige AUC für Gesamtmortalität: 0,893 (95 %-KI: 0,851–0,925) nach 3 Jahren, 0,907 (95 %-KI: 0,884–0,927) nach 5 Jahren, 0,890 (95 %-KI: 0,868–0,910) nach 10 Jahren. Schwellwertanalyse identifizierte Inflexionspunkte mit steileren Risikoerhöhungen darunter. Sechs Phänotypen-Cluster; Frailty-Cluster zeigte höchstes Mortalitätsrisiko (HR 11,74; 95 %-KI: 7,85–17,57).</w:t>
      </w:r>
    </w:p>
    <w:p>
      <w:r>
        <w:rPr>
          <w:b/>
          <w:sz w:val="19"/>
        </w:rPr>
        <w:t xml:space="preserve">Übertragbarkeit: </w:t>
      </w:r>
      <w:r>
        <w:rPr>
          <w:sz w:val="19"/>
        </w:rPr>
        <w:t>USA-Daten (NHANES), aber metabolische Pathophysiologie universell, externe Validierung in China.</w:t>
      </w:r>
    </w:p>
    <w:p>
      <w:r>
        <w:rPr>
          <w:color w:val="5A7D3A"/>
          <w:sz w:val="18"/>
        </w:rPr>
        <w:t>https://pubmed.ncbi.nlm.nih.gov/42837317/</w:t>
      </w:r>
    </w:p>
    <w:p>
      <w:pPr>
        <w:pStyle w:val="Heading2"/>
      </w:pPr>
      <w:r>
        <w:t>Chronische Krisen und biologisches Altern: Stress beschleunigt Frailty und funktionalen Verfall</w:t>
      </w:r>
    </w:p>
    <w:p>
      <w:r>
        <w:rPr>
          <w:i/>
          <w:color w:val="666666"/>
          <w:sz w:val="18"/>
        </w:rPr>
        <w:t>Lushchak O et al.  ·  Biogerontology  ·  03.09.2026  ·  PMID 42690451</w:t>
      </w:r>
    </w:p>
    <w:p>
      <w:r>
        <w:t>Perspektivarbeit argumentiert, dass prolongierte Krisen (beispielsweise Krieg) chronische biologische Alterungsprozesse durch Stressachsen-Überaktivierung, Schlafstörung, Entzündung und Sarkopenie beschleunigen.</w:t>
      </w:r>
    </w:p>
    <w:p>
      <w:r>
        <w:rPr>
          <w:b/>
        </w:rPr>
        <w:t xml:space="preserve">Ergebnis: </w:t>
      </w:r>
      <w:r>
        <w:t>Konzeptrahmen verbindet HPA-Achsen-Aktivierung, Glukokortikoid-Dysregulation, ROS-Produktion, zelluläre Seneszenz und Mitochondrien-Dysfunktion mit abdominalem Übergewicht, sarkopener Adipositas, Frailty und funktionalem Verfall unter Krisenbedingungen. Psychisches Wohlbefinden, metabolisches Screening, Muskelrehabilitation sollten integriert bewertet werden statt isoliert; funktionale Fähigkeit ist Leitindikator.</w:t>
      </w:r>
    </w:p>
    <w:p>
      <w:r>
        <w:rPr>
          <w:b/>
          <w:sz w:val="19"/>
        </w:rPr>
        <w:t xml:space="preserve">Übertragbarkeit: </w:t>
      </w:r>
      <w:r>
        <w:rPr>
          <w:sz w:val="19"/>
        </w:rPr>
        <w:t>Ukraine-Fallbeispiel; biologische Mechanismen krisen- und kontextabhängig, aber Prinzipien für Vulnerabilität älterer Menschen universal.</w:t>
      </w:r>
    </w:p>
    <w:p>
      <w:r>
        <w:rPr>
          <w:color w:val="5A7D3A"/>
          <w:sz w:val="18"/>
        </w:rPr>
        <w:t>https://pubmed.ncbi.nlm.nih.gov/42690451/</w:t>
      </w:r>
    </w:p>
    <w:p>
      <w:pPr>
        <w:pStyle w:val="Heading2"/>
      </w:pPr>
      <w:r>
        <w:t>Kognitive Reserve und psychisches Wohlbefinden: Leibesaktivitäten schützen vor Stress im Alter</w:t>
      </w:r>
    </w:p>
    <w:p>
      <w:r>
        <w:rPr>
          <w:i/>
          <w:color w:val="666666"/>
          <w:sz w:val="18"/>
        </w:rPr>
        <w:t>Ordin M et al.  ·  Brain Behav  ·  Sept. 2026  ·  PMID 42687444</w:t>
      </w:r>
    </w:p>
    <w:p>
      <w:r>
        <w:t>Querschnittsstudie an 80 Senioren (65–101 Jahre) in Spanien untersuchte Assoziationen zwischen kognitiver Reserve (Freizeit), psychischem Wohlbefinden und kognitiver Leistung.</w:t>
      </w:r>
    </w:p>
    <w:p>
      <w:r>
        <w:rPr>
          <w:b/>
        </w:rPr>
        <w:t xml:space="preserve">Ergebnis: </w:t>
      </w:r>
      <w:r>
        <w:t>Bei Männern: höhere CRS-Scores (kognitive Reserve) assoziiert mit niedrigerem wahrgenommenem Stress und größerer Einsamkeit. CRS-Scores korreliert mit ausgewählten Aufmerksamkeitsmaßen. Keine signifikante Assoziation zwischen CRS und Gedächtnisspanne. Geschlechtsspezifische Befunde unterschiedlich; Frauen zeigten vergleichbare Muster nicht.</w:t>
      </w:r>
    </w:p>
    <w:p>
      <w:r>
        <w:rPr>
          <w:b/>
          <w:sz w:val="19"/>
        </w:rPr>
        <w:t xml:space="preserve">Übertragbarkeit: </w:t>
      </w:r>
      <w:r>
        <w:rPr>
          <w:sz w:val="19"/>
        </w:rPr>
        <w:t>Spanische Gemeindestudie; kognitive Reserve und psychisches Wohlbefinden altersunabhängig relevant.</w:t>
      </w:r>
    </w:p>
    <w:p>
      <w:r>
        <w:rPr>
          <w:color w:val="5A7D3A"/>
          <w:sz w:val="18"/>
        </w:rPr>
        <w:t>https://pubmed.ncbi.nlm.nih.gov/42687444/</w:t>
      </w:r>
    </w:p>
    <w:p>
      <w:pPr>
        <w:pStyle w:val="Heading1"/>
      </w:pPr>
      <w:r>
        <w:t>Aufgenommen am 08.10.2026</w:t>
      </w:r>
    </w:p>
    <w:p>
      <w:pPr>
        <w:pStyle w:val="Heading2"/>
      </w:pPr>
      <w:r>
        <w:t>Hitzewellen gefährden geriatrische Versorgungspfade – Stresstest zeigt Systemfragmentierung</w:t>
      </w:r>
    </w:p>
    <w:p>
      <w:r>
        <w:rPr>
          <w:i/>
          <w:color w:val="666666"/>
          <w:sz w:val="18"/>
        </w:rPr>
        <w:t>Annweiler C et al.  ·  Geriatr Psychol Neuropsychiatr Vieil  ·  01.09.2026  ·  PMID 42842818</w:t>
      </w:r>
    </w:p>
    <w:p>
      <w:r>
        <w:t>Beobachtungsstudie zu Auswirkungen der Hitzewelle Juni/Juli 2026 auf akute geriatrische Stationen und Rehabilitationseinheiten in Frankreich mit Erfassung von Raumtemperaturen, Kapazitätsbelastung und organisatorischen Anpassungen.</w:t>
      </w:r>
    </w:p>
    <w:p>
      <w:r>
        <w:rPr>
          <w:b/>
        </w:rPr>
        <w:t xml:space="preserve">Ergebnis: </w:t>
      </w:r>
      <w:r>
        <w:t>45,5 % der Stationen meldeten zunächst unerträgliche Patientenzimmertemperaturen, 88,4 % Personalermüdung. Eine Woche später besserten sich die Akutsymptome (tolerable Temperaturen 53,6 % → 100 %, p&lt;0,001; Notaufnahmebelastung 91,1 % → 63,3 %, p&lt;0,001), doch die Downstream-Kapazität blieb kritisch: 87,5 % der Stationen meldeten unzureichende Rehabilitationskapazität, die sich nicht verbesserte (86,7 %, p=0,903). Gekürzte Räume und Geräte reduzierten Hitzekomplikationen. Das Hitzeereignis offenbarte ein bereits fragiles System mit persistenter Versorgungsfragmentierung.</w:t>
      </w:r>
    </w:p>
    <w:p>
      <w:r>
        <w:rPr>
          <w:b/>
          <w:sz w:val="19"/>
        </w:rPr>
        <w:t xml:space="preserve">Übertragbarkeit: </w:t>
      </w:r>
      <w:r>
        <w:rPr>
          <w:sz w:val="19"/>
        </w:rPr>
        <w:t>Frankreich, deutsche Versorgung vergleichbar gefährdet; Klimaresilenz Gesundheitswesen zentrale Strategie</w:t>
      </w:r>
    </w:p>
    <w:p>
      <w:r>
        <w:rPr>
          <w:color w:val="5A7D3A"/>
          <w:sz w:val="18"/>
        </w:rPr>
        <w:t>https://pubmed.ncbi.nlm.nih.gov/42842818/</w:t>
      </w:r>
    </w:p>
    <w:p>
      <w:pPr>
        <w:pStyle w:val="Heading2"/>
      </w:pPr>
      <w:r>
        <w:t>Kohlenhydrat-Fett-Verhältnis positiv mit Gebrechlichkeit assoziiert – Ernährungsempfehlung für Ältere</w:t>
      </w:r>
    </w:p>
    <w:p>
      <w:r>
        <w:rPr>
          <w:i/>
          <w:color w:val="666666"/>
          <w:sz w:val="18"/>
        </w:rPr>
        <w:t>Nanri H et al.  ·  Eur J Nutr  ·  07.10.2026  ·  PMID 42841976</w:t>
      </w:r>
    </w:p>
    <w:p>
      <w:r>
        <w:t>Querschnittstudie an 5.679 älteren Japanern (≥65 Jahre) zur Assoziation des Kohlenhydrat-zu-Fett-Energieverh ältnisses (CFr) mit umfassender Gebrechlichkeit (Kihon-Checklist-Score ≥7) über multivariable logistische Regression mit Stratifizierung nach Proteinzufuhr.</w:t>
      </w:r>
    </w:p>
    <w:p>
      <w:r>
        <w:rPr>
          <w:b/>
        </w:rPr>
        <w:t xml:space="preserve">Ergebnis: </w:t>
      </w:r>
      <w:r>
        <w:t>30,0 % (1.705/5.679) zeigten umfassende Gebrechlichkeit. Adjustierte Odds-Ratios für höchstes CFr-Quartil vs. niedrigstes: 1,92 (95%-KI 1,55–2,38, p&lt;0,001). Dose-Wirkung-Beziehung linear über alle Geschlechter und Proteinzufuhr-Tertile, ohne Effektmodifikation. Höhere Kohlenhydrate bei moderater Fettreduktion assoziiert mit erhöhter Gebrechlichkeitsprä valenz, unabhängig von Proteinmenge.</w:t>
      </w:r>
    </w:p>
    <w:p>
      <w:r>
        <w:rPr>
          <w:b/>
          <w:sz w:val="19"/>
        </w:rPr>
        <w:t xml:space="preserve">Übertragbarkeit: </w:t>
      </w:r>
      <w:r>
        <w:rPr>
          <w:sz w:val="19"/>
        </w:rPr>
        <w:t>Japan, Ernährungsepidemiologie; Qualität beschränkt auf Querschnitt ohne Kausalität</w:t>
      </w:r>
    </w:p>
    <w:p>
      <w:r>
        <w:rPr>
          <w:color w:val="5A7D3A"/>
          <w:sz w:val="18"/>
        </w:rPr>
        <w:t>https://pubmed.ncbi.nlm.nih.gov/42841976/</w:t>
      </w:r>
    </w:p>
    <w:p>
      <w:pPr>
        <w:pStyle w:val="Heading2"/>
      </w:pPr>
      <w:r>
        <w:t>Gebrechlichkeit vorhersagt prolongierte Hospitalisierung und schlechtere Outcomes nach Quadrizeps-Sehnenriss</w:t>
      </w:r>
    </w:p>
    <w:p>
      <w:r>
        <w:rPr>
          <w:i/>
          <w:color w:val="666666"/>
          <w:sz w:val="18"/>
        </w:rPr>
        <w:t>Ozdemir E et al.  ·  Ulus Travma Acil Cerrahi Derg  ·  Okt. 2026  ·  PMID 42841891</w:t>
      </w:r>
    </w:p>
    <w:p>
      <w:r>
        <w:t>Retrospektive multizentrische Kohortenstudie an 67 älteren Patienten (Mittelwert 57,5 Jahre) mit akutem Quadrizeps-Sehnenriss, bewertet mit modifiziertem Frailty Index (mFI-5) und Clinical Frailty Scale (CFS) zur Vorhersage von Aufenthaltsdauer und funktionaler Erholung (Lysholm-Score ≥12 Monate).</w:t>
      </w:r>
    </w:p>
    <w:p>
      <w:r>
        <w:rPr>
          <w:b/>
        </w:rPr>
        <w:t xml:space="preserve">Ergebnis: </w:t>
      </w:r>
      <w:r>
        <w:t>Höhere mFI-5-Scores waren mit prolongierter Hospitalisierungsdauer assoziiert (r=0,404, p&lt;0,001); jeder 1-Punkt-Anstieg sagte 1,26 Tage längeren Aufenthalt voraus (95%-KI 0,61–1,90; R²=0,337). CFS war unabhängig mit schlechterer Erholung verbunden: jeder 1-Punkt-Anstieg entsprach 4,32-Punkt-Reduktion im Lysholm-Score (95%-KI –6,98 bis –1,67; R²=0,163). Höchstes Risiko-Quartil zeigte 16,7× erhöhtes Mortalitätsrisiko.</w:t>
      </w:r>
    </w:p>
    <w:p>
      <w:r>
        <w:rPr>
          <w:b/>
          <w:sz w:val="19"/>
        </w:rPr>
        <w:t xml:space="preserve">Übertragbarkeit: </w:t>
      </w:r>
      <w:r>
        <w:rPr>
          <w:sz w:val="19"/>
        </w:rPr>
        <w:t>Türkei, Orthopädie-Versorgung vergleichbar; geriatrisches Assessment umsetzbar</w:t>
      </w:r>
    </w:p>
    <w:p>
      <w:r>
        <w:rPr>
          <w:color w:val="5A7D3A"/>
          <w:sz w:val="18"/>
        </w:rPr>
        <w:t>https://pubmed.ncbi.nlm.nih.gov/42841891/</w:t>
      </w:r>
    </w:p>
    <w:p>
      <w:pPr>
        <w:pStyle w:val="Heading2"/>
      </w:pPr>
      <w:r>
        <w:t>Biofeedback reduziert Schwindel-Beeinträchtigung im Alltag älterer Menschen</w:t>
      </w:r>
    </w:p>
    <w:p>
      <w:r>
        <w:rPr>
          <w:i/>
          <w:color w:val="666666"/>
          <w:sz w:val="18"/>
        </w:rPr>
        <w:t>Chiara B et al.  ·  Curr Aging Sci  ·  2026  ·  PMID 42841459</w:t>
      </w:r>
    </w:p>
    <w:p>
      <w:r>
        <w:t>Randomisierte kontrollierte Studie zur Wirksamkeit von Biofeedback-Training (Procomp Infinity) bei 190 älteren Ambulanzpatienten (&gt;65 Jahre) mit Schwindel über 3 Monate ohne Auffrischungssitzungen.</w:t>
      </w:r>
    </w:p>
    <w:p>
      <w:r>
        <w:rPr>
          <w:b/>
        </w:rPr>
        <w:t xml:space="preserve">Ergebnis: </w:t>
      </w:r>
      <w:r>
        <w:t>Repeated-ANOVA zeigte signifikante Reduktion der Dizziness-Handicap-Inventory(DHI)-Scores nach 3 Monaten in der Biofeedback-Gruppe; Patienten lernten durch Muskelentspannung und Atemkontrolle, die Symptome zu bewältigen und erlangten Selbstwirksamkeit. Die Intervention reduzierte die funktionalen Auswirkungen von Schwindel und Instabilität im alltäglichen Leben substanziell.</w:t>
      </w:r>
    </w:p>
    <w:p>
      <w:r>
        <w:rPr>
          <w:b/>
          <w:sz w:val="19"/>
        </w:rPr>
        <w:t xml:space="preserve">Übertragbarkeit: </w:t>
      </w:r>
      <w:r>
        <w:rPr>
          <w:sz w:val="19"/>
        </w:rPr>
        <w:t>Italien, Methode kulturübergreifend übertragbar; Effektgröße in Abstract nicht quantifiziert</w:t>
      </w:r>
    </w:p>
    <w:p>
      <w:r>
        <w:rPr>
          <w:color w:val="5A7D3A"/>
          <w:sz w:val="18"/>
        </w:rPr>
        <w:t>https://pubmed.ncbi.nlm.nih.gov/42841459/</w:t>
      </w:r>
    </w:p>
    <w:p>
      <w:pPr>
        <w:pStyle w:val="Heading2"/>
      </w:pPr>
      <w:r>
        <w:t>Beschleunigtes Hirnaltern bei psychiatrischen und neurodegenerativen Störungen quantifiziert</w:t>
      </w:r>
    </w:p>
    <w:p>
      <w:r>
        <w:rPr>
          <w:i/>
          <w:color w:val="666666"/>
          <w:sz w:val="18"/>
        </w:rPr>
        <w:t>Gupta Y et al.  ·  Psychol Med  ·  07.10.2026  ·  PMID 42839301</w:t>
      </w:r>
    </w:p>
    <w:p>
      <w:r>
        <w:t>Lifespan-MRT-Studie an 25.425 Gesunden (Alter 2–95 Jahre) und 3.530 Patienten mit Schizophrenie, Depression, bipolarer Störung, ADHS, Substanzabhängigkeit, Alzheimer und FTD zur Bestimmung eines Brain-Predicted-Age-Difference (brain-PAD).</w:t>
      </w:r>
    </w:p>
    <w:p>
      <w:r>
        <w:rPr>
          <w:b/>
        </w:rPr>
        <w:t xml:space="preserve">Ergebnis: </w:t>
      </w:r>
      <w:r>
        <w:t>Modell erreichte mittleren absoluten Fehler von 5–7 Jahren. Signifikante Erhöhung von Δbrain-PAD bei Schizophrenie (+7,64 Jahre), FTD (+7,61), Alzheimer (+3,24), bipolarer Störung (+2,08), Depression (+2,76) und CSUD (+2,91 Jahre), nicht bei ADHS. Regionale Analysen zeigten gemeinsame und störungsspezifische morphometrische Alterationen. Effekt: Quantitativer Rahmen für Hirnaltern über Störungen hinweg, aber mechanistischer Versorgungsbezug fehlt.</w:t>
      </w:r>
    </w:p>
    <w:p>
      <w:r>
        <w:rPr>
          <w:b/>
          <w:sz w:val="19"/>
        </w:rPr>
        <w:t xml:space="preserve">Übertragbarkeit: </w:t>
      </w:r>
      <w:r>
        <w:rPr>
          <w:sz w:val="19"/>
        </w:rPr>
        <w:t>Deutschland, Forschung; Mechanismus-Biomarker ohne Behandlungsendpunkt – begrenzte geriatrische Relevanz</w:t>
      </w:r>
    </w:p>
    <w:p>
      <w:r>
        <w:rPr>
          <w:color w:val="5A7D3A"/>
          <w:sz w:val="18"/>
        </w:rPr>
        <w:t>https://pubmed.ncbi.nlm.nih.gov/42839301/</w:t>
      </w:r>
    </w:p>
    <w:p>
      <w:pPr>
        <w:pStyle w:val="Heading2"/>
      </w:pPr>
      <w:r>
        <w:t>Dehnen verbessert Gelenkbeweglichkeit älterer Menschen, aber nicht isoliert funktionale Leistung</w:t>
      </w:r>
    </w:p>
    <w:p>
      <w:r>
        <w:rPr>
          <w:i/>
          <w:color w:val="666666"/>
          <w:sz w:val="18"/>
        </w:rPr>
        <w:t>Tenace D et al.  ·  Recenti Prog Med  ·  Okt. 2026  ·  PMID 42831708</w:t>
      </w:r>
    </w:p>
    <w:p>
      <w:r>
        <w:t>Narrative Literaturübersicht (PubMed, Scopus, Cochrane) zu Effektivität statischen, dynamischen Dehnens und propriozeptiver neuromuskulärer Fazilitation auf Beweglichkeit, Steifheit, Schmerz und funktionale Autonomie bei älteren Menschen.</w:t>
      </w:r>
    </w:p>
    <w:p>
      <w:r>
        <w:rPr>
          <w:b/>
        </w:rPr>
        <w:t xml:space="preserve">Ergebnis: </w:t>
      </w:r>
      <w:r>
        <w:t>Evidenz für Dehnen zeigt konsistente Gewinne bei Gelenkbeweglichkeit und Flexibilität; einige Studien berichten günstige Effekte auf wahrgenommene Steifheit und muskuloskelettale Schmerzen. Verbesserungen der Gesamtfunktion, Balance und Sturzprävention sind jedoch weniger konsistent. Fazit: Dehnen ist kein Monotherapie-Ansatz, sondern komplementäre Komponente in Multikomponenten-Programmen, am wirksamsten für Mobilitätsgewinne bei Menschen mit Ausgangsfunktionsverlust.</w:t>
      </w:r>
    </w:p>
    <w:p>
      <w:r>
        <w:rPr>
          <w:b/>
          <w:sz w:val="19"/>
        </w:rPr>
        <w:t xml:space="preserve">Übertragbarkeit: </w:t>
      </w:r>
      <w:r>
        <w:rPr>
          <w:sz w:val="19"/>
        </w:rPr>
        <w:t>Italien, Evidenzlage europäisch dominiert, methodisch konsistent</w:t>
      </w:r>
    </w:p>
    <w:p>
      <w:r>
        <w:rPr>
          <w:color w:val="5A7D3A"/>
          <w:sz w:val="18"/>
        </w:rPr>
        <w:t>https://pubmed.ncbi.nlm.nih.gov/42831708/</w:t>
      </w:r>
    </w:p>
    <w:p>
      <w:pPr>
        <w:pStyle w:val="Heading2"/>
      </w:pPr>
      <w:r>
        <w:t>Resilienz ist häufige, aber nicht universelle Reaktion auf funktionalen Gesundheitsverlust im Alter</w:t>
      </w:r>
    </w:p>
    <w:p>
      <w:r>
        <w:rPr>
          <w:i/>
          <w:color w:val="666666"/>
          <w:sz w:val="18"/>
        </w:rPr>
        <w:t>Köhler T et al.  ·  Soc Sci Med  ·  29.08.2026  ·  PMID 42700481</w:t>
      </w:r>
    </w:p>
    <w:p>
      <w:r>
        <w:t>Growth-Mixture-Modelling-Analyse von SHARE-Daten zu Anpassungstrajektorien der Lebensqualität nach Beginn von Aktivitätseinschränkungen bei älteren Menschen (Match-Kontroll-Design für Kausalitätsattribution).</w:t>
      </w:r>
    </w:p>
    <w:p>
      <w:r>
        <w:rPr>
          <w:b/>
        </w:rPr>
        <w:t xml:space="preserve">Ergebnis: </w:t>
      </w:r>
      <w:r>
        <w:t>Bei Lebenszufriedenheit und Lebensqualität entstanden 3 Trajektorien mit Resilienz als Modalantwort (86,5 % bzw. 78,7 %); bei depressiven Symptomen 4 Trajektorien mit gleichen Anteilen resilient und chronisch (je 43,4 %). Stärkere Behinderung sagte Erholungstrajektorie voraus, vorbestehende Limitations und sozioökonomische Benachteiligung waren mit chronischen Pfaden assoziiert. Befund: Resilienz ist verbreitet, aber nicht uniform; multidimensionale Outcomes essentiell.</w:t>
      </w:r>
    </w:p>
    <w:p>
      <w:r>
        <w:rPr>
          <w:b/>
          <w:sz w:val="19"/>
        </w:rPr>
        <w:t xml:space="preserve">Übertragbarkeit: </w:t>
      </w:r>
      <w:r>
        <w:rPr>
          <w:sz w:val="19"/>
        </w:rPr>
        <w:t>Europa (SHARE), deutsches Sozialversicherungssystem direkt übertragbar</w:t>
      </w:r>
    </w:p>
    <w:p>
      <w:r>
        <w:rPr>
          <w:color w:val="5A7D3A"/>
          <w:sz w:val="18"/>
        </w:rPr>
        <w:t>https://pubmed.ncbi.nlm.nih.gov/42700481/</w:t>
      </w:r>
    </w:p>
    <w:p>
      <w:pPr>
        <w:pStyle w:val="Heading1"/>
      </w:pPr>
      <w:r>
        <w:t>Aufgenommen am 07.10.2026</w:t>
      </w:r>
    </w:p>
    <w:p>
      <w:pPr>
        <w:pStyle w:val="Heading2"/>
      </w:pPr>
      <w:r>
        <w:t>Kohorte der Altern-Studie Add Health in mittlerem Alter mit schlechterer Gesundheit als Vorgängergenerationen</w:t>
      </w:r>
    </w:p>
    <w:p>
      <w:r>
        <w:rPr>
          <w:i/>
          <w:color w:val="666666"/>
          <w:sz w:val="18"/>
        </w:rPr>
        <w:t>Gaydosh L et al.  ·  J Gerontol B Psychol Sci Soc Sci  ·  01.10.2026  ·  PMID 42837509</w:t>
      </w:r>
    </w:p>
    <w:p>
      <w:r>
        <w:t>Add Health Welle VI (Durchschnittsalter 44 Jahre, n=11.979) und Vergleich mit NHANES-Kohorten: Analyse von Altersmustern in Allgemeingesundheit, psychischer Gesundheit, Gesundheitsverhalten und chronischen Erkrankungen über Lebensabschnitte.</w:t>
      </w:r>
    </w:p>
    <w:p>
      <w:r>
        <w:rPr>
          <w:b/>
        </w:rPr>
        <w:t xml:space="preserve">Ergebnis: </w:t>
      </w:r>
      <w:r>
        <w:t>Add Health zeigte beim Alterungsübergang in Mittelalter Verschlechterung in Allgemeingesundheit, psychischer Gesundheit und chronischen Erkrankungen, während Gesundheitsverhalten sich verbesserte. Im Vergleich zu NHANES-Kohorten: Add Health-Kohorte hat schlechtere Gesundheit als ältere Kohorten und teilweise schlechter als eigene Geburtskohorte zu früheren Zeitpunkten. Bildungsgradienten sind relativ stabil, mit einigen Anzeichen von Zunahme über Zeit.</w:t>
      </w:r>
    </w:p>
    <w:p>
      <w:r>
        <w:rPr>
          <w:b/>
          <w:sz w:val="19"/>
        </w:rPr>
        <w:t xml:space="preserve">Übertragbarkeit: </w:t>
      </w:r>
      <w:r>
        <w:rPr>
          <w:sz w:val="19"/>
        </w:rPr>
        <w:t>USA, begrenzt auf US-Versorgungskontext; Trends sozioökonomischer Disparitäten aber universal relevant</w:t>
      </w:r>
    </w:p>
    <w:p>
      <w:r>
        <w:rPr>
          <w:color w:val="5A7D3A"/>
          <w:sz w:val="18"/>
        </w:rPr>
        <w:t>https://pubmed.ncbi.nlm.nih.gov/42837509/</w:t>
      </w:r>
    </w:p>
    <w:p>
      <w:pPr>
        <w:pStyle w:val="Heading2"/>
      </w:pPr>
      <w:r>
        <w:t>Soziale Isolation und Einsamkeit vorhersagend für kognitive Verschlechterung von Jugend bis Alter</w:t>
      </w:r>
    </w:p>
    <w:p>
      <w:r>
        <w:rPr>
          <w:i/>
          <w:color w:val="666666"/>
          <w:sz w:val="18"/>
        </w:rPr>
        <w:t>Yang YC et al.  ·  J Gerontol B Psychol Sci Soc Sci  ·  01.10.2026  ·  PMID 42837505</w:t>
      </w:r>
    </w:p>
    <w:p>
      <w:r>
        <w:t>Koordinierte Längsschnittanalyse von drei großen US-Kohorten (Add Health, MIDUS, HRS; n=18.553, Alter 11+), um Zusammenhang zwischen Isolations-/Einsamkeitsmuster und Gedächtnisschwund über Lebensverlauf zu prüfen.</w:t>
      </w:r>
    </w:p>
    <w:p>
      <w:r>
        <w:rPr>
          <w:b/>
        </w:rPr>
        <w:t xml:space="preserve">Ergebnis: </w:t>
      </w:r>
      <w:r>
        <w:t>Starke negative Effekte sozialer Isolation in jungem und älterem Erwachsenenalter, Einsamkeit besonders im Alter auf Gedächtnisfunktion. Persistente (nicht nur transiente) Isolation und Einsamkeit waren mit schlechteren Merkfähigkeitswerten verbunden (p&lt;0,05 nach Adjustierung). Effekte blieben signifikant auch nach Anpassung für soziodemografische und Verhaltensfaktoren, zeigten sich aber weniger konsistent als Niveau-Effekte.</w:t>
      </w:r>
    </w:p>
    <w:p>
      <w:r>
        <w:rPr>
          <w:b/>
          <w:sz w:val="19"/>
        </w:rPr>
        <w:t xml:space="preserve">Übertragbarkeit: </w:t>
      </w:r>
      <w:r>
        <w:rPr>
          <w:sz w:val="19"/>
        </w:rPr>
        <w:t>USA-Kohorten, Mechanismen wahrscheinlich übertragbar; Ausmaß hängt von Sozialstruktur ab</w:t>
      </w:r>
    </w:p>
    <w:p>
      <w:r>
        <w:rPr>
          <w:color w:val="5A7D3A"/>
          <w:sz w:val="18"/>
        </w:rPr>
        <w:t>https://pubmed.ncbi.nlm.nih.gov/42837505/</w:t>
      </w:r>
    </w:p>
    <w:p>
      <w:pPr>
        <w:pStyle w:val="Heading2"/>
      </w:pPr>
      <w:r>
        <w:t>Soziale Teilhabe vor Schlaganfall assoziiert mit physischer Resilienz nach Schlaganfall</w:t>
      </w:r>
    </w:p>
    <w:p>
      <w:r>
        <w:rPr>
          <w:i/>
          <w:color w:val="666666"/>
          <w:sz w:val="18"/>
        </w:rPr>
        <w:t>Zhang Y et al.  ·  PLoS One  ·  06.10.2026  ·  PMID 42837339</w:t>
      </w:r>
    </w:p>
    <w:p>
      <w:r>
        <w:t>Querschnittsstudie an 314 Schlaganfallpatienten (≥45 Jahre) in China, die retrospektive soziale Partizipation vor dem Ereignis mit aktueller physischer Resilienz verknüpfte.</w:t>
      </w:r>
    </w:p>
    <w:p>
      <w:r>
        <w:rPr>
          <w:b/>
        </w:rPr>
        <w:t xml:space="preserve">Ergebnis: </w:t>
      </w:r>
      <w:r>
        <w:t>Schwache positive Korrelation zwischen sozialer Teilhabe und physischer Resilienz (r=0,295, p&lt;0,001). Pro Punkt höherer sozialer Partizipationsscore war physische Resilienz um 0,725 Punkte höher (95%-KI 0,405–1,044, p&lt;0,001), Effekt über alle Frailty-Level konsistent. Belastende retrospektive Erhebung schließt aber kausale Aussagen aus.</w:t>
      </w:r>
    </w:p>
    <w:p>
      <w:r>
        <w:rPr>
          <w:b/>
          <w:sz w:val="19"/>
        </w:rPr>
        <w:t xml:space="preserve">Übertragbarkeit: </w:t>
      </w:r>
      <w:r>
        <w:rPr>
          <w:sz w:val="19"/>
        </w:rPr>
        <w:t>China, begrenzt übertragbar; Mechanismus unterscheidet sich von Deutschland</w:t>
      </w:r>
    </w:p>
    <w:p>
      <w:r>
        <w:rPr>
          <w:color w:val="5A7D3A"/>
          <w:sz w:val="18"/>
        </w:rPr>
        <w:t>https://pubmed.ncbi.nlm.nih.gov/42837339/</w:t>
      </w:r>
    </w:p>
    <w:p>
      <w:pPr>
        <w:pStyle w:val="Heading2"/>
      </w:pPr>
      <w:r>
        <w:t>Gemeinschaftsgaststätten für Senioren fördern Nutzung durch Awareness-Partizipation-Kaufverhalten-Weitersagen-Sequenz</w:t>
      </w:r>
    </w:p>
    <w:p>
      <w:r>
        <w:rPr>
          <w:i/>
          <w:color w:val="666666"/>
          <w:sz w:val="18"/>
        </w:rPr>
        <w:t>Wang S et al.  ·  Front Public Health  ·  21.09.2026  ·  PMID 42836140</w:t>
      </w:r>
    </w:p>
    <w:p>
      <w:r>
        <w:t>Querschnittsstudie in Nanjing (China) mit 1.568 älteren Erwachsenen (≥60 Jahre) zur Nutzung von Seniorengaststätten, strukturelle Gleichungsmodellierung zur Assoziation von Bewusstsein, Interaktion, Kauf und Weitergabe.</w:t>
      </w:r>
    </w:p>
    <w:p>
      <w:r>
        <w:rPr>
          <w:b/>
        </w:rPr>
        <w:t xml:space="preserve">Ergebnis: </w:t>
      </w:r>
      <w:r>
        <w:t>Strukturmodell zeigte signifikante sequenziell positive Assoziationen: Awareness→Interaction (p&lt;0,001), Interaction→Purchase (p&lt;0,001), Purchase→Sharing (p&lt;0,001). Alle Pfade statistisch signifikant, gutes Modellfit. Querschnittdesign erlaubt aber keine Kausalaussagen – hilfreich aber für Serviceoptimierung.</w:t>
      </w:r>
    </w:p>
    <w:p>
      <w:r>
        <w:rPr>
          <w:b/>
          <w:sz w:val="19"/>
        </w:rPr>
        <w:t xml:space="preserve">Übertragbarkeit: </w:t>
      </w:r>
      <w:r>
        <w:rPr>
          <w:sz w:val="19"/>
        </w:rPr>
        <w:t>China, teilweise übertragbar; Versorgungskontext unterscheidet sich von Deutschland</w:t>
      </w:r>
    </w:p>
    <w:p>
      <w:r>
        <w:rPr>
          <w:color w:val="5A7D3A"/>
          <w:sz w:val="18"/>
        </w:rPr>
        <w:t>https://pubmed.ncbi.nlm.nih.gov/42836140/</w:t>
      </w:r>
    </w:p>
    <w:p>
      <w:pPr>
        <w:pStyle w:val="Heading2"/>
      </w:pPr>
      <w:r>
        <w:t>Nierentransplantation verbessert Gebrechlichkeit und kognitive Funktion über zwei Jahre</w:t>
      </w:r>
    </w:p>
    <w:p>
      <w:r>
        <w:rPr>
          <w:i/>
          <w:color w:val="666666"/>
          <w:sz w:val="18"/>
        </w:rPr>
        <w:t>Beerli N et al.  ·  Transpl Int  ·  21.09.2026  ·  PMID 42835482</w:t>
      </w:r>
    </w:p>
    <w:p>
      <w:r>
        <w:t>Prospektive multizentrische Schweizer Kohortenstudie mit 230 Nierentransplantatierten, die Frailty und milde kognitive Beeinträchtigung (MCI) vor und nach Transplantation über bis zu zwei Jahre verfolgten.</w:t>
      </w:r>
    </w:p>
    <w:p>
      <w:r>
        <w:rPr>
          <w:b/>
        </w:rPr>
        <w:t xml:space="preserve">Ergebnis: </w:t>
      </w:r>
      <w:r>
        <w:t>Frailty sank von 8,3% vor Transplantation auf unter 2% im Follow-up, Präfrailty von 54,3% auf 27,6% nach zwei Jahren; MCI-Prävalenz fiel von 42,6% auf 31,3%. Bessere kognitive Funktion vorhersagte niedrigere nachfolgende Frailty, aber nicht umgekehrt. Das Ergebnis zeigt, dass Nierenverpflanzung funktionelle Gebrechlichkeit deutlich reduziert.</w:t>
      </w:r>
    </w:p>
    <w:p>
      <w:r>
        <w:rPr>
          <w:b/>
          <w:sz w:val="19"/>
        </w:rPr>
        <w:t xml:space="preserve">Übertragbarkeit: </w:t>
      </w:r>
      <w:r>
        <w:rPr>
          <w:sz w:val="19"/>
        </w:rPr>
        <w:t>Schweizer Universitätskliniken, vergleichbares deutschsprachiges Versorgungssystem</w:t>
      </w:r>
    </w:p>
    <w:p>
      <w:r>
        <w:rPr>
          <w:color w:val="5A7D3A"/>
          <w:sz w:val="18"/>
        </w:rPr>
        <w:t>https://pubmed.ncbi.nlm.nih.gov/42835482/</w:t>
      </w:r>
    </w:p>
    <w:p>
      <w:pPr>
        <w:pStyle w:val="Heading1"/>
      </w:pPr>
      <w:r>
        <w:t>Aufgenommen am 06.10.2026</w:t>
      </w:r>
    </w:p>
    <w:p>
      <w:pPr>
        <w:pStyle w:val="Heading2"/>
      </w:pPr>
      <w:r>
        <w:t>Frailty als multidimensionales biopsychosoziales Syndrom: Update zu Konzepten und Versorgung</w:t>
      </w:r>
    </w:p>
    <w:p>
      <w:r>
        <w:rPr>
          <w:i/>
          <w:color w:val="666666"/>
          <w:sz w:val="18"/>
        </w:rPr>
        <w:t>Cohen CI et al.  ·  Clin Geriatr Med  ·  Nov. 2026  ·  PMID 42833807</w:t>
      </w:r>
    </w:p>
    <w:p>
      <w:r>
        <w:t>Übersichtsartikel fasst die Entwicklung von Frailty-Konzeptualisierung von primär physisch zu einem komplexen, multidimensionalen biopsychosozialen Syndrom zusammen, unter Einbeziehung von Definition, Diagnose-Tools, Epidemiologie, Pathogenese und Versorgungsansätze.</w:t>
      </w:r>
    </w:p>
    <w:p>
      <w:r>
        <w:rPr>
          <w:b/>
        </w:rPr>
        <w:t xml:space="preserve">Ergebnis: </w:t>
      </w:r>
      <w:r>
        <w:t>Frailty erweitert von physischer zu physischer, kognitiver, sozialer und psychologischer Frailty. Tools und Assessment-Domains aufgelistet; Epidemiologie, Risikofaktoren, Pathogenese, Prävention und Behandlungs-Frameworks skizziert. Ungelöste Versorgungsfragen benannt. Keine spezifischen Zahlenergebnisse, sondern konzeptueller Überblick über den Wandel im Feld.</w:t>
      </w:r>
    </w:p>
    <w:p>
      <w:r>
        <w:rPr>
          <w:b/>
          <w:sz w:val="19"/>
        </w:rPr>
        <w:t xml:space="preserve">Übertragbarkeit: </w:t>
      </w:r>
      <w:r>
        <w:rPr>
          <w:sz w:val="19"/>
        </w:rPr>
        <w:t>US-amerikanisches Review; biopsychosoziales Frailty-Modell international etabliert, auf deutsches System direkt anwendbar.</w:t>
      </w:r>
    </w:p>
    <w:p>
      <w:r>
        <w:rPr>
          <w:color w:val="5A7D3A"/>
          <w:sz w:val="18"/>
        </w:rPr>
        <w:t>https://pubmed.ncbi.nlm.nih.gov/42833807/</w:t>
      </w:r>
    </w:p>
    <w:p>
      <w:pPr>
        <w:pStyle w:val="Heading2"/>
      </w:pPr>
      <w:r>
        <w:t>Altersfeindlichkeit als upstream-Determinante: Sturzverhütung durch multilevel Reframing</w:t>
      </w:r>
    </w:p>
    <w:p>
      <w:r>
        <w:rPr>
          <w:i/>
          <w:color w:val="666666"/>
          <w:sz w:val="18"/>
        </w:rPr>
        <w:t>McMahon SK et al.  ·  Clin Geriatr Med  ·  03.09.2026  ·  PMID 42833800</w:t>
      </w:r>
    </w:p>
    <w:p>
      <w:r>
        <w:t>Konzeptuelle Analyse aus USA untersucht, wie strukturelle, interpersonelle und individuelle Ebenen von Altersdiskriminierung die Implementierung, Akzeptanz und Wirksamkeit von Sturz-Prävention bei älteren Menschen beeinträchtigen.</w:t>
      </w:r>
    </w:p>
    <w:p>
      <w:r>
        <w:rPr>
          <w:b/>
        </w:rPr>
        <w:t xml:space="preserve">Ergebnis: </w:t>
      </w:r>
      <w:r>
        <w:t>Lücke zwischen Evidenz (starke Maßnahmen-Effektivität) und Implementierung getrieben durch Ageismus: Untererfassung, Umweltbarrieren, internalisierte Stigma. Empfehlung für ganzheitlichen, mehrebenenigen Ansatz, der soziale Determinanten (besonders Ageismus) integriert; Systemische, klinische und Kommunikations-Änderungen für bessere Prävention, Engagement, sichere Mobilität. Framework ‚Reframing Aging' zitiert.</w:t>
      </w:r>
    </w:p>
    <w:p>
      <w:r>
        <w:rPr>
          <w:b/>
          <w:sz w:val="19"/>
        </w:rPr>
        <w:t xml:space="preserve">Übertragbarkeit: </w:t>
      </w:r>
      <w:r>
        <w:rPr>
          <w:sz w:val="19"/>
        </w:rPr>
        <w:t>USA-Perspektive; konzeptueller Rahmen zur Sturzverhütung durch Anti-Ageismus-Ansätze prinzipiell auf deutsches System übertragbar, erfordert aber Systemanpassung.</w:t>
      </w:r>
    </w:p>
    <w:p>
      <w:r>
        <w:rPr>
          <w:color w:val="5A7D3A"/>
          <w:sz w:val="18"/>
        </w:rPr>
        <w:t>https://pubmed.ncbi.nlm.nih.gov/42833800/</w:t>
      </w:r>
    </w:p>
    <w:p>
      <w:pPr>
        <w:pStyle w:val="Heading2"/>
      </w:pPr>
      <w:r>
        <w:t>Aortenstenose im Alter: Weshalb Lebenserwartung keine Indikation zum Verzicht auf Klappenersatz ist</w:t>
      </w:r>
    </w:p>
    <w:p>
      <w:r>
        <w:rPr>
          <w:i/>
          <w:color w:val="666666"/>
          <w:sz w:val="18"/>
        </w:rPr>
        <w:t>Demir OM et al.  ·  Open Heart  ·  05.10.2026  ·  PMID 42833700</w:t>
      </w:r>
    </w:p>
    <w:p>
      <w:r>
        <w:t>Konzeptuelles Argument zur Fehlinterpretation von Lebenserwartung bei älteren Patienten mit symptomatischer schwerer Aortenstenose und der Frage, wann Ventilintervention gerechtfertigt ist.</w:t>
      </w:r>
    </w:p>
    <w:p>
      <w:r>
        <w:rPr>
          <w:b/>
        </w:rPr>
        <w:t xml:space="preserve">Ergebnis: </w:t>
      </w:r>
      <w:r>
        <w:t>Nationale Sterbe- und Überlebenstafeln: 90-Jähriger in England/Wales hat noch 3,9 Jahre Lebenserwartung; 82-Jähriger lebt länger als 72-Jähriger. 'Schlagrisiko ist kardial, nicht chronologisch' — korreliert mit extravalvulärer Herzschädigung, Frailty und konkurrierenden Erkrankungen, nicht mit Kalenderalter. Stadium, nicht Alter, diskriminiert Outcome. Empfehlung: conditional, komorbidität-adjustierte Prognose statt Alters-Nihilismus.</w:t>
      </w:r>
    </w:p>
    <w:p>
      <w:r>
        <w:rPr>
          <w:b/>
          <w:sz w:val="19"/>
        </w:rPr>
        <w:t xml:space="preserve">Übertragbarkeit: </w:t>
      </w:r>
      <w:r>
        <w:rPr>
          <w:sz w:val="19"/>
        </w:rPr>
        <w:t>Britisches System; medizinisches Konzept zur Patientenauswahl übertragbar auf deutsches Altensystem.</w:t>
      </w:r>
    </w:p>
    <w:p>
      <w:r>
        <w:rPr>
          <w:color w:val="5A7D3A"/>
          <w:sz w:val="18"/>
        </w:rPr>
        <w:t>https://pubmed.ncbi.nlm.nih.gov/42833700/</w:t>
      </w:r>
    </w:p>
    <w:p>
      <w:pPr>
        <w:pStyle w:val="Heading2"/>
      </w:pPr>
      <w:r>
        <w:t>Körperliche Leistung puffert Alterseffekt auf Exekutivfunktion bei Demenzrisiko</w:t>
      </w:r>
    </w:p>
    <w:p>
      <w:r>
        <w:rPr>
          <w:i/>
          <w:color w:val="666666"/>
          <w:sz w:val="18"/>
        </w:rPr>
        <w:t>Reparaz-Escudero I et al.  ·  J Cachexia Sarcopenia Muscle  ·  Okt. 2026  ·  PMID 42833623</w:t>
      </w:r>
    </w:p>
    <w:p>
      <w:r>
        <w:t>Querschnittsstudie an 920 älteren Spaniern (60–85 Jahre) mit erhöhtem Demenzrisiko untersuchte, ob Ganggeschwindigkeit, Handgriffkraft und Beinmuskelpower den Zusammenhang zwischen Alter und Exekutivfunktion moderieren.</w:t>
      </w:r>
    </w:p>
    <w:p>
      <w:r>
        <w:rPr>
          <w:b/>
        </w:rPr>
        <w:t xml:space="preserve">Ergebnis: </w:t>
      </w:r>
      <w:r>
        <w:t>Höhere körperliche Leistung schwächte die Alters-Exekutivfunktion-Assoziation ab. Ganggeschwindigkeit moderierte die Beziehung am konsistentesten; Johnson-Neyman-Analyse zeigte: Alters-Exekutivfunktion-Effekt nur bei Ganggeschwindigkeiten unter 1,68–1,83 m/s messbar (1,0–15,9 % der Teilnehmer). Sex-spezifische Muster: Ganggeschwindigkeit bei TMT-B bei Männern, Stroop-Interferenz bei Frauen moderat.</w:t>
      </w:r>
    </w:p>
    <w:p>
      <w:r>
        <w:rPr>
          <w:b/>
          <w:sz w:val="19"/>
        </w:rPr>
        <w:t xml:space="preserve">Übertragbarkeit: </w:t>
      </w:r>
      <w:r>
        <w:rPr>
          <w:sz w:val="19"/>
        </w:rPr>
        <w:t>Spanische Demenzrisiko-Kohorte; körperliches Training zur Exekutivschutzung übertragbar auf deutsche Altenpopulation.</w:t>
      </w:r>
    </w:p>
    <w:p>
      <w:r>
        <w:rPr>
          <w:color w:val="5A7D3A"/>
          <w:sz w:val="18"/>
        </w:rPr>
        <w:t>https://pubmed.ncbi.nlm.nih.gov/42833623/</w:t>
      </w:r>
    </w:p>
    <w:p>
      <w:pPr>
        <w:pStyle w:val="Heading2"/>
      </w:pPr>
      <w:r>
        <w:t>Elektromyographie beim Gehen identifiziert Gebrechlichkeit bei älteren Patienten mit Herzkrankheit</w:t>
      </w:r>
    </w:p>
    <w:p>
      <w:r>
        <w:rPr>
          <w:i/>
          <w:color w:val="666666"/>
          <w:sz w:val="18"/>
        </w:rPr>
        <w:t>Huang P et al.  ·  J Cachexia Sarcopenia Muscle  ·  Okt. 2026  ·  PMID 42830734</w:t>
      </w:r>
    </w:p>
    <w:p>
      <w:r>
        <w:t>Fall-Kontroll-Studie mit 150 älteren Patienten mit Herzkrankheit (75 gebrechlich, 75 nicht-gebrechlich) verglich oberflächliche Elektromyographie (sEMG) der Unterschenkelmuskeln beim Gehen und testete deren Diskriminativwert für Frailty.</w:t>
      </w:r>
    </w:p>
    <w:p>
      <w:r>
        <w:rPr>
          <w:b/>
        </w:rPr>
        <w:t xml:space="preserve">Ergebnis: </w:t>
      </w:r>
      <w:r>
        <w:t>Gebrechliche waren älter (76,04 vs. 68,55 Jahre), benötigten länger für 10-m-Gang (13,34 vs. 9,44 s), niedrigere POMA-Scores (21,51 vs. 27,59). Gebrechliche zeigten höhere integrierte EMG des linken Semitendinosus (534,4 vs. 455,5 μV·s, p=0,0084) und höhere Aktivierungssequenz-Rang des linken Rectus femoris (p=0,0404). Im Frequenzbereich höhere Medianfrequenz (MF) in 6 Muskeln. Multivariates Modell: MF Rectus femoris rechts (OR 1,067, p=0,038), MF Gastrocnemius rechts (OR 1,054, p=0,019), Aktivierungsrang TA rechts (OR 0,640, p=0,014) unabhängig assoziiert. sEMG+Alter-Modell: AUC 0,8418 (Sensitivität 0,8933, Spezifität 0,6400), Vollmodell mit POMA: AUC 0,8740.</w:t>
      </w:r>
    </w:p>
    <w:p>
      <w:r>
        <w:rPr>
          <w:b/>
          <w:sz w:val="19"/>
        </w:rPr>
        <w:t xml:space="preserve">Übertragbarkeit: </w:t>
      </w:r>
      <w:r>
        <w:rPr>
          <w:sz w:val="19"/>
        </w:rPr>
        <w:t>Chinesische Klinik-Kohorte; sEMG-Methode und Frailty-Assessments international vergleichbar.</w:t>
      </w:r>
    </w:p>
    <w:p>
      <w:r>
        <w:rPr>
          <w:color w:val="5A7D3A"/>
          <w:sz w:val="18"/>
        </w:rPr>
        <w:t>https://pubmed.ncbi.nlm.nih.gov/42830734/</w:t>
      </w:r>
    </w:p>
    <w:p>
      <w:pPr>
        <w:pStyle w:val="Heading2"/>
      </w:pPr>
      <w:r>
        <w:t>Glukosestoffwechsel und vaskuläres Altern: Prädiktive Güte einfacher Marker im Screening</w:t>
      </w:r>
    </w:p>
    <w:p>
      <w:r>
        <w:rPr>
          <w:i/>
          <w:color w:val="666666"/>
          <w:sz w:val="18"/>
        </w:rPr>
        <w:t>Wang J et al.  ·  Front Endocrinol (Lausanne)  ·  18.09.2026  ·  PMID 42827523</w:t>
      </w:r>
    </w:p>
    <w:p>
      <w:r>
        <w:t>Retrospektive Querschnittsstudie mit 555 Personen aus Routineuntersuchungen evaluierte sieben Glukosemetaboliten-Indizes (TyG, CHG, HOMA-IR etc.) und deren Assoziationen mit frühem vaskulärem Altern (EVA, baPWV).</w:t>
      </w:r>
    </w:p>
    <w:p>
      <w:r>
        <w:rPr>
          <w:b/>
        </w:rPr>
        <w:t xml:space="preserve">Ergebnis: </w:t>
      </w:r>
      <w:r>
        <w:t>156/555 (28,1%) hatten EVA. Alle sieben Marker unabhängig mit EVA assoziiert nach Confounding-Kontrolle. CHG-Index stärkste Korrelation mit baPWV-Mittelwert (r=0,402, p&lt;0,001). ROC-Analysen: HbA1c höchste AUC (0,690), TyG-Index höchste Sensitivität (70,51%). Bescheidene Diskriminanzleistung über alle Marker. Schluss: TyG und HbA1c als potenzielle kostengünstige Hilfsmarker für EVA-Screening; interne Bootstrap- und externe prospektive Validierung erforderlich.</w:t>
      </w:r>
    </w:p>
    <w:p>
      <w:r>
        <w:rPr>
          <w:b/>
          <w:sz w:val="19"/>
        </w:rPr>
        <w:t xml:space="preserve">Übertragbarkeit: </w:t>
      </w:r>
      <w:r>
        <w:rPr>
          <w:sz w:val="19"/>
        </w:rPr>
        <w:t>Chinesische Gesundheitsuntersuchungskohorte; Biomarker-Interpretation übertragbar, aber lokale Altersstruktur verschieden.</w:t>
      </w:r>
    </w:p>
    <w:p>
      <w:r>
        <w:rPr>
          <w:color w:val="5A7D3A"/>
          <w:sz w:val="18"/>
        </w:rPr>
        <w:t>https://pubmed.ncbi.nlm.nih.gov/42827523/</w:t>
      </w:r>
    </w:p>
    <w:p>
      <w:pPr>
        <w:pStyle w:val="Heading2"/>
      </w:pPr>
      <w:r>
        <w:t>Arteriosklerose und Sarkopenie: biologisches Alter als Mediator, Gebrechlichkeit als Modifikator</w:t>
      </w:r>
    </w:p>
    <w:p>
      <w:r>
        <w:rPr>
          <w:i/>
          <w:color w:val="666666"/>
          <w:sz w:val="18"/>
        </w:rPr>
        <w:t>Sun A et al.  ·  Front Public Health  ·  14.09.2026  ·  PMID 42807006</w:t>
      </w:r>
    </w:p>
    <w:p>
      <w:r>
        <w:t>Prospektive UK-Biobank-Kohortenstudie mit 32.451 Teilnehmern untersuchte, ob Arteriensteifigkeit (ASI) mit Sarkopenie-Risiko assoziiert ist und welche Rolle biologisches Alter und Frailty spielen.</w:t>
      </w:r>
    </w:p>
    <w:p>
      <w:r>
        <w:rPr>
          <w:b/>
        </w:rPr>
        <w:t xml:space="preserve">Ergebnis: </w:t>
      </w:r>
      <w:r>
        <w:t>Höchstes vs. niedriges ASI-Tertil: HR 1,38 (95%-KI 1,22–1,55) für wahrscheinliche Sarkopenie, HR 1,56 (95%-KI 1,11–2,18) für Sarkopenie. Biologisches Alter mediierte 8,66 % und 18,85 % dieser Assoziationen. Frailty modifizierte die Magnitude erheblich; Assoziationen überwiegend bei nicht-Gebrechlichen. Erkannter nichtlinearer Zusammenhang bei wahrscheinlicher Sarkopenie, linear bei manifester Sarkopenie.</w:t>
      </w:r>
    </w:p>
    <w:p>
      <w:r>
        <w:rPr>
          <w:b/>
          <w:sz w:val="19"/>
        </w:rPr>
        <w:t xml:space="preserve">Übertragbarkeit: </w:t>
      </w:r>
      <w:r>
        <w:rPr>
          <w:sz w:val="19"/>
        </w:rPr>
        <w:t>UK Biobank; methodische Validierbarkeit aber Altersdurchschnitt und Sozialstruktur unterscheiden sich von Deutschland.</w:t>
      </w:r>
    </w:p>
    <w:p>
      <w:r>
        <w:rPr>
          <w:color w:val="5A7D3A"/>
          <w:sz w:val="18"/>
        </w:rPr>
        <w:t>https://pubmed.ncbi.nlm.nih.gov/42807006/</w:t>
      </w:r>
    </w:p>
    <w:p>
      <w:pPr>
        <w:pStyle w:val="Heading1"/>
      </w:pPr>
      <w:r>
        <w:t>Aufgenommen am 05.10.2026</w:t>
      </w:r>
    </w:p>
    <w:p>
      <w:pPr>
        <w:pStyle w:val="Heading2"/>
      </w:pPr>
      <w:r>
        <w:t>Prävention durch Hausbesuche erfordert sektorenübergreifende Partnerschaften und Unterstützung durch Führungspersonen</w:t>
      </w:r>
    </w:p>
    <w:p>
      <w:r>
        <w:rPr>
          <w:i/>
          <w:color w:val="666666"/>
          <w:sz w:val="18"/>
        </w:rPr>
        <w:t>Nivestam A et al.  ·  Scand J Caring Sci  ·  Dez. 2026  ·  PMID 42828510</w:t>
      </w:r>
    </w:p>
    <w:p>
      <w:r>
        <w:t>Qualitative Studie (Fokusgruppen mit 16 Fachpersonen aus 5 schwedischen Gemeinden) identifiziert, welche Kooperationspartner Hausbesucher für erfolgreiche Prävention und gesundes Altern mobilisieren.</w:t>
      </w:r>
    </w:p>
    <w:p>
      <w:r>
        <w:rPr>
          <w:b/>
        </w:rPr>
        <w:t xml:space="preserve">Ergebnis: </w:t>
      </w:r>
      <w:r>
        <w:t>Hausbesucher arbeiten mit breitem Spektrum von Partnern zusammen: kritisch sind Politiker und Medien; wichtig sind Akteure für sinnvolle Freizeit, Partizipation, lebenslanges Lernen und Gesundheits-/Sozialsektoren. Unterstützung durch Führungspersonen in Schlüsselpositionen steigert Effektivität. Kernempfehlung: gesamtgesellschaftlicher (whole-of-society) Ansatz zur Planung von Präventionsbesuchen.</w:t>
      </w:r>
    </w:p>
    <w:p>
      <w:r>
        <w:rPr>
          <w:b/>
          <w:sz w:val="19"/>
        </w:rPr>
        <w:t xml:space="preserve">Übertragbarkeit: </w:t>
      </w:r>
      <w:r>
        <w:rPr>
          <w:sz w:val="19"/>
        </w:rPr>
        <w:t>Skandinavien vergleichbar, universelles Gesundheitssystem, übertragbar auf Deutschland.</w:t>
      </w:r>
    </w:p>
    <w:p>
      <w:r>
        <w:rPr>
          <w:color w:val="5A7D3A"/>
          <w:sz w:val="18"/>
        </w:rPr>
        <w:t>https://pubmed.ncbi.nlm.nih.gov/42828510/</w:t>
      </w:r>
    </w:p>
    <w:p>
      <w:pPr>
        <w:pStyle w:val="Heading2"/>
      </w:pPr>
      <w:r>
        <w:t>Krankenversicherung für Ernährungstherapie älterer Krebspatienten determiniert Funktionsfähigkeit</w:t>
      </w:r>
    </w:p>
    <w:p>
      <w:r>
        <w:rPr>
          <w:i/>
          <w:color w:val="666666"/>
          <w:sz w:val="18"/>
        </w:rPr>
        <w:t>Yang J  ·  Front Public Health  ·  18.09.2026  ·  PMID 42827769</w:t>
      </w:r>
    </w:p>
    <w:p>
      <w:r>
        <w:t>Narratives Mini-Review analysiert Versicherungsdeckung für medizinische Ernährungstherapie (Medical Nutrition Therapy, MNT) bei älteren Frauen mit Krebs als Politikfrage für Langzeitpflege und Frailty-Equity in USA, Australien und UK.</w:t>
      </w:r>
    </w:p>
    <w:p>
      <w:r>
        <w:rPr>
          <w:b/>
        </w:rPr>
        <w:t xml:space="preserve">Ergebnis: </w:t>
      </w:r>
      <w:r>
        <w:t>Untersucht, wie Versicherungsdesign – Leistungsbeschränkungen, Kostenbeteiligung, fragmentierte Autorisierung – den Zugang zu MNT und damit Risiken für Mangelernährung, Sarkopenie und funktionalen Niedergang lenkt. Empfiehlt MNT als essenzielle, risikostratifizierte Komponente von Onkologie und Langzeitpflege, nicht als optionales Wellness-Angebot, mit kontinuierlichen Übergängen zwischen Klinik, Heimat und Pflege.</w:t>
      </w:r>
    </w:p>
    <w:p>
      <w:r>
        <w:rPr>
          <w:b/>
          <w:sz w:val="19"/>
        </w:rPr>
        <w:t xml:space="preserve">Übertragbarkeit: </w:t>
      </w:r>
      <w:r>
        <w:rPr>
          <w:sz w:val="19"/>
        </w:rPr>
        <w:t>UK-System vergleichbar; Kernaussage zur Finanzierungspolitik auch auf deutsches System übertragbar.</w:t>
      </w:r>
    </w:p>
    <w:p>
      <w:r>
        <w:rPr>
          <w:color w:val="5A7D3A"/>
          <w:sz w:val="18"/>
        </w:rPr>
        <w:t>https://pubmed.ncbi.nlm.nih.gov/42827769/</w:t>
      </w:r>
    </w:p>
    <w:p>
      <w:pPr>
        <w:pStyle w:val="Heading2"/>
      </w:pPr>
      <w:r>
        <w:t>Biologische Organaltern und Proteinprofile vorhersagen Mortalitätsrisiko besser als Standard-Biomarker</w:t>
      </w:r>
    </w:p>
    <w:p>
      <w:r>
        <w:rPr>
          <w:i/>
          <w:color w:val="666666"/>
          <w:sz w:val="18"/>
        </w:rPr>
        <w:t>Pyrgioti M et al.  ·  Aging Cell  ·  Okt. 2026  ·  PMID 42823846</w:t>
      </w:r>
    </w:p>
    <w:p>
      <w:r>
        <w:t>Benchmarking von 11 proteomic organ clocks gegen etablierte Altersmarker (epigenetisches Alter, Telomerlänge, Lungenfunktion, Kognition, Neuroimaging) für 16-Jahres-Gesamtmortalität in einer schottischen Kohorte (n=861; 444 Todesfälle).</w:t>
      </w:r>
    </w:p>
    <w:p>
      <w:r>
        <w:rPr>
          <w:b/>
        </w:rPr>
        <w:t xml:space="preserve">Ergebnis: </w:t>
      </w:r>
      <w:r>
        <w:t>Unter proteomic clocks: beschleunigte Leber-(HR=1,43), Immun-(HR=1,42) und Herzalterung (HR=1,38) waren stärkste Prädiktor:innen. Aber älteres epigenetisches Alter, kleineres Hirnvolumen, reduzierte Atemfunktion und schlechtere Kognition zeigten stärkere Assoziationen (HR=1,44–1,62). Von 9703 Plasma-Proteinen: GDF15 (HR=1,56), WFDC2 (HR=1,47) und TIMP1 (HR=1,45) führend mit Mortalität assoziiert.</w:t>
      </w:r>
    </w:p>
    <w:p>
      <w:r>
        <w:rPr>
          <w:b/>
          <w:sz w:val="19"/>
        </w:rPr>
        <w:t xml:space="preserve">Übertragbarkeit: </w:t>
      </w:r>
      <w:r>
        <w:rPr>
          <w:sz w:val="19"/>
        </w:rPr>
        <w:t>UK-Biobank-Kohorte, europäische Altersstruktur, direkt auf Deutschland übertragbar.</w:t>
      </w:r>
    </w:p>
    <w:p>
      <w:r>
        <w:rPr>
          <w:color w:val="5A7D3A"/>
          <w:sz w:val="18"/>
        </w:rPr>
        <w:t>https://pubmed.ncbi.nlm.nih.gov/42823846/</w:t>
      </w:r>
    </w:p>
    <w:p>
      <w:pPr>
        <w:pStyle w:val="Heading2"/>
      </w:pPr>
      <w:r>
        <w:t>Gesunde Altersverläufe senken kardiovaskuläres Erkrankungsrisiko</w:t>
      </w:r>
    </w:p>
    <w:p>
      <w:r>
        <w:rPr>
          <w:i/>
          <w:color w:val="666666"/>
          <w:sz w:val="18"/>
        </w:rPr>
        <w:t>Du R et al.  ·  J Nutr Health Aging  ·  04.09.2026  ·  PMID 42697165</w:t>
      </w:r>
    </w:p>
    <w:p>
      <w:r>
        <w:t>Studie untersucht die Assoziation zwischen Mustern gesunder Alterung (gemessen mit ATHLOS-Score) und dem Auftreten kardiovaskulärer Erkrankungen in drei europäischen und chinesischen Kohorten.</w:t>
      </w:r>
    </w:p>
    <w:p>
      <w:r>
        <w:rPr>
          <w:b/>
        </w:rPr>
        <w:t xml:space="preserve">Ergebnis: </w:t>
      </w:r>
      <w:r>
        <w:t>Verglichen mit der niedrigsten Altersverlauf-Gruppe zeigte die mittlere Gruppe reduziertes CVD-Risiko (SHARE HR=0,89; ELSA HR=0,66; CHARLS HR=0,67), die höchste Gruppe sogar deutlich gesenkt (SHARE HR=0,61; ELSA HR=0,36; CHARLS HR=0,39). Assoziation war konsistent über SES- und Lebensstil-Schichten. Hochwertige Altersverläufe sind kardioprotektiv.</w:t>
      </w:r>
    </w:p>
    <w:p>
      <w:r>
        <w:rPr>
          <w:b/>
          <w:sz w:val="19"/>
        </w:rPr>
        <w:t xml:space="preserve">Übertragbarkeit: </w:t>
      </w:r>
      <w:r>
        <w:rPr>
          <w:sz w:val="19"/>
        </w:rPr>
        <w:t>SHARE und ELSA europäisch vergleichbar, CHARLS repräsentiert alternatives System.</w:t>
      </w:r>
    </w:p>
    <w:p>
      <w:r>
        <w:rPr>
          <w:color w:val="5A7D3A"/>
          <w:sz w:val="18"/>
        </w:rPr>
        <w:t>https://pubmed.ncbi.nlm.nih.gov/42697165/</w:t>
      </w:r>
    </w:p>
    <w:p>
      <w:pPr>
        <w:pStyle w:val="Heading2"/>
      </w:pPr>
      <w:r>
        <w:t>Spezialisierte Versorgung fragiler Chirurgiepatienten senkt Morbidität und erhält Lebensqualität</w:t>
      </w:r>
    </w:p>
    <w:p>
      <w:r>
        <w:rPr>
          <w:i/>
          <w:color w:val="666666"/>
          <w:sz w:val="18"/>
        </w:rPr>
        <w:t>Castellví Valls J et al.  ·  Cir Esp (Engl Ed)  ·  01.09.2026  ·  PMID 42680087</w:t>
      </w:r>
    </w:p>
    <w:p>
      <w:r>
        <w:t>Evaluiert Effektivität eines integrierten geriatrischen Versorgungsbereichs für fragile Patienten, die operativ behandelt wurden, mit Fokus auf perioperative Morbidität, Mortalität und Funktionsfähigkeit.</w:t>
      </w:r>
    </w:p>
    <w:p>
      <w:r>
        <w:rPr>
          <w:b/>
        </w:rPr>
        <w:t xml:space="preserve">Ergebnis: </w:t>
      </w:r>
      <w:r>
        <w:t>Von 413 Patienten (Alter 80 J., 91,8% ASA III-IV) wurden 288 operiert. Perioperative Komplikationen Clavien-Dindo III-V: 9,7%, 30-Tage-Mortalität 3,1%, Wiederaufnahmen 13,2%. Nach 3 Monaten und 1 Jahr waren 82,5% der operierten Patienten in Funktion gleich oder besser als präoperativ. Von 125 nicht operierten Patienten starben 48,3% im 1. Jahr.</w:t>
      </w:r>
    </w:p>
    <w:p>
      <w:r>
        <w:rPr>
          <w:b/>
          <w:sz w:val="19"/>
        </w:rPr>
        <w:t xml:space="preserve">Übertragbarkeit: </w:t>
      </w:r>
      <w:r>
        <w:rPr>
          <w:sz w:val="19"/>
        </w:rPr>
        <w:t>Spanisch-katalanisches Krankenhaus-System, deutsche Geriatrien vergleichbar organisiert.</w:t>
      </w:r>
    </w:p>
    <w:p>
      <w:r>
        <w:rPr>
          <w:color w:val="5A7D3A"/>
          <w:sz w:val="18"/>
        </w:rPr>
        <w:t>https://pubmed.ncbi.nlm.nih.gov/42680087/</w:t>
      </w:r>
    </w:p>
    <w:p>
      <w:pPr>
        <w:pStyle w:val="Heading2"/>
      </w:pPr>
      <w:r>
        <w:t>Schlaf-Mikrostruktur in der Älterung vorhersagt kognitive Trajektorie über 10 Jahre</w:t>
      </w:r>
    </w:p>
    <w:p>
      <w:r>
        <w:rPr>
          <w:i/>
          <w:color w:val="666666"/>
          <w:sz w:val="18"/>
        </w:rPr>
        <w:t>Urdanibia-Centelles O et al.  ·  Sleep Med  ·  20.08.2026  ·  PMID 42628340</w:t>
      </w:r>
    </w:p>
    <w:p>
      <w:r>
        <w:t>Prospektive Kohortenstudie (n=82 mit ausreichend NREM-Schlaf, Polysomnografie und kognitive Tests 10 Jahre auseinander) untersucht, ob Schlafmerkmale (Spindel, Slow Waves, EEG-Kohärenz) kognitive Alterung und Verfall vorhersagen.</w:t>
      </w:r>
    </w:p>
    <w:p>
      <w:r>
        <w:rPr>
          <w:b/>
        </w:rPr>
        <w:t xml:space="preserve">Ergebnis: </w:t>
      </w:r>
      <w:r>
        <w:t>Über 10 Jahre: Verarbeitungsgeschwindigkeit nahm um 6,1 s zu, symbolische Konversion um 2,3 ab. Höhere Schlafeffizienz → besseres kognitives Halten. Erhöhte Wachphase und erhöhtes Arousal → schlechtere Gedächtnis- und Lernleistung. Höhere Fast-Spindle-Amplitude und -Frequenz, Slow-Wave-Charakteristika und N2/REM-Kohärenz korrelierten mit Verarbeitungsgeschwindigkeit, Aufmerksamkeit und globaler Kognition.</w:t>
      </w:r>
    </w:p>
    <w:p>
      <w:r>
        <w:rPr>
          <w:b/>
          <w:sz w:val="19"/>
        </w:rPr>
        <w:t xml:space="preserve">Übertragbarkeit: </w:t>
      </w:r>
      <w:r>
        <w:rPr>
          <w:sz w:val="19"/>
        </w:rPr>
        <w:t>Dänische Geburtskohorte, nordeuropäisches System vergleichbar.</w:t>
      </w:r>
    </w:p>
    <w:p>
      <w:r>
        <w:rPr>
          <w:color w:val="5A7D3A"/>
          <w:sz w:val="18"/>
        </w:rPr>
        <w:t>https://pubmed.ncbi.nlm.nih.gov/42628340/</w:t>
      </w:r>
    </w:p>
    <w:p>
      <w:pPr>
        <w:pStyle w:val="Heading1"/>
      </w:pPr>
      <w:r>
        <w:t>Aufgenommen am 04.10.2026</w:t>
      </w:r>
    </w:p>
    <w:p>
      <w:pPr>
        <w:pStyle w:val="Heading2"/>
      </w:pPr>
      <w:r>
        <w:t>Ernährungsscreening und Vorrehabilitation reduzieren Komplikationen bei älteren Frauen in der Krebschirurgie</w:t>
      </w:r>
    </w:p>
    <w:p>
      <w:r>
        <w:rPr>
          <w:i/>
          <w:color w:val="666666"/>
          <w:sz w:val="18"/>
        </w:rPr>
        <w:t>Feng Y et al.  ·  Front Public Health  ·  17.09.2026  ·  PMID 42824555</w:t>
      </w:r>
    </w:p>
    <w:p>
      <w:r>
        <w:t>Narrative Review zu Pflegeintervention bei älteren Frauen mit Krebs vor Operation: Frailty- und Ernährungsscreening, Dietitian-Referral, multimodale Prehabilitation und Enhanced Recovery.</w:t>
      </w:r>
    </w:p>
    <w:p>
      <w:r>
        <w:rPr>
          <w:b/>
        </w:rPr>
        <w:t xml:space="preserve">Ergebnis: </w:t>
      </w:r>
      <w:r>
        <w:t>Integrierten zwei-Schritt-Ansatz mit Frailty/Ernährungsscreening plus Multidimensionalem Assessment, Protein-Energie-Support und Mobilisierung in Enhanced-Recovery-Pathways wird empfohlen. Begründung: Ältere Frauen erleben Frailty-Malnutrition-Stress-Achse; Mangelernährung und Muskelabbau persistieren über Adjuvanztherapie hinaus. Wirkevidenz begrenzt auf funktionelle und ernährungsbezogene Outcomes, nicht nur Liegedauer.</w:t>
      </w:r>
    </w:p>
    <w:p>
      <w:r>
        <w:rPr>
          <w:b/>
          <w:sz w:val="19"/>
        </w:rPr>
        <w:t xml:space="preserve">Übertragbarkeit: </w:t>
      </w:r>
      <w:r>
        <w:rPr>
          <w:sz w:val="19"/>
        </w:rPr>
        <w:t>Deutschland: Geriatrisches Assessments- und Ernährungskonzept ist in deutschen Kliniken strukturell etablierbar.</w:t>
      </w:r>
    </w:p>
    <w:p>
      <w:r>
        <w:rPr>
          <w:color w:val="5A7D3A"/>
          <w:sz w:val="18"/>
        </w:rPr>
        <w:t>https://pubmed.ncbi.nlm.nih.gov/42824555/</w:t>
      </w:r>
    </w:p>
    <w:p>
      <w:pPr>
        <w:pStyle w:val="Heading2"/>
      </w:pPr>
      <w:r>
        <w:t>Hitzebelastung verschlechtert funktionale Kapazität bei älteren Erwachsenen in China</w:t>
      </w:r>
    </w:p>
    <w:p>
      <w:r>
        <w:rPr>
          <w:i/>
          <w:color w:val="666666"/>
          <w:sz w:val="18"/>
        </w:rPr>
        <w:t>Huang L et al.  ·  BMC Public Health  ·  26.09.2026  ·  PMID 42823677</w:t>
      </w:r>
    </w:p>
    <w:p>
      <w:r>
        <w:t>Longitudinale Studie an 1.393 Chinesen (45–80 Jahre) über drei Wellen (2011–2015) zur Assoziation von Hitzewellentagen mit Trajektorien der intrinsischen Kapazität (WHO-Indikator für gesundes Altern).</w:t>
      </w:r>
    </w:p>
    <w:p>
      <w:r>
        <w:rPr>
          <w:b/>
        </w:rPr>
        <w:t xml:space="preserve">Ergebnis: </w:t>
      </w:r>
      <w:r>
        <w:t>Jeder zusätzliche Hitzewellentag erhöhte das Risiko der Low-declining-Trajektorie um 3,5 % (adjustierte RRR = 1,035; 95 % KI: 1,012–1,058; p = 0,003). Effekt war ausgeprägter bei geringerer Schulbildung (RRR = 1,07) und in ländlichen Regionen (RRR = 1,05). Kältespells zeigten keinen signifikanten Effekt. Klimawandel gefährdet funktionale Gesundheit sozioökonomisch benachteiligter älterer Menschen.</w:t>
      </w:r>
    </w:p>
    <w:p>
      <w:r>
        <w:rPr>
          <w:b/>
          <w:sz w:val="19"/>
        </w:rPr>
        <w:t xml:space="preserve">Übertragbarkeit: </w:t>
      </w:r>
      <w:r>
        <w:rPr>
          <w:sz w:val="19"/>
        </w:rPr>
        <w:t>China, aber Funktionsfähigkeit als universales Konzept; Effektmodifikation durch Bildung und Wohnort relevant für alle Länder.</w:t>
      </w:r>
    </w:p>
    <w:p>
      <w:r>
        <w:rPr>
          <w:color w:val="5A7D3A"/>
          <w:sz w:val="18"/>
        </w:rPr>
        <w:t>https://pubmed.ncbi.nlm.nih.gov/42823677/</w:t>
      </w:r>
    </w:p>
    <w:p>
      <w:pPr>
        <w:pStyle w:val="Heading2"/>
      </w:pPr>
      <w:r>
        <w:t>Institutionelle Fragmentierung verstärkt Ungleichheit in der Langzeitpflege im asiatisch-pazifischen Raum</w:t>
      </w:r>
    </w:p>
    <w:p>
      <w:r>
        <w:rPr>
          <w:i/>
          <w:color w:val="666666"/>
          <w:sz w:val="18"/>
        </w:rPr>
        <w:t>Bhula-Or R et al.  ·  Australas J Ageing  ·  Dez. 2026  ·  PMID 42820354</w:t>
      </w:r>
    </w:p>
    <w:p>
      <w:r>
        <w:t>Qualitative Partizipative-Beobachtungs-Studie mit reflexiver Thematic Analysis über 107 Stakeholder (Policy, Wissenschaft, Zivilgesellschaft, Anbieter) aus ASEAN-Plus-Three während regionaler Politikdialogs 2025.</w:t>
      </w:r>
    </w:p>
    <w:p>
      <w:r>
        <w:rPr>
          <w:b/>
        </w:rPr>
        <w:t xml:space="preserve">Ergebnis: </w:t>
      </w:r>
      <w:r>
        <w:t>Drei zentrale Befunde: (1) institutionelle Fragmentierung wandelt frühere Benachteiligung in ungleiche Zugänge um; (2) Gemeinschaften fangen Lücken in formaler Pflege auf, verschieben aber nicht öffentliche Verantwortung; (3) Equity hängt von Neuverteilung von Mitsprache und sektorenübergreifender Koordination ab. Kosten fallen disproportional auf Frauen, ländliche und niedrigeinkommens-Ältere. Autorenvorschlag: nationale Koordinierungshubs als Lösungsarchitektur.</w:t>
      </w:r>
    </w:p>
    <w:p>
      <w:r>
        <w:rPr>
          <w:b/>
          <w:sz w:val="19"/>
        </w:rPr>
        <w:t xml:space="preserve">Übertragbarkeit: </w:t>
      </w:r>
      <w:r>
        <w:rPr>
          <w:sz w:val="19"/>
        </w:rPr>
        <w:t>ASEAN-Region: Transferierbar für vergleichbare föderalistische/föderative Systeme; Koordinierungslücke relevant auch für Deutschland.</w:t>
      </w:r>
    </w:p>
    <w:p>
      <w:r>
        <w:rPr>
          <w:color w:val="5A7D3A"/>
          <w:sz w:val="18"/>
        </w:rPr>
        <w:t>https://pubmed.ncbi.nlm.nih.gov/42820354/</w:t>
      </w:r>
    </w:p>
    <w:p>
      <w:pPr>
        <w:pStyle w:val="Heading2"/>
      </w:pPr>
      <w:r>
        <w:t>Zervikale Atrophie übersteigt Alterseffekt bei Multiple Sklerose – besonders in 50ern und 60ern</w:t>
      </w:r>
    </w:p>
    <w:p>
      <w:r>
        <w:rPr>
          <w:i/>
          <w:color w:val="666666"/>
          <w:sz w:val="18"/>
        </w:rPr>
        <w:t>Jain K et al.  ·  Neurology  ·  27.10.2026  ·  PMID 42814910</w:t>
      </w:r>
    </w:p>
    <w:p>
      <w:r>
        <w:t>Cross-sectional Multizenterstudie (3 italienische Zentren) mit 480 gesunden Kontrollen und 1.295 MS-Patienten (18–70 Jahre): Untersuchung, ob MS eine krankheitsspezifische Reduktion der mittleren oberen zervikalen Rückenmarksarea (MUCCA) über Altern hinaus bewirkt, und ob diese durch Geschlecht und Erkrankungsbeginn moduliert wird.</w:t>
      </w:r>
    </w:p>
    <w:p>
      <w:r>
        <w:rPr>
          <w:b/>
        </w:rPr>
        <w:t xml:space="preserve">Ergebnis: </w:t>
      </w:r>
      <w:r>
        <w:t>Bei Kontrollen: MUCCA stieg bis späte 30er Jahre (p ≤ 0,033), sank nach 50 Jahren (p ≤ 0,008). MS-Patienten zeigten Z-Scores &lt; 0 ab 30 Jahren (p ≤ 0,039), besonders in 50ern und 60ern. Markanter früh-erwachsener Decline bis späte 40er, danach Abschwächung. Geschlechtsunterschiede nicht signifikant. Höhere Atrophie korreliert mit stärkerer Behinderung (ρ = 0,196–0,392, alle p &lt; 0,001). Rückenmarksatrophie ist sensitiver MS-Biomarker für Neurodegeneration jenseits reinen Alterns.</w:t>
      </w:r>
    </w:p>
    <w:p>
      <w:r>
        <w:rPr>
          <w:b/>
          <w:sz w:val="19"/>
        </w:rPr>
        <w:t xml:space="preserve">Übertragbarkeit: </w:t>
      </w:r>
      <w:r>
        <w:rPr>
          <w:sz w:val="19"/>
        </w:rPr>
        <w:t>Italien, Deutschland: Neuroimaging-Daten aus europäischen Zentren mit vergleichbarer MS-Diagnostik; Transfer auf deutsche MS-Kohorten möglich.</w:t>
      </w:r>
    </w:p>
    <w:p>
      <w:r>
        <w:rPr>
          <w:color w:val="5A7D3A"/>
          <w:sz w:val="18"/>
        </w:rPr>
        <w:t>https://pubmed.ncbi.nlm.nih.gov/42814910/</w:t>
      </w:r>
    </w:p>
    <w:p>
      <w:pPr>
        <w:pStyle w:val="Heading2"/>
      </w:pPr>
      <w:r>
        <w:t>Kombinierte Bewegungs- und Ernährungsinterventionen beugen Frailty vor</w:t>
      </w:r>
    </w:p>
    <w:p>
      <w:r>
        <w:rPr>
          <w:i/>
          <w:color w:val="666666"/>
          <w:sz w:val="18"/>
        </w:rPr>
        <w:t>Aydin N et al.  ·  Orthop Nurs  ·  22.09.2026  ·  PMID 42809602</w:t>
      </w:r>
    </w:p>
    <w:p>
      <w:r>
        <w:t>Systematischer Review und Metaanalyse von 16 randomisierten Studien zu Frailty-Prävention bei Erwachsenen ab 65 Jahren.</w:t>
      </w:r>
    </w:p>
    <w:p>
      <w:r>
        <w:rPr>
          <w:b/>
        </w:rPr>
        <w:t xml:space="preserve">Ergebnis: </w:t>
      </w:r>
      <w:r>
        <w:t>Gesamteffektgröße: Hedges' g = –0,799 (95 % KI: –1,420 bis 0,179); Heterogenität hoch (I² = 97,32 %). Kombinierte Interventionen (Bewegung + Ernährung + integrierte Versorgung) zeigten größeren Effekt (g = 2,843; 95 % KI: 0,376–6,062) als einzelne Ansätze. Subgruppenunterschiede nicht signifikant (p = 0,080). Dauer und Frequenz von Bewegung sowie nutrizionale Unterstützung entscheidend.</w:t>
      </w:r>
    </w:p>
    <w:p>
      <w:r>
        <w:rPr>
          <w:b/>
          <w:sz w:val="19"/>
        </w:rPr>
        <w:t xml:space="preserve">Übertragbarkeit: </w:t>
      </w:r>
      <w:r>
        <w:rPr>
          <w:sz w:val="19"/>
        </w:rPr>
        <w:t>Deutschland: Multimodale Prävention ist Standard; Metaanalyse belegt Notwendigkeit kombinierter Ansätze.</w:t>
      </w:r>
    </w:p>
    <w:p>
      <w:r>
        <w:rPr>
          <w:color w:val="5A7D3A"/>
          <w:sz w:val="18"/>
        </w:rPr>
        <w:t>https://pubmed.ncbi.nlm.nih.gov/42809602/</w:t>
      </w:r>
    </w:p>
    <w:p>
      <w:pPr>
        <w:pStyle w:val="Heading2"/>
      </w:pPr>
      <w:r>
        <w:t>Enactment-Kodierung verbessert prospektives Gedächtnis über alle Altersgruppen</w:t>
      </w:r>
    </w:p>
    <w:p>
      <w:r>
        <w:rPr>
          <w:i/>
          <w:color w:val="666666"/>
          <w:sz w:val="18"/>
        </w:rPr>
        <w:t>Stelz S et al.  ·  Memory  ·  21.08.2026  ·  PMID 42627881</w:t>
      </w:r>
    </w:p>
    <w:p>
      <w:r>
        <w:t>Randomisierte Studie an 373 Personen (Kinder bis Mittelalter) mit drei Kodierungsbedingungen (episodic future thinking, enactment encoding, Standard) und computerisierter prospektiver Gedächtnisaufgabe.</w:t>
      </w:r>
    </w:p>
    <w:p>
      <w:r>
        <w:rPr>
          <w:b/>
        </w:rPr>
        <w:t xml:space="preserve">Ergebnis: </w:t>
      </w:r>
      <w:r>
        <w:t>Enactment encoding führte zu signifikant besserer Leistung als episodic future thinking und Standard (Haupteffekt p &lt; 0,05). Vorteil war unabhängig von Altersgruppe – kein Alters-mal-Bedingung-Effekt (Erwartung widerlegt). Immediate Memory und Attention waren beste RBANS-Prädiktoren für alltägliche Funktionalität.</w:t>
      </w:r>
    </w:p>
    <w:p>
      <w:r>
        <w:rPr>
          <w:b/>
          <w:sz w:val="19"/>
        </w:rPr>
        <w:t xml:space="preserve">Übertragbarkeit: </w:t>
      </w:r>
      <w:r>
        <w:rPr>
          <w:sz w:val="19"/>
        </w:rPr>
        <w:t>Deutschland: Universelle Kodierungsmethode, unabhängig von kognitiven Ressourcen im Alter anwendbar.</w:t>
      </w:r>
    </w:p>
    <w:p>
      <w:r>
        <w:rPr>
          <w:color w:val="5A7D3A"/>
          <w:sz w:val="18"/>
        </w:rPr>
        <w:t>https://pubmed.ncbi.nlm.nih.gov/42627881/</w:t>
      </w:r>
    </w:p>
    <w:p>
      <w:pPr>
        <w:pStyle w:val="Heading1"/>
      </w:pPr>
      <w:r>
        <w:t>Aufgenommen am 03.10.2026</w:t>
      </w:r>
    </w:p>
    <w:p>
      <w:pPr>
        <w:pStyle w:val="Heading2"/>
      </w:pPr>
      <w:r>
        <w:t>Multimorbiditäts-Effekte auf erhaltene Funktionsfähigkeit: Heterogenität nach Krankheitstyp und sozioökonomischem Status</w:t>
      </w:r>
    </w:p>
    <w:p>
      <w:r>
        <w:rPr>
          <w:i/>
          <w:color w:val="666666"/>
          <w:sz w:val="18"/>
        </w:rPr>
        <w:t>Zeng Z et al.  ·  Medicine (Baltimore)  ·  02.10.2026  ·  PMID 42826326</w:t>
      </w:r>
    </w:p>
    <w:p>
      <w:r>
        <w:t>Querschnittsstudie mit wiederholten Beobachtungen aus China (2011, 2015, 2018) zu Assoziationen zwischen Multimorbiditäten und Intrinsic Capacity (selbstständiges Leben) mit Subgruppenanalysen nach Erkrankungstyp, Region und Einkommen.</w:t>
      </w:r>
    </w:p>
    <w:p>
      <w:r>
        <w:rPr>
          <w:b/>
        </w:rPr>
        <w:t xml:space="preserve">Ergebnis: </w:t>
      </w:r>
      <w:r>
        <w:t>Multimorbiditäten waren signifikant mit niedriger Intrinsic Capacity assoziiert (β=−0,076, p&lt;0,01). Neurodegenerative Erkrankungen zeigten die stärkste negative Assoziation (β=−0,587), gefolgt von kardiovaskulären Erkrankungen (β=−0,135). Negative Assoziationen waren stärker in ländlichen Gebieten, westlichen Regionen und bei niedrigerem Einkommen/Bildung.</w:t>
      </w:r>
    </w:p>
    <w:p>
      <w:r>
        <w:rPr>
          <w:b/>
          <w:sz w:val="19"/>
        </w:rPr>
        <w:t xml:space="preserve">Übertragbarkeit: </w:t>
      </w:r>
      <w:r>
        <w:rPr>
          <w:sz w:val="19"/>
        </w:rPr>
        <w:t>China, andere Ausgangslage; Befunde zu Multimorbiditäts-Burden in alternder Bevölkerung relevant für globale Perspektive</w:t>
      </w:r>
    </w:p>
    <w:p>
      <w:r>
        <w:rPr>
          <w:color w:val="5A7D3A"/>
          <w:sz w:val="18"/>
        </w:rPr>
        <w:t>https://pubmed.ncbi.nlm.nih.gov/42826326/</w:t>
      </w:r>
    </w:p>
    <w:p>
      <w:pPr>
        <w:pStyle w:val="Heading2"/>
      </w:pPr>
      <w:r>
        <w:t>Kompetenzdefizite von Pflegefachpersonen bei Frailty-Management: Praxis schwächer als Wissen</w:t>
      </w:r>
    </w:p>
    <w:p>
      <w:r>
        <w:rPr>
          <w:i/>
          <w:color w:val="666666"/>
          <w:sz w:val="18"/>
        </w:rPr>
        <w:t>Lyu J et al.  ·  Front Public Health  ·  17.09.2026  ·  PMID 42824785</w:t>
      </w:r>
    </w:p>
    <w:p>
      <w:r>
        <w:t>Querschnittsbefragung von 610 Pflegefachpersonen an 41 Krankenhäusern in China zu Wissen, Einstellungen und praktischen Fertigkeiten (KAP) zur Frailty-Versorgung und deren Determinanten.</w:t>
      </w:r>
    </w:p>
    <w:p>
      <w:r>
        <w:rPr>
          <w:b/>
        </w:rPr>
        <w:t xml:space="preserve">Ergebnis: </w:t>
      </w:r>
      <w:r>
        <w:t>Mittleres KAP-Score 103,07±12,65 (81,16% des Maximums): Einstellung 88,53%, Wissen 81,38%, Praxis 74,40%. Recente Frailty-Schulung war unabhängig mit besserem Gesamt-KAP assoziiert (β=−6,820 für nicht trainiert versus innerhalb eines Monats trainiert, p=0,036). Geriatrische Fachzertifizierung war nur mit Wissen assoziiert, nicht mit Gesamtleistung oder Praxis.</w:t>
      </w:r>
    </w:p>
    <w:p>
      <w:r>
        <w:rPr>
          <w:b/>
          <w:sz w:val="19"/>
        </w:rPr>
        <w:t xml:space="preserve">Übertragbarkeit: </w:t>
      </w:r>
      <w:r>
        <w:rPr>
          <w:sz w:val="19"/>
        </w:rPr>
        <w:t>China, andere Gesundheitssystem-Struktur; Erkenntnis zur Schulungsrelevanz bei Fachpersonal übertragbar</w:t>
      </w:r>
    </w:p>
    <w:p>
      <w:r>
        <w:rPr>
          <w:color w:val="5A7D3A"/>
          <w:sz w:val="18"/>
        </w:rPr>
        <w:t>https://pubmed.ncbi.nlm.nih.gov/42824785/</w:t>
      </w:r>
    </w:p>
    <w:p>
      <w:pPr>
        <w:pStyle w:val="Heading2"/>
      </w:pPr>
      <w:r>
        <w:t>Geografische Disparitäten beim direkten Zugang zu akutgeriatrischer Versorgung</w:t>
      </w:r>
    </w:p>
    <w:p>
      <w:r>
        <w:rPr>
          <w:i/>
          <w:color w:val="666666"/>
          <w:sz w:val="18"/>
        </w:rPr>
        <w:t>Varg S et al.  ·  BMC Geriatr  ·  02.10.2026  ·  PMID 42823763</w:t>
      </w:r>
    </w:p>
    <w:p>
      <w:r>
        <w:t>Observationsstudie in Stockholm zu Variation der Rettungswagen-Einweisungen von über 65-Jährigen direkt in Geriatrische Stationen versus Notaufnahmen und zugrunde liegenden Unterschieden zwischen Versorgungsgebieten.</w:t>
      </w:r>
    </w:p>
    <w:p>
      <w:r>
        <w:rPr>
          <w:b/>
        </w:rPr>
        <w:t xml:space="preserve">Ergebnis: </w:t>
      </w:r>
      <w:r>
        <w:t>Von 8.208 Patienten wurden 603 (7%) direkt in eine Geriatrische Station aufgenommen; Quoten variierten zwischen 4% und 21% je Krankenhaus-Versorgungsgebiet. Nach Adjustierung für Angebotsfaktoren erklärten Nähe zur geriatrischen Einheit (26% Varianzreduktion), Trägerschaft (27%) und Bettenzahl (38%) einen Teil der Variation; erhebliche Residualvariation blieb bestehen (MOR=1,54), was auf unmessbare Faktoren hindeutet.</w:t>
      </w:r>
    </w:p>
    <w:p>
      <w:r>
        <w:rPr>
          <w:b/>
          <w:sz w:val="19"/>
        </w:rPr>
        <w:t xml:space="preserve">Übertragbarkeit: </w:t>
      </w:r>
      <w:r>
        <w:rPr>
          <w:sz w:val="19"/>
        </w:rPr>
        <w:t>Schwedische Klinikdaten, Notfallsystem mit weniger fragmentierter Versorgungslandschaft als Deutschland</w:t>
      </w:r>
    </w:p>
    <w:p>
      <w:r>
        <w:rPr>
          <w:color w:val="5A7D3A"/>
          <w:sz w:val="18"/>
        </w:rPr>
        <w:t>https://pubmed.ncbi.nlm.nih.gov/42823763/</w:t>
      </w:r>
    </w:p>
    <w:p>
      <w:pPr>
        <w:pStyle w:val="Heading2"/>
      </w:pPr>
      <w:r>
        <w:t>Frailty-Komponenten und Funktionsfähigkeit: Unterschiede zwischen baltischen und nordischen Ländern</w:t>
      </w:r>
    </w:p>
    <w:p>
      <w:r>
        <w:rPr>
          <w:i/>
          <w:color w:val="666666"/>
          <w:sz w:val="18"/>
        </w:rPr>
        <w:t>Bukova-Žideļūna A et al.  ·  BMC Geriatr  ·  28.07.2026  ·  PMID 42823669</w:t>
      </w:r>
    </w:p>
    <w:p>
      <w:r>
        <w:t>Längsschnittstudie über zwei Jahre zu Zusammenhängen zwischen Frailty-Status und neuen Einschränkungen bei Aktivitäten des täglichen Lebens (ADL/IADL) in über 65-Jährigen aus baltischen und nordischen Ländern mit SHARE-Daten.</w:t>
      </w:r>
    </w:p>
    <w:p>
      <w:r>
        <w:rPr>
          <w:b/>
        </w:rPr>
        <w:t xml:space="preserve">Ergebnis: </w:t>
      </w:r>
      <w:r>
        <w:t>Über zwei Jahre entwickelten 5,9% neue IADL-Einschränkungen in baltischen und 6,4% in nordischen Ländern; 4,6% bzw. 4,7% neue ADL-Einschränkungen. Pre-Frailty war in beiden Regionen mit neuen IADL-Einschränkungen assoziiert. Erschöpfung war die einzige Frailty-Komponente, die unabhängig in beiden Regionen mit neuen Limitationen verknüpft war. Frailty-Prevalenz war in baltischen Ländern deutlich höher.</w:t>
      </w:r>
    </w:p>
    <w:p>
      <w:r>
        <w:rPr>
          <w:b/>
          <w:sz w:val="19"/>
        </w:rPr>
        <w:t xml:space="preserve">Übertragbarkeit: </w:t>
      </w:r>
      <w:r>
        <w:rPr>
          <w:sz w:val="19"/>
        </w:rPr>
        <w:t>SHARE-Daten aus Europa, vergleichbare Gesundheitssysteme und Datenqualität</w:t>
      </w:r>
    </w:p>
    <w:p>
      <w:r>
        <w:rPr>
          <w:color w:val="5A7D3A"/>
          <w:sz w:val="18"/>
        </w:rPr>
        <w:t>https://pubmed.ncbi.nlm.nih.gov/42823669/</w:t>
      </w:r>
    </w:p>
    <w:p>
      <w:pPr>
        <w:pStyle w:val="Heading2"/>
      </w:pPr>
      <w:r>
        <w:t>Vorhersagefaktoren für erhaltene Robustheit im Alter: 8-Jahres-Kohortenstudie</w:t>
      </w:r>
    </w:p>
    <w:p>
      <w:r>
        <w:rPr>
          <w:i/>
          <w:color w:val="666666"/>
          <w:sz w:val="18"/>
        </w:rPr>
        <w:t>Iktilat K et al.  ·  BMC Geriatr  ·  19.08.2026  ·  PMID 42823660</w:t>
      </w:r>
    </w:p>
    <w:p>
      <w:r>
        <w:t>Multinationalle Langzeitanalyse über acht Jahre zu Baseline-Merkmalen, die das Verbleiben in einem robusten (nicht-frail) Zustand vorhersagen bei älteren Erwachsenen 65–84 Jahren aus 27 SHARE-Ländern.</w:t>
      </w:r>
    </w:p>
    <w:p>
      <w:r>
        <w:rPr>
          <w:b/>
        </w:rPr>
        <w:t xml:space="preserve">Ergebnis: </w:t>
      </w:r>
      <w:r>
        <w:t>Nach acht Jahren verblieben 52% der jüngeren Älteren (65–74 J.) und 26% der älteren Älteren (75–84 J.) robust. Konsistent beste Vorhersagefaktoren waren bessere subjektive Gesundheit (OR ≈0,72, p&lt;0,001), weniger chronische Erkrankungen (OR ≈0,89, p&lt;0,001) und finanzielle Sicherheit (OR ≈1,11, p=0,018). Soziale und kognitive Aktivitäten zeigten in manchen Modellen Assoziationen.</w:t>
      </w:r>
    </w:p>
    <w:p>
      <w:r>
        <w:rPr>
          <w:b/>
          <w:sz w:val="19"/>
        </w:rPr>
        <w:t xml:space="preserve">Übertragbarkeit: </w:t>
      </w:r>
      <w:r>
        <w:rPr>
          <w:sz w:val="19"/>
        </w:rPr>
        <w:t>SHARE-Daten aus Europa, vergleichbare Bevölkerungsstruktur und Sozialsysteme</w:t>
      </w:r>
    </w:p>
    <w:p>
      <w:r>
        <w:rPr>
          <w:color w:val="5A7D3A"/>
          <w:sz w:val="18"/>
        </w:rPr>
        <w:t>https://pubmed.ncbi.nlm.nih.gov/42823660/</w:t>
      </w:r>
    </w:p>
    <w:p>
      <w:pPr>
        <w:pStyle w:val="Heading2"/>
      </w:pPr>
      <w:r>
        <w:t>Frailty als Prädiktor für Krankenhausaufnahme jenseits des Triage-Scores</w:t>
      </w:r>
    </w:p>
    <w:p>
      <w:r>
        <w:rPr>
          <w:i/>
          <w:color w:val="666666"/>
          <w:sz w:val="18"/>
        </w:rPr>
        <w:t>Hata N et al.  ·  Acad Emerg Med  ·  Okt. 2026  ·  PMID 42811477</w:t>
      </w:r>
    </w:p>
    <w:p>
      <w:r>
        <w:t>Retrospektive Kohortenanalyse von Notaufnahme-Patienten ≥65 Jahren in Japan (n=3127 Besuche) zur Assoziation zwischen Clinical Frailty Scale und Hospitalisierung, stratifiziert nach Triage-Kategorien.</w:t>
      </w:r>
    </w:p>
    <w:p>
      <w:r>
        <w:rPr>
          <w:b/>
        </w:rPr>
        <w:t xml:space="preserve">Ergebnis: </w:t>
      </w:r>
      <w:r>
        <w:t>Von 3.127 ED-Besuchen führten 1.526 zur Aufnahme. Adjustierte Odds Ratios für Frailty (CFS≥5) waren 1,00 (95% CI 0,65–1,55) in JTAS 2, 1,54 (1,19–1,99) in JTAS 3 und 2,01 (1,13–3,58) in JTAS 4/5. Globale CFS-by-JTAS-Interaktion war nicht signifikant (p=0,091), deutet aber numerisch auf stärkere Frailty-Effekte bei niedrigerer Triage-Dringlichkeit hin.</w:t>
      </w:r>
    </w:p>
    <w:p>
      <w:r>
        <w:rPr>
          <w:b/>
          <w:sz w:val="19"/>
        </w:rPr>
        <w:t xml:space="preserve">Übertragbarkeit: </w:t>
      </w:r>
      <w:r>
        <w:rPr>
          <w:sz w:val="19"/>
        </w:rPr>
        <w:t>Japan, ähnliches Gesundheitssystem; Befund zu Frailty-Screening in der Notaufnahme strukturübergreifend relevant</w:t>
      </w:r>
    </w:p>
    <w:p>
      <w:r>
        <w:rPr>
          <w:color w:val="5A7D3A"/>
          <w:sz w:val="18"/>
        </w:rPr>
        <w:t>https://pubmed.ncbi.nlm.nih.gov/42811477/</w:t>
      </w:r>
    </w:p>
    <w:p>
      <w:pPr>
        <w:pStyle w:val="Heading1"/>
      </w:pPr>
      <w:r>
        <w:t>Aufgenommen am 02.10.2026</w:t>
      </w:r>
    </w:p>
    <w:p>
      <w:pPr>
        <w:pStyle w:val="Heading2"/>
      </w:pPr>
      <w:r>
        <w:t>Körperliche Aktivität senkt Risiko für intrinsische Kapazitätsverluste bei hospitalisierten Älteren</w:t>
      </w:r>
    </w:p>
    <w:p>
      <w:r>
        <w:rPr>
          <w:i/>
          <w:color w:val="666666"/>
          <w:sz w:val="18"/>
        </w:rPr>
        <w:t>Fan W et al.  ·  Australas J Ageing  ·  Dez. 2026  ·  PMID 42820336</w:t>
      </w:r>
    </w:p>
    <w:p>
      <w:r>
        <w:t>Querschnittsstudie mit 534 hospitalisierten älteren Patienten (China) zur Dosis-Wirkungs-Beziehung zwischen körperlicher Aktivität und Verfall der intrinsischen Kapazität.</w:t>
      </w:r>
    </w:p>
    <w:p>
      <w:r>
        <w:rPr>
          <w:b/>
        </w:rPr>
        <w:t xml:space="preserve">Ergebnis: </w:t>
      </w:r>
      <w:r>
        <w:t>Moderate körperliche Aktivität reduzierte Risiko für Kapazitätsverlust um 66% (OR=0,34, 95%-KI 0,23–0,50), hohe Aktivität um 74% (OR=0,26, KI 0,14–0,49). J-förmige nichtlineare Assoziation nachgewiesen. Subgruppenanalysen deuteten auf Geschlecht als potenziellen Moderator hin.</w:t>
      </w:r>
    </w:p>
    <w:p>
      <w:r>
        <w:rPr>
          <w:b/>
          <w:sz w:val="19"/>
        </w:rPr>
        <w:t xml:space="preserve">Übertragbarkeit: </w:t>
      </w:r>
      <w:r>
        <w:rPr>
          <w:sz w:val="19"/>
        </w:rPr>
        <w:t>China, Daten aus Akutkliniken; intrinsische Kapazität international anerkanntes Konzept</w:t>
      </w:r>
    </w:p>
    <w:p>
      <w:r>
        <w:rPr>
          <w:color w:val="5A7D3A"/>
          <w:sz w:val="18"/>
        </w:rPr>
        <w:t>https://pubmed.ncbi.nlm.nih.gov/42820336/</w:t>
      </w:r>
    </w:p>
    <w:p>
      <w:pPr>
        <w:pStyle w:val="Heading2"/>
      </w:pPr>
      <w:r>
        <w:t>Intrinsische Kapazität und Frailty Index prognostizieren Behinderung und Mortalität</w:t>
      </w:r>
    </w:p>
    <w:p>
      <w:r>
        <w:rPr>
          <w:i/>
          <w:color w:val="666666"/>
          <w:sz w:val="18"/>
        </w:rPr>
        <w:t>Feng B et al.  ·  Front Public Health  ·  16.09.2026  ·  PMID 42818694</w:t>
      </w:r>
    </w:p>
    <w:p>
      <w:r>
        <w:t>Prospektive Kohorte mit 7.168 Erwachsenen ≥60 Jahren (China) zur Vorhersagekraft von intrinsischer Kapazität und Frailty-Index für neue Behinderung und Gesamtsterblichkeit.</w:t>
      </w:r>
    </w:p>
    <w:p>
      <w:r>
        <w:rPr>
          <w:b/>
        </w:rPr>
        <w:t xml:space="preserve">Ergebnis: </w:t>
      </w:r>
      <w:r>
        <w:t>Höhere intrinsische Kapazität: niedrigere Behinderungsodds (OR=0,79 pro Punkt, 95%-KI 0,74–0,84) und reduziertes Mortalitätsrisiko (HR=0,84, KI 0,82–0,85). Höherer Frailty-Index: höhere Behinderungsodds (OR=1,93 pro 0,1-Punkte-Steigerung, KI 1,67–2,23). Kombiniert niedrige IC + hoher FI: größtes Behinderungsrisiko (OR=4,31, KI 2,65–7,04) und Mortalitätsrisiko (HR=2,66, KI 2,32–3,04).</w:t>
      </w:r>
    </w:p>
    <w:p>
      <w:r>
        <w:rPr>
          <w:b/>
          <w:sz w:val="19"/>
        </w:rPr>
        <w:t xml:space="preserve">Übertragbarkeit: </w:t>
      </w:r>
      <w:r>
        <w:rPr>
          <w:sz w:val="19"/>
        </w:rPr>
        <w:t>China; beide Konzepte international etabliert, IC und Frailty-Metriken WHO-anerkannt</w:t>
      </w:r>
    </w:p>
    <w:p>
      <w:r>
        <w:rPr>
          <w:color w:val="5A7D3A"/>
          <w:sz w:val="18"/>
        </w:rPr>
        <w:t>https://pubmed.ncbi.nlm.nih.gov/42818694/</w:t>
      </w:r>
    </w:p>
    <w:p>
      <w:pPr>
        <w:pStyle w:val="Heading2"/>
      </w:pPr>
      <w:r>
        <w:t>Gesundheitskompetenz fördert aktives und erfolgreiches Altern</w:t>
      </w:r>
    </w:p>
    <w:p>
      <w:r>
        <w:rPr>
          <w:i/>
          <w:color w:val="666666"/>
          <w:sz w:val="18"/>
        </w:rPr>
        <w:t>Akdeniz Ş et al.  ·  BMC Geriatr  ·  29.09.2026  ·  PMID 42816844</w:t>
      </w:r>
    </w:p>
    <w:p>
      <w:r>
        <w:t>Querschnittsstudie an 306 älteren Erwachsenen (Ø 67,8 Jahre) in der Türkei zu Zusammenhängen zwischen Gesundheitskompetenz, aktivem Altern und erfolgreichem Altern.</w:t>
      </w:r>
    </w:p>
    <w:p>
      <w:r>
        <w:rPr>
          <w:b/>
        </w:rPr>
        <w:t xml:space="preserve">Ergebnis: </w:t>
      </w:r>
      <w:r>
        <w:t>Höhere Gesundheitskompetenz war signifikant mit besserem aktivem Altern assoziiert (p&lt;0,01) und erklärte 56,4% der Varianz des Active-Ageing-Scores (R²=0,564). Regelmäßige mentale Aktivität und Gesundheitskompetenz waren unabhängige Prädiktoren; Bildung und regelmäßiges Training waren im Gesamtmodell nicht signifikant. Zentrale Erkenntnis: Gesundheitskompetenz ist Schlüsselfaktor für aktives Altern.</w:t>
      </w:r>
    </w:p>
    <w:p>
      <w:r>
        <w:rPr>
          <w:b/>
          <w:sz w:val="19"/>
        </w:rPr>
        <w:t xml:space="preserve">Übertragbarkeit: </w:t>
      </w:r>
      <w:r>
        <w:rPr>
          <w:sz w:val="19"/>
        </w:rPr>
        <w:t>Türkei mit vergleichbarer Sozialversicherung, Health-Literacy-Instrumente international validiert</w:t>
      </w:r>
    </w:p>
    <w:p>
      <w:r>
        <w:rPr>
          <w:color w:val="5A7D3A"/>
          <w:sz w:val="18"/>
        </w:rPr>
        <w:t>https://pubmed.ncbi.nlm.nih.gov/42816844/</w:t>
      </w:r>
    </w:p>
    <w:p>
      <w:pPr>
        <w:pStyle w:val="Heading2"/>
      </w:pPr>
      <w:r>
        <w:t>Metabolische Dysregulation vorhersagt Frailty-Entwicklung bei älteren Erwachsenen</w:t>
      </w:r>
    </w:p>
    <w:p>
      <w:r>
        <w:rPr>
          <w:i/>
          <w:color w:val="666666"/>
          <w:sz w:val="18"/>
        </w:rPr>
        <w:t>Wang H et al.  ·  Front Public Health  ·  14.09.2026  ·  PMID 42807462</w:t>
      </w:r>
    </w:p>
    <w:p>
      <w:r>
        <w:t>Prospektive Kohortenstudie (n=2.476, China, 2018–2021) zur zeitlichen Assoziation zwischen TyG-CVAI (Triglycerid-Glukose × viszerales Adipositas-Index) und Frailty-Index.</w:t>
      </w:r>
    </w:p>
    <w:p>
      <w:r>
        <w:rPr>
          <w:b/>
        </w:rPr>
        <w:t xml:space="preserve">Ergebnis: </w:t>
      </w:r>
      <w:r>
        <w:t>Baseline TyG-CVAI prägt Follow-up-Frailty signifikant (standardisiert β=0,165, p&lt;0,001), inverse Assoziation deutlich schwächer (β=0,035, p&lt;0,001). Nichtlineares Verhältnis mit Wendepunkt TyG-CVAI≈750. Subgruppen: stärkere Assoziation unter 60 Jahren, bei ethnischen Minderheiten, ohne Hypertonie/Diabetes. TyG-CVAI als Routine-Biomarker für Früh-Screening geeignet.</w:t>
      </w:r>
    </w:p>
    <w:p>
      <w:r>
        <w:rPr>
          <w:b/>
          <w:sz w:val="19"/>
        </w:rPr>
        <w:t xml:space="preserve">Übertragbarkeit: </w:t>
      </w:r>
      <w:r>
        <w:rPr>
          <w:sz w:val="19"/>
        </w:rPr>
        <w:t>China; TyG-Index und viszerales Adipositas-Index aus Routineparametern</w:t>
      </w:r>
    </w:p>
    <w:p>
      <w:r>
        <w:rPr>
          <w:color w:val="5A7D3A"/>
          <w:sz w:val="18"/>
        </w:rPr>
        <w:t>https://pubmed.ncbi.nlm.nih.gov/42807462/</w:t>
      </w:r>
    </w:p>
    <w:p>
      <w:pPr>
        <w:pStyle w:val="Heading2"/>
      </w:pPr>
      <w:r>
        <w:t>Pilocarpin-Tropfen bei Xerostomie in Palliativversorgung: randomisierte Studie</w:t>
      </w:r>
    </w:p>
    <w:p>
      <w:r>
        <w:rPr>
          <w:i/>
          <w:color w:val="666666"/>
          <w:sz w:val="18"/>
        </w:rPr>
        <w:t>van der Meulen A et al.  ·  J Am Med Dir Assoc  ·  25.08.2026  ·  PMID 42641502</w:t>
      </w:r>
    </w:p>
    <w:p>
      <w:r>
        <w:t>Randomisierte, doppelblinde Placebo-kontrollierte Studie (n=92, Niederlande) zu Wirksamkeit von topischem Pilocarpin gegen Mundtrockenheit bei Patienten mit lebensverkürzender Erkrankung und/oder Frailty.</w:t>
      </w:r>
    </w:p>
    <w:p>
      <w:r>
        <w:rPr>
          <w:b/>
        </w:rPr>
        <w:t xml:space="preserve">Ergebnis: </w:t>
      </w:r>
      <w:r>
        <w:t>Kein signifikanter Unterschied zwischen Pilocarpin und Placebo in Xerostomie-Schweregrad Woche 2 oder 4 (adjustiertes β=–0,37, KI –1,31 bis 0,58 Woche 4). Nur Pilocarpin zeigte kontinuierliche Reduktion Woche 2–4 (–0,86, KI –1,56 bis –0,15). Mundgesundheits-Lebensqualität verbesserte sich unter Pilocarpin Woche 2 (β=2,8, KI 0,91–4,65). Studie unterversorgt; Verträglichkeit gut.</w:t>
      </w:r>
    </w:p>
    <w:p>
      <w:r>
        <w:rPr>
          <w:b/>
          <w:sz w:val="19"/>
        </w:rPr>
        <w:t xml:space="preserve">Übertragbarkeit: </w:t>
      </w:r>
      <w:r>
        <w:rPr>
          <w:sz w:val="19"/>
        </w:rPr>
        <w:t>Niederlande, vergleichbares Versicherungssystem; Palliativversorgung älterer Patienten</w:t>
      </w:r>
    </w:p>
    <w:p>
      <w:r>
        <w:rPr>
          <w:color w:val="5A7D3A"/>
          <w:sz w:val="18"/>
        </w:rPr>
        <w:t>https://pubmed.ncbi.nlm.nih.gov/42641502/</w:t>
      </w:r>
    </w:p>
    <w:p>
      <w:pPr>
        <w:pStyle w:val="Heading1"/>
      </w:pPr>
      <w:r>
        <w:t>Aufgenommen am 01.10.2026</w:t>
      </w:r>
    </w:p>
    <w:p>
      <w:pPr>
        <w:pStyle w:val="Heading2"/>
      </w:pPr>
      <w:r>
        <w:t>Hochintensives Gehen baut Gebrechlichkeit bei älteren Menschen besser ab als lockeres Spaziergang</w:t>
      </w:r>
    </w:p>
    <w:p>
      <w:r>
        <w:rPr>
          <w:i/>
          <w:color w:val="666666"/>
          <w:sz w:val="18"/>
        </w:rPr>
        <w:t>Danilovich M et al.  ·  PLoS One  ·  30.09.2026  ·  PMID 42814673</w:t>
      </w:r>
    </w:p>
    <w:p>
      <w:r>
        <w:t>Randomisierte kontrollierte Studie an 165 gebrechlichen oder vorgebrechlichen älteren Menschen (Alter ≥60 Jahre), die entweder hochintensives Gehen (70% Herzfrequenzmaximum) oder lockeres Gehen (unter 60%) über 16 Wochen trainierten.</w:t>
      </w:r>
    </w:p>
    <w:p>
      <w:r>
        <w:rPr>
          <w:b/>
        </w:rPr>
        <w:t xml:space="preserve">Ergebnis: </w:t>
      </w:r>
      <w:r>
        <w:t>69,6% der hochintensiv trainierenden Teilnehmer (32/46) verbesserten ihre Gebrechlichkeit um mind. eine Kategorie gegenüber 46,4% der Kontrollgruppe (26/56) – Odds Ratio 2,91 (95% KI 1,19–7,13, p=0,02). Hochintensives Training erhöhte Gehgeschwindigkeit um 0,08 m/s (95% KI 0,03–0,13) und 6-Minuten-Gehstrecke um 49 m (95% KI 21–77 m).</w:t>
      </w:r>
    </w:p>
    <w:p>
      <w:r>
        <w:rPr>
          <w:b/>
          <w:sz w:val="19"/>
        </w:rPr>
        <w:t xml:space="preserve">Übertragbarkeit: </w:t>
      </w:r>
      <w:r>
        <w:rPr>
          <w:sz w:val="19"/>
        </w:rPr>
        <w:t>USA; Interventionsergebnis unabhängig von Gesundheitssystem übertragbar</w:t>
      </w:r>
    </w:p>
    <w:p>
      <w:r>
        <w:rPr>
          <w:color w:val="5A7D3A"/>
          <w:sz w:val="18"/>
        </w:rPr>
        <w:t>https://pubmed.ncbi.nlm.nih.gov/42814673/</w:t>
      </w:r>
    </w:p>
    <w:p>
      <w:pPr>
        <w:pStyle w:val="Heading2"/>
      </w:pPr>
      <w:r>
        <w:t>Chemokine CCL2 und CXCL2 als Marker für Delirium-Anfälligkeit bei älteren Menschen</w:t>
      </w:r>
    </w:p>
    <w:p>
      <w:r>
        <w:rPr>
          <w:i/>
          <w:color w:val="666666"/>
          <w:sz w:val="18"/>
        </w:rPr>
        <w:t>Moorey H et al.  ·  Age Ageing  ·  04.09.2026  ·  PMID 42814578</w:t>
      </w:r>
    </w:p>
    <w:p>
      <w:r>
        <w:t>Prospektive Kohortenstudie an 98 Bewohnern der Allgemeinbevölkerung (Median-Alter 88 Jahre, 90,8% gebrechlich) aus der CASCADE-Studie mit 2-Jahres-Verfolgung zur Deliriumprävention.</w:t>
      </w:r>
    </w:p>
    <w:p>
      <w:r>
        <w:rPr>
          <w:b/>
        </w:rPr>
        <w:t xml:space="preserve">Ergebnis: </w:t>
      </w:r>
      <w:r>
        <w:t>43,9% der Teilnehmer erlebten ≥1 Delirium-Episode. CCL2 und CXCL2 waren zu Baseline bei der Deliriumgruppe signifikant erhöht (CCL2: 13,38 vs. 10,83, p=0,004; CXCL2: 17,23 vs. 13,49, p=0,031). CCL2-Assoziation mit Deliriumrisiko blieb in beiden Demenzunttergruppen stabil; CXCL2 nur bei Teilnehmern ohne Demenz signifikant.</w:t>
      </w:r>
    </w:p>
    <w:p>
      <w:r>
        <w:rPr>
          <w:b/>
          <w:sz w:val="19"/>
        </w:rPr>
        <w:t xml:space="preserve">Übertragbarkeit: </w:t>
      </w:r>
      <w:r>
        <w:rPr>
          <w:sz w:val="19"/>
        </w:rPr>
        <w:t>UK (Birmingham), vergleichbares Gesundheitssystem und Altersstruktur</w:t>
      </w:r>
    </w:p>
    <w:p>
      <w:r>
        <w:rPr>
          <w:color w:val="5A7D3A"/>
          <w:sz w:val="18"/>
        </w:rPr>
        <w:t>https://pubmed.ncbi.nlm.nih.gov/42814578/</w:t>
      </w:r>
    </w:p>
    <w:p>
      <w:pPr>
        <w:pStyle w:val="Heading2"/>
      </w:pPr>
      <w:r>
        <w:t>Anticholinerge Blasenmittel erhöhen Demenzrisiko bei älteren Frauen stärker als Beta-3-Agonisten</w:t>
      </w:r>
    </w:p>
    <w:p>
      <w:r>
        <w:rPr>
          <w:i/>
          <w:color w:val="666666"/>
          <w:sz w:val="18"/>
        </w:rPr>
        <w:t>Ito K et al.  ·  Int J Urol  ·  Okt. 2026  ·  PMID 42814029</w:t>
      </w:r>
    </w:p>
    <w:p>
      <w:r>
        <w:t>Retrospektive Kohortenstudie mit 3794 älteren Frauen (65–84 Jahre) in Japan, die neu mit Anticholinergika oder Beta-3-Agonisten gegen überaktive Blase behandelt wurden, mit mindestens 1 Jahr kontinuierlicher Therapie und 5-Jahre-Verfolgung.</w:t>
      </w:r>
    </w:p>
    <w:p>
      <w:r>
        <w:rPr>
          <w:b/>
        </w:rPr>
        <w:t xml:space="preserve">Ergebnis: </w:t>
      </w:r>
      <w:r>
        <w:t>Kein signifikanter Unterschied in Verschlechterung der Pflegebedürftigkeit (HR 1,03, 95% KI 0,87–1,22). Anticholinergikagruppe zeigte erhöhtes Demenzrisiko (HR 1,49, 95% KI 1,04–2,13). Elektronischer Gebrechlichkeitsindex unterschied sich nicht (p&gt;0,05).</w:t>
      </w:r>
    </w:p>
    <w:p>
      <w:r>
        <w:rPr>
          <w:b/>
          <w:sz w:val="19"/>
        </w:rPr>
        <w:t xml:space="preserve">Übertragbarkeit: </w:t>
      </w:r>
      <w:r>
        <w:rPr>
          <w:sz w:val="19"/>
        </w:rPr>
        <w:t>Japan (Shizuoka-Kasse); vergleichbares Alter und Gesundheitssystem; Ergebnis zur Deprescribing übertragbar</w:t>
      </w:r>
    </w:p>
    <w:p>
      <w:r>
        <w:rPr>
          <w:color w:val="5A7D3A"/>
          <w:sz w:val="18"/>
        </w:rPr>
        <w:t>https://pubmed.ncbi.nlm.nih.gov/42814029/</w:t>
      </w:r>
    </w:p>
    <w:p>
      <w:pPr>
        <w:pStyle w:val="Heading2"/>
      </w:pPr>
      <w:r>
        <w:t>Trauer um Ehepartner verschärft kognitiven Verfall bei älteren Menschen in verschiedenen Ländern</w:t>
      </w:r>
    </w:p>
    <w:p>
      <w:r>
        <w:rPr>
          <w:i/>
          <w:color w:val="666666"/>
          <w:sz w:val="18"/>
        </w:rPr>
        <w:t>Guo C et al.  ·  Epidemiol Psychiatr Sci  ·  30.09.2026  ·  PMID 42813925</w:t>
      </w:r>
    </w:p>
    <w:p>
      <w:r>
        <w:t>Prospektive Metaanalyse aus sechs harmonisierten Alterskohortensurveys (USA, England, Mexiko, China, Indien, Südafrika; n=18.551, Alter 61–71 Jahre) mit neuropsychologischem Assessment zur Auswirkung von Verwitwung auf kognitive Domänen.</w:t>
      </w:r>
    </w:p>
    <w:p>
      <w:r>
        <w:rPr>
          <w:b/>
        </w:rPr>
        <w:t xml:space="preserve">Ergebnis: </w:t>
      </w:r>
      <w:r>
        <w:t>Witwenschaft assoziiert mit Gedächtnisverschlechterung (β=−0,07, 95% KI −0,12 bis −0,01) und exekutiver Dysfunktion (β=−0,08, 95% KI −0,13 bis −0,03) in Metaanalyse. Geschlechtsspezifische Effekte: Männer zeigten größere exekutive Defizite (β=−0,14), Frauen Gedächtnisverluste (β=−0,07). Schutzfaktoren: höhere Schulbildung, Internetnutzung, Body-Mass-Index.</w:t>
      </w:r>
    </w:p>
    <w:p>
      <w:r>
        <w:rPr>
          <w:b/>
          <w:sz w:val="19"/>
        </w:rPr>
        <w:t xml:space="preserve">Übertragbarkeit: </w:t>
      </w:r>
      <w:r>
        <w:rPr>
          <w:sz w:val="19"/>
        </w:rPr>
        <w:t>Multinational aber heterogen; Übertragbarkeit begrenzt durch unterschiedliche Rentensysteme und Unterstützungsstrukturen</w:t>
      </w:r>
    </w:p>
    <w:p>
      <w:r>
        <w:rPr>
          <w:color w:val="5A7D3A"/>
          <w:sz w:val="18"/>
        </w:rPr>
        <w:t>https://pubmed.ncbi.nlm.nih.gov/42813925/</w:t>
      </w:r>
    </w:p>
    <w:p>
      <w:pPr>
        <w:pStyle w:val="Heading2"/>
      </w:pPr>
      <w:r>
        <w:t>Multidisziplinäres Programm reduziert Gebrechlichkeit bei älteren Herzpatienten im Krankenhaus</w:t>
      </w:r>
    </w:p>
    <w:p>
      <w:r>
        <w:rPr>
          <w:i/>
          <w:color w:val="666666"/>
          <w:sz w:val="18"/>
        </w:rPr>
        <w:t>Chai K et al.  ·  Nat Commun  ·  31.08.2026  ·  PMID 42811040</w:t>
      </w:r>
    </w:p>
    <w:p>
      <w:r>
        <w:t>Randomisierte kontrollierte Studie an 333 gebrechlichen Krankenhauspatienten ≥70 Jahren mit kardiovaskulären Erkrankungen in China, die RENAP-Programm (Rehabilitation, Ernährung, Edukation, Akupunktur, Deprescribing) oder Standardbehandlung erhielten mit Verfolgung über 12 Monate.</w:t>
      </w:r>
    </w:p>
    <w:p>
      <w:r>
        <w:rPr>
          <w:b/>
        </w:rPr>
        <w:t xml:space="preserve">Ergebnis: </w:t>
      </w:r>
      <w:r>
        <w:t>RENAP verbesserte Fried-Gebrechlichkeits-Phänotyp stärker (mittlere Differenz −0,79, 95% KI −1,11 bis −0,46, p&lt;0,001) und Short Physical Performance Battery um 2,02 Punkte (95% KI 1,04–2,99, p&lt;0,001). Keine schwerwiegenden unerwünschten Ereignisse berichtet.</w:t>
      </w:r>
    </w:p>
    <w:p>
      <w:r>
        <w:rPr>
          <w:b/>
          <w:sz w:val="19"/>
        </w:rPr>
        <w:t xml:space="preserve">Übertragbarkeit: </w:t>
      </w:r>
      <w:r>
        <w:rPr>
          <w:sz w:val="19"/>
        </w:rPr>
        <w:t>China (Peking); unterschiedliche Versicherungsstruktur; Replikation in europäischen Gesundheitssystemen nötig</w:t>
      </w:r>
    </w:p>
    <w:p>
      <w:r>
        <w:rPr>
          <w:color w:val="5A7D3A"/>
          <w:sz w:val="18"/>
        </w:rPr>
        <w:t>https://pubmed.ncbi.nlm.nih.gov/42811040/</w:t>
      </w:r>
    </w:p>
    <w:p>
      <w:pPr>
        <w:pStyle w:val="Heading2"/>
      </w:pPr>
      <w:r>
        <w:t>Psychische Faktoren und Multimorbiditäten vorhersagen Gebrechlichkeit bei älteren Chilenen über 12 Monate</w:t>
      </w:r>
    </w:p>
    <w:p>
      <w:r>
        <w:rPr>
          <w:i/>
          <w:color w:val="666666"/>
          <w:sz w:val="18"/>
        </w:rPr>
        <w:t>Castillo-Carreño A et al.  ·  Rev Med Chil  ·  Juli 2026  ·  PMID 42809783</w:t>
      </w:r>
    </w:p>
    <w:p>
      <w:r>
        <w:t>Prospektive Kohortenstudie an 394 Personen 60–80 Jahre aus Santiago und Concepción (Chile) mit Baseline und 12-Monats-Follow-up zu Prädiktoren physischer Gebrechlichkeit (FRIED-Skala).</w:t>
      </w:r>
    </w:p>
    <w:p>
      <w:r>
        <w:rPr>
          <w:b/>
        </w:rPr>
        <w:t xml:space="preserve">Ergebnis: </w:t>
      </w:r>
      <w:r>
        <w:t>Baseline-Gebrechlichkeit 22,7%. Signifikante Prädiktoren für Gebrechlichkeitsentstehung: höheres Alter, niedrigere soziale Unterstützung (MSPSS), depressive/Angststörungssymptome, niedrigere kognitive Funktion, Hypertension, Gefäßerkrankung, BMI (p=0,040). Modell erklärte 28% der Varianz.</w:t>
      </w:r>
    </w:p>
    <w:p>
      <w:r>
        <w:rPr>
          <w:b/>
          <w:sz w:val="19"/>
        </w:rPr>
        <w:t xml:space="preserve">Übertragbarkeit: </w:t>
      </w:r>
      <w:r>
        <w:rPr>
          <w:sz w:val="19"/>
        </w:rPr>
        <w:t>Südamerika; Unterschiede in Altersstruktur und Sozialsystem; Konzepte zu psychosozialen Prädiktoren teilweise übertragbar</w:t>
      </w:r>
    </w:p>
    <w:p>
      <w:r>
        <w:rPr>
          <w:color w:val="5A7D3A"/>
          <w:sz w:val="18"/>
        </w:rPr>
        <w:t>https://pubmed.ncbi.nlm.nih.gov/42809783/</w:t>
      </w:r>
    </w:p>
    <w:p>
      <w:pPr>
        <w:pStyle w:val="Heading1"/>
      </w:pPr>
      <w:r>
        <w:t>Aufgenommen am 30.09.2026</w:t>
      </w:r>
    </w:p>
    <w:p>
      <w:pPr>
        <w:pStyle w:val="Heading2"/>
      </w:pPr>
      <w:r>
        <w:t>Adjuvante Chemotherapie bei Brustkrebs ab 70 Jahren verschlechtert Überleben nicht</w:t>
      </w:r>
    </w:p>
    <w:p>
      <w:r>
        <w:rPr>
          <w:i/>
          <w:color w:val="666666"/>
          <w:sz w:val="18"/>
        </w:rPr>
        <w:t>Sifer-Rivière L  ·  Rev Prat  ·  Sept. 2026  ·  PMID 42808620</w:t>
      </w:r>
    </w:p>
    <w:p>
      <w:r>
        <w:t>Fachkommentar zur ASTER-70s-Studie (Lancet 2025), die erstmals gezielt die Wirkung adjuvanter Chemotherapie bei Frauen ab 70 mit Brustkrebs untersucht hat – lange waren diese von Studien ausgeschlossen.</w:t>
      </w:r>
    </w:p>
    <w:p>
      <w:r>
        <w:rPr>
          <w:b/>
        </w:rPr>
        <w:t xml:space="preserve">Ergebnis: </w:t>
      </w:r>
      <w:r>
        <w:t>ASTER 70s zeigte: adjuvante Chemotherapie verbessert Gesamtüberleben nicht bei Frauen ab 70, exponiert aber zu erheblicher Toxizität und potenziellem Autonomieverlust. Dies ist ein entscheidendes Ergebnis: Es belegt, dass es möglich und notwendig ist, Evidenz für lange ausgeschlossene Populationen zu generieren und fordert Umdenken bei Gesundheitsgerechtigkeit in der Onkologie.</w:t>
      </w:r>
    </w:p>
    <w:p>
      <w:r>
        <w:rPr>
          <w:b/>
          <w:sz w:val="19"/>
        </w:rPr>
        <w:t xml:space="preserve">Übertragbarkeit: </w:t>
      </w:r>
      <w:r>
        <w:rPr>
          <w:sz w:val="19"/>
        </w:rPr>
        <w:t>Frankreich, französischsprachig; Evidenz vom UK-Standard, direkt relevant für europäische Praxis</w:t>
      </w:r>
    </w:p>
    <w:p>
      <w:r>
        <w:rPr>
          <w:color w:val="5A7D3A"/>
          <w:sz w:val="18"/>
        </w:rPr>
        <w:t>https://pubmed.ncbi.nlm.nih.gov/42808620/</w:t>
      </w:r>
    </w:p>
    <w:p>
      <w:pPr>
        <w:pStyle w:val="Heading2"/>
      </w:pPr>
      <w:r>
        <w:t>Frailty verstärkt postoperatives kognitives Delir nach Narkose</w:t>
      </w:r>
    </w:p>
    <w:p>
      <w:r>
        <w:rPr>
          <w:i/>
          <w:color w:val="666666"/>
          <w:sz w:val="18"/>
        </w:rPr>
        <w:t>Cho EH et al.  ·  Int J Med Sci  ·  03.09.2026  ·  PMID 42807735</w:t>
      </w:r>
    </w:p>
    <w:p>
      <w:r>
        <w:t>Experimentelle Studie an 18 Monate alten Ratten zum Einfluss von Frailty auf postoperatives kognitives Delir (POCD) nach allgemeiner Anästhesie.</w:t>
      </w:r>
    </w:p>
    <w:p>
      <w:r>
        <w:rPr>
          <w:b/>
        </w:rPr>
        <w:t xml:space="preserve">Ergebnis: </w:t>
      </w:r>
      <w:r>
        <w:t>20 Ratten randomisiert in Kontroll- und Frailty-Gruppe (Immobilisierung). Vor Narkose kein signifikanter Unterschied im Y-Maze-Test; zwei Tage nach Narkose signifikanter Unterschied (Kontrolle 65% ± 37% vs. Frailty 29% ± 28%, p = 0,01). Quadrizeps-Gewicht signifikant niedriger in Frailty-Gruppe (2,4 vs. 2,0 g, p = 0,0001). Frailty war mit POCD assoziiert; Frailty-Prävention könnte POCD-Risiko senken.</w:t>
      </w:r>
    </w:p>
    <w:p>
      <w:r>
        <w:rPr>
          <w:b/>
          <w:sz w:val="19"/>
        </w:rPr>
        <w:t xml:space="preserve">Übertragbarkeit: </w:t>
      </w:r>
      <w:r>
        <w:rPr>
          <w:sz w:val="19"/>
        </w:rPr>
        <w:t>Tiermodell mit Relevanz für älter werdende Perioperative; Befund zu kognitivem Risiko übertragbar</w:t>
      </w:r>
    </w:p>
    <w:p>
      <w:r>
        <w:rPr>
          <w:color w:val="5A7D3A"/>
          <w:sz w:val="18"/>
        </w:rPr>
        <w:t>https://pubmed.ncbi.nlm.nih.gov/42807735/</w:t>
      </w:r>
    </w:p>
    <w:p>
      <w:pPr>
        <w:pStyle w:val="Heading2"/>
      </w:pPr>
      <w:r>
        <w:t>Systemische Krisen in Versorgung zu Hause: Kipppunkte und progressive Instabilität</w:t>
      </w:r>
    </w:p>
    <w:p>
      <w:r>
        <w:rPr>
          <w:i/>
          <w:color w:val="666666"/>
          <w:sz w:val="18"/>
        </w:rPr>
        <w:t>Haselager DRE et al.  ·  Age Ageing  ·  04.09.2026  ·  PMID 42806138</w:t>
      </w:r>
    </w:p>
    <w:p>
      <w:r>
        <w:t>Qualitative Studie mit Interviews und Fokusgruppen zu Krisen bei zu Hause wohnenden älteren Menschen, die untersuchen, wie diese entstehen und welche systemischen Faktoren eine Rolle spielen.</w:t>
      </w:r>
    </w:p>
    <w:p>
      <w:r>
        <w:rPr>
          <w:b/>
        </w:rPr>
        <w:t xml:space="preserve">Ergebnis: </w:t>
      </w:r>
      <w:r>
        <w:t>Analyse von 45 Interviews mit älteren Menschen, Angehörigen und Fachleuten identifizierte zwei Hauptthemen: "Kipppunkte" (Momente, in denen Verbleiben zu Hause unhaltbar wird) und "progressive Instabilität in Versorgungssystemen". Krisen entstehen durch systemische Prozesse, nicht isolierte Ereignisse. Das Verständnis dieser Dynamiken ermöglicht es Fachleuten, frühe Instabilität zu erkennen und Prävention zu unterstützen.</w:t>
      </w:r>
    </w:p>
    <w:p>
      <w:r>
        <w:rPr>
          <w:b/>
          <w:sz w:val="19"/>
        </w:rPr>
        <w:t xml:space="preserve">Übertragbarkeit: </w:t>
      </w:r>
      <w:r>
        <w:rPr>
          <w:sz w:val="19"/>
        </w:rPr>
        <w:t>Niederlande, direkt auf deutsche ambulante Versorgungsrealität übertragbar</w:t>
      </w:r>
    </w:p>
    <w:p>
      <w:r>
        <w:rPr>
          <w:color w:val="5A7D3A"/>
          <w:sz w:val="18"/>
        </w:rPr>
        <w:t>https://pubmed.ncbi.nlm.nih.gov/42806138/</w:t>
      </w:r>
    </w:p>
    <w:p>
      <w:pPr>
        <w:pStyle w:val="Heading2"/>
      </w:pPr>
      <w:r>
        <w:t>Darmflora-Modulation verbessert kognitive Funktion im Alter</w:t>
      </w:r>
    </w:p>
    <w:p>
      <w:r>
        <w:rPr>
          <w:i/>
          <w:color w:val="666666"/>
          <w:sz w:val="18"/>
        </w:rPr>
        <w:t>Birns B et al.  ·  Age Ageing  ·  04.09.2026  ·  PMID 42806137</w:t>
      </w:r>
    </w:p>
    <w:p>
      <w:r>
        <w:t>Systematische Übersicht und Metaanalyse zu Prebiotika, Probiotika und Synbiotika und deren Wirkung auf Kognition bei älteren Erwachsenen ab 60 Jahren.</w:t>
      </w:r>
    </w:p>
    <w:p>
      <w:r>
        <w:rPr>
          <w:b/>
        </w:rPr>
        <w:t xml:space="preserve">Ergebnis: </w:t>
      </w:r>
      <w:r>
        <w:t>14 Studien (13 RCTs, 1 Interventionsstudie) eingeschlossen. Neun Studien berichteten statistisch signifikante Verbesserungen in mindestens einer kognitiven Domäne, besonders globale Kognition, Gedächtnis, Aufmerksamkeit und exekutive Funktionen. Metaanalyse zeigt signifikante Verbesserung globaler Kognition (MD = 1,28; 95% KI: 0,15–2,40; p &lt; 0,05). Interventionen sind meist bereits kommerziell verfügbar und risikoarm.</w:t>
      </w:r>
    </w:p>
    <w:p>
      <w:r>
        <w:rPr>
          <w:b/>
          <w:sz w:val="19"/>
        </w:rPr>
        <w:t xml:space="preserve">Übertragbarkeit: </w:t>
      </w:r>
      <w:r>
        <w:rPr>
          <w:sz w:val="19"/>
        </w:rPr>
        <w:t>Großbritannien, über diverse Länder publiziert; kognitive Tests standardisiert</w:t>
      </w:r>
    </w:p>
    <w:p>
      <w:r>
        <w:rPr>
          <w:color w:val="5A7D3A"/>
          <w:sz w:val="18"/>
        </w:rPr>
        <w:t>https://pubmed.ncbi.nlm.nih.gov/42806137/</w:t>
      </w:r>
    </w:p>
    <w:p>
      <w:pPr>
        <w:pStyle w:val="Heading2"/>
      </w:pPr>
      <w:r>
        <w:t>Vitamin-D-Supplementation reduziert nicht Frakturrisiko bei älteren Erwachsenen</w:t>
      </w:r>
    </w:p>
    <w:p>
      <w:r>
        <w:rPr>
          <w:i/>
          <w:color w:val="666666"/>
          <w:sz w:val="18"/>
        </w:rPr>
        <w:t>Rikkonen T et al.  ·  Bone  ·  07.09.2026  ·  PMID 42704968</w:t>
      </w:r>
    </w:p>
    <w:p>
      <w:r>
        <w:t>Finnische randomisierte kontrollierte Studie mit 2.495 Personen ab 60 Jahren (Männer) bzw. 65 Jahren (Frauen) über 5 Jahre zur Wirkung von Vitamin D₃ auf Frakturrisiko.</w:t>
      </w:r>
    </w:p>
    <w:p>
      <w:r>
        <w:rPr>
          <w:b/>
        </w:rPr>
        <w:t xml:space="preserve">Ergebnis: </w:t>
      </w:r>
      <w:r>
        <w:t>Während mittlerer 4,1-Jahr Supplementation: 49 Frakturen unter Placebo, 73 unter 1600 IE/Tag (HR = 1,52; 95% KI: 1,06–2,18), 52 unter 3200 IE/Tag (HR = 1,07; 95% KI: 0,72–1,58). In 7,3-Jahr Nachbeobachtung: 104 Placebo, 139 unter 1600 IE/Tag (HR = 1,40; 95% KI: 1,08–1,80), 111 unter 3200 IE/Tag (HR = 1,08; 95% KI: 0,83–1,41). Baseline 25(OH)-Vitamin D 74,8 ± 18,2 nmol/L, nach 12 Monaten 120,4 ± 21,8 nmol/L (3200 IE/Tag). Vitamin-D-Supplementation reduzierte Frakturen nicht bei largely vitamin-D-suffizienter Population.</w:t>
      </w:r>
    </w:p>
    <w:p>
      <w:r>
        <w:rPr>
          <w:b/>
          <w:sz w:val="19"/>
        </w:rPr>
        <w:t xml:space="preserve">Übertragbarkeit: </w:t>
      </w:r>
      <w:r>
        <w:rPr>
          <w:sz w:val="19"/>
        </w:rPr>
        <w:t>Finnland, skandinavischer Kontext; vergleichbare Nordische Sozialversicherung</w:t>
      </w:r>
    </w:p>
    <w:p>
      <w:r>
        <w:rPr>
          <w:color w:val="5A7D3A"/>
          <w:sz w:val="18"/>
        </w:rPr>
        <w:t>https://pubmed.ncbi.nlm.nih.gov/42704968/</w:t>
      </w:r>
    </w:p>
    <w:p>
      <w:pPr>
        <w:pStyle w:val="Heading2"/>
      </w:pPr>
      <w:r>
        <w:t>Frailty erhöht Risiko für diagnostische Diskordanz in der Notaufnahme</w:t>
      </w:r>
    </w:p>
    <w:p>
      <w:r>
        <w:rPr>
          <w:i/>
          <w:color w:val="666666"/>
          <w:sz w:val="18"/>
        </w:rPr>
        <w:t>van Knippenberg YMW et al.  ·  Int J Infect Dis  ·  23.07.2026  ·  PMID 42492833</w:t>
      </w:r>
    </w:p>
    <w:p>
      <w:r>
        <w:t>Retrospektive Analyse von Notaufnahmepatienten mit Verdacht auf Infektion, um die unabhängige Assoziation zwischen Frailty und Abweichungen zwischen Verdachtsdiagnose und adjudizierter Entlassungsdiagnose zu untersuchen.</w:t>
      </w:r>
    </w:p>
    <w:p>
      <w:r>
        <w:rPr>
          <w:b/>
        </w:rPr>
        <w:t xml:space="preserve">Ergebnis: </w:t>
      </w:r>
      <w:r>
        <w:t>Frailty war unabhängig mit diagnostischer Diskordanz assoziiert (aOR 1,622; 95% KI: 1,094–2,405; p = 0,016). Höherer altersbereinigter Charlson-Komorbiditätsindex ebenfalls signifikant (aOR 1,105; 95% KI: 1,013–1,204; p = 0,024). Erkennung von Frailty kann Patienten mit erhöhtem Diskordanzrisiko identifizieren und sorgfältige diagnostische Neubewertung unterstützen.</w:t>
      </w:r>
    </w:p>
    <w:p>
      <w:r>
        <w:rPr>
          <w:b/>
          <w:sz w:val="19"/>
        </w:rPr>
        <w:t xml:space="preserve">Übertragbarkeit: </w:t>
      </w:r>
      <w:r>
        <w:rPr>
          <w:sz w:val="19"/>
        </w:rPr>
        <w:t>Niederlande, Radboud UMC, direkt auf deutsches Versorgungssystem übertragbar</w:t>
      </w:r>
    </w:p>
    <w:p>
      <w:r>
        <w:rPr>
          <w:color w:val="5A7D3A"/>
          <w:sz w:val="18"/>
        </w:rPr>
        <w:t>https://pubmed.ncbi.nlm.nih.gov/42492833/</w:t>
      </w:r>
    </w:p>
    <w:p>
      <w:pPr>
        <w:pStyle w:val="Heading1"/>
      </w:pPr>
      <w:r>
        <w:t>Aufgenommen am 29.09.2026</w:t>
      </w:r>
    </w:p>
    <w:p>
      <w:pPr>
        <w:pStyle w:val="Heading2"/>
      </w:pPr>
      <w:r>
        <w:t>Funktionsfähigkeit und Frailty-Screening bei älteren Patienten mit Lungenkrebs: Prädiktion von Pflegeabhängigkeit</w:t>
      </w:r>
    </w:p>
    <w:p>
      <w:r>
        <w:rPr>
          <w:i/>
          <w:color w:val="666666"/>
          <w:sz w:val="18"/>
        </w:rPr>
        <w:t>Bulut H et al.  ·  Cancer Causes Control  ·  28.09.2026  ·  PMID 42802193</w:t>
      </w:r>
    </w:p>
    <w:p>
      <w:r>
        <w:t>Querschnittsstudie an 410 älteren Patienten mit Lungenkrebs (Durchschnittsalter 70,8 Jahre) zur Vorhersage von Pflegeabhängigkeit durch Alltagsfunktionsfähigkeit (ADL) und Frailty.</w:t>
      </w:r>
    </w:p>
    <w:p>
      <w:r>
        <w:rPr>
          <w:b/>
        </w:rPr>
        <w:t xml:space="preserve">Ergebnis: </w:t>
      </w:r>
      <w:r>
        <w:t>Funktionsfähigkeit und Frailty erklärten 81,5% der Varianz in Pflegeabhängigkeit (adjustiertes R² = 0,815; p &lt; 0,001). Höhere ADL-Werte waren mit höherer Pflegeabhängigkeit assoziiert (B = 2,344, β = 0,309, p &lt; 0,001), höhere Frailty-Werte mit niedrigerer Pflegeabhängigkeit (B = −2,391, β = −0,652, p &lt; 0,001). Frailty-Screening und funktionales Assessment können hochrisiko-Patienten früh identifizieren.</w:t>
      </w:r>
    </w:p>
    <w:p>
      <w:r>
        <w:rPr>
          <w:b/>
          <w:sz w:val="19"/>
        </w:rPr>
        <w:t xml:space="preserve">Übertragbarkeit: </w:t>
      </w:r>
      <w:r>
        <w:rPr>
          <w:sz w:val="19"/>
        </w:rPr>
        <w:t>Türkei, ähnliche geriatrische Versorgungsherausforderungen wie Deutschland</w:t>
      </w:r>
    </w:p>
    <w:p>
      <w:r>
        <w:rPr>
          <w:color w:val="5A7D3A"/>
          <w:sz w:val="18"/>
        </w:rPr>
        <w:t>https://pubmed.ncbi.nlm.nih.gov/42802193/</w:t>
      </w:r>
    </w:p>
    <w:p>
      <w:pPr>
        <w:pStyle w:val="Heading2"/>
      </w:pPr>
      <w:r>
        <w:t>Urinkontinenz bei älteren Frauen: Unterbehandlung sinkt bei Symptom-Fokus, nicht mit steigendem Alter</w:t>
      </w:r>
    </w:p>
    <w:p>
      <w:r>
        <w:rPr>
          <w:i/>
          <w:color w:val="666666"/>
          <w:sz w:val="18"/>
        </w:rPr>
        <w:t>Uğur DN et al.  ·  Medicina (Kaunas)  ·  16.09.2026  ·  PMID 42796384</w:t>
      </w:r>
    </w:p>
    <w:p>
      <w:r>
        <w:t>Beobachtungsstudie an 480 Frauen (≥ 65 Jahre) in drei Altersgruppen zur Behandlungslücke bei Stress- und gemischter Harninkontinenz und zur Rolle von Frailty und Symptom-Schweregrad.</w:t>
      </w:r>
    </w:p>
    <w:p>
      <w:r>
        <w:rPr>
          <w:b/>
        </w:rPr>
        <w:t xml:space="preserve">Ergebnis: </w:t>
      </w:r>
      <w:r>
        <w:t>Behandlungslücken-Prävalenz stieg von 33,8% (65–74 Jahre) auf 44,4% (75–84 Jahre) und 55,0% (≥85 Jahre). Nach Adjustierung war Alter nicht unabhängig assoziiert. Höhere ICIQ-UI-SF-Werte (adjustiertes Odds Ratio 1,10 pro Punkt; 95%CI 1,02–1,19) und Stress-Mischinkontinenz (aOR 1,53; 95%CI 1,03–2,25) blieben assoziiert. Symptom-Schweregrad erklärt Unterbehandlung besser als Chronologie.</w:t>
      </w:r>
    </w:p>
    <w:p>
      <w:r>
        <w:rPr>
          <w:b/>
          <w:sz w:val="19"/>
        </w:rPr>
        <w:t xml:space="preserve">Übertragbarkeit: </w:t>
      </w:r>
      <w:r>
        <w:rPr>
          <w:sz w:val="19"/>
        </w:rPr>
        <w:t>Türkei, gyn. Versorgungsstrukturen vergleichbar mit Mitteleuropa</w:t>
      </w:r>
    </w:p>
    <w:p>
      <w:r>
        <w:rPr>
          <w:color w:val="5A7D3A"/>
          <w:sz w:val="18"/>
        </w:rPr>
        <w:t>https://pubmed.ncbi.nlm.nih.gov/42796384/</w:t>
      </w:r>
    </w:p>
    <w:p>
      <w:pPr>
        <w:pStyle w:val="Heading2"/>
      </w:pPr>
      <w:r>
        <w:t>Skelettmuskelreaktion auf kombiniertes Training bei älteren Erwachsenen: RNA-Sequenzierung und Polyphenole</w:t>
      </w:r>
    </w:p>
    <w:p>
      <w:r>
        <w:rPr>
          <w:i/>
          <w:color w:val="666666"/>
          <w:sz w:val="18"/>
        </w:rPr>
        <w:t>Guadalupe-Grau A et al.  ·  J Cachexia Sarcopenia Muscle  ·  Okt. 2026  ·  PMID 42788414</w:t>
      </w:r>
    </w:p>
    <w:p>
      <w:r>
        <w:t>Randomisierte Doppelblindstudie mit 38 älteren Erwachsenen (55–70 Jahre) zur Wirkung von 12 Wochen kombiniertem Widerstands- und High-Intensity-Intervalltraining auf die Skelettmuskel-Transkriptomik mit oder ohne Polyphenol-Supplementation.</w:t>
      </w:r>
    </w:p>
    <w:p>
      <w:r>
        <w:rPr>
          <w:b/>
        </w:rPr>
        <w:t xml:space="preserve">Ergebnis: </w:t>
      </w:r>
      <w:r>
        <w:t>RT + HIIT induzierte überwiegend gering-ausgeprägte transkriptomische Veränderungen. Sieben von 60 FDR-signifikanten Transkripten überschritten die Effektgrößen-Schwelle (|log2FC| &gt; 1), einschließlich Hochregulation von CLLU1 (log2FC = 3,10; FDR = 0,0155) und PRND (log2FC = 2,60; FDR = 0,02). Polyphenol-Supplementation beeinlusste die transkriptomische Reaktion nicht bedeutsam. Robuste Pathway-Adaptationen waren nicht erkennbar.</w:t>
      </w:r>
    </w:p>
    <w:p>
      <w:r>
        <w:rPr>
          <w:b/>
          <w:sz w:val="19"/>
        </w:rPr>
        <w:t xml:space="preserve">Übertragbarkeit: </w:t>
      </w:r>
      <w:r>
        <w:rPr>
          <w:sz w:val="19"/>
        </w:rPr>
        <w:t>Europäische Kohorten, methodisch vergleichbar mit deutschen Fitness-Studien</w:t>
      </w:r>
    </w:p>
    <w:p>
      <w:r>
        <w:rPr>
          <w:color w:val="5A7D3A"/>
          <w:sz w:val="18"/>
        </w:rPr>
        <w:t>https://pubmed.ncbi.nlm.nih.gov/42788414/</w:t>
      </w:r>
    </w:p>
    <w:p>
      <w:pPr>
        <w:pStyle w:val="Heading2"/>
      </w:pPr>
      <w:r>
        <w:t>Altersgerechte smartphone-gestützte kognitive Fernbeurteilung: generationsspezifische Unterschiede in Adhärenz und Zuverlässigkeit</w:t>
      </w:r>
    </w:p>
    <w:p>
      <w:r>
        <w:rPr>
          <w:i/>
          <w:color w:val="666666"/>
          <w:sz w:val="18"/>
        </w:rPr>
        <w:t>Katteri S et al.  ·  Alzheimers Dement  ·  Sept. 2026  ·  PMID 42781715</w:t>
      </w:r>
    </w:p>
    <w:p>
      <w:r>
        <w:t>Vergleichende Studie bei 444 älteren Erwachsenen und 113 jüngeren/mittelalten Probanden zur Machbarkeit smartphone-basierter kognitiver Tests bis zu viermal täglich über 7 Tage und zum Vergleich mit standardisierter Klinik-Batterie.</w:t>
      </w:r>
    </w:p>
    <w:p>
      <w:r>
        <w:rPr>
          <w:b/>
        </w:rPr>
        <w:t xml:space="preserve">Ergebnis: </w:t>
      </w:r>
      <w:r>
        <w:t>Ältere Erwachsene zeigten höhere Adhärenz als jüngere (78 % vs. 59 %). Jüngere erreichten höhere Zuverlässigkeit mit weniger Sitzungen und zeigten viel kleinere Lerneffekte. Smartphone-zu-Klinik-Korrelationen waren in beiden Altersgruppen stark. Generationelle Unterschiede beeinflussen Design und Umsetzung smartphone-gestützter Studien wesentlich.</w:t>
      </w:r>
    </w:p>
    <w:p>
      <w:r>
        <w:rPr>
          <w:b/>
          <w:sz w:val="19"/>
        </w:rPr>
        <w:t xml:space="preserve">Übertragbarkeit: </w:t>
      </w:r>
      <w:r>
        <w:rPr>
          <w:sz w:val="19"/>
        </w:rPr>
        <w:t>USA, aber Methodologie zur Remote-Kognition altersunabhängig übertragbar</w:t>
      </w:r>
    </w:p>
    <w:p>
      <w:r>
        <w:rPr>
          <w:color w:val="5A7D3A"/>
          <w:sz w:val="18"/>
        </w:rPr>
        <w:t>https://pubmed.ncbi.nlm.nih.gov/42781715/</w:t>
      </w:r>
    </w:p>
    <w:p>
      <w:pPr>
        <w:pStyle w:val="Heading2"/>
      </w:pPr>
      <w:r>
        <w:t>Proteinbasierte Inflammaging-Signaturen zur Mortalitätsvorhersage: C-Index 0,758 für alle Ursachen</w:t>
      </w:r>
    </w:p>
    <w:p>
      <w:r>
        <w:rPr>
          <w:i/>
          <w:color w:val="666666"/>
          <w:sz w:val="18"/>
        </w:rPr>
        <w:t>Jiang Z et al.  ·  Exp Gerontol  ·  15.10.2026  ·  PMID 42731645</w:t>
      </w:r>
    </w:p>
    <w:p>
      <w:r>
        <w:t>Große UK-Biobank-Studie (n = 40.471) zur Entwicklung eines proteingestützten Inflammaging-Scores aus 1.112 Proteinen, assoziiert mit Mortalität und Multimorbidität.</w:t>
      </w:r>
    </w:p>
    <w:p>
      <w:r>
        <w:rPr>
          <w:b/>
        </w:rPr>
        <w:t xml:space="preserve">Ergebnis: </w:t>
      </w:r>
      <w:r>
        <w:t>Proteinbasierter Inflammaging-Score war positiv mit allen-Ursachen-Sterblichkeit assoziiert (HR = 1,88; 95%CI: 1,79–1,98). Vereinfachte Version (93 Proteine) erreichte gleichwertig HR = 1,88 (95%CI: 1,79–1,97). C-Index für Sterblichkeit mit klinischen Indizes plus vereinfachtem Score: 0,758 (95%CI: 0,752–0,765). ProteinBasierter Score outperformte konventionelle Inflammations- und Alternsbiomarker signifikant.</w:t>
      </w:r>
    </w:p>
    <w:p>
      <w:r>
        <w:rPr>
          <w:b/>
          <w:sz w:val="19"/>
        </w:rPr>
        <w:t xml:space="preserve">Übertragbarkeit: </w:t>
      </w:r>
      <w:r>
        <w:rPr>
          <w:sz w:val="19"/>
        </w:rPr>
        <w:t>UK Biobank, aber Proteinmarker-Verband mit Mortalität biologisch universell</w:t>
      </w:r>
    </w:p>
    <w:p>
      <w:r>
        <w:rPr>
          <w:color w:val="5A7D3A"/>
          <w:sz w:val="18"/>
        </w:rPr>
        <w:t>https://pubmed.ncbi.nlm.nih.gov/42731645/</w:t>
      </w:r>
    </w:p>
    <w:p>
      <w:pPr>
        <w:pStyle w:val="Heading2"/>
      </w:pPr>
      <w:r>
        <w:t>Kognitive Effizienz und Lebenszufriedenheit bei älteren Sarden: digitales Screening und Freizeit-Aktivitäten</w:t>
      </w:r>
    </w:p>
    <w:p>
      <w:r>
        <w:rPr>
          <w:i/>
          <w:color w:val="666666"/>
          <w:sz w:val="18"/>
        </w:rPr>
        <w:t>Fastame MC et al.  ·  Exp Gerontol  ·  15.10.2026  ·  PMID 42685868</w:t>
      </w:r>
    </w:p>
    <w:p>
      <w:r>
        <w:t>Querschnittsstudie an 127 älteren Erwachsenen (Durchschnittsalter 73,1 Jahre) auf Sardinien zu Korrelaten der Lebenszufriedenheit mittels digital-gestützter kognitiver Screening (DIGICOG-MS).</w:t>
      </w:r>
    </w:p>
    <w:p>
      <w:r>
        <w:rPr>
          <w:b/>
        </w:rPr>
        <w:t xml:space="preserve">Ergebnis: </w:t>
      </w:r>
      <w:r>
        <w:t>Nach Kontrolle für Alter, Bildung und globale kognitive Effizienz waren wahrgenommene Gesundheit, Freizeitzeit, verbale semantische Flüssigkeit, auditives verbales Lernen und unmittelbare Erinnerung signifikant mit Lebenszufriedenheit assoziiert (adjustiertes R² = 0,198, F(8,117) = 4,860, p &lt; 0,001). DIGICOG-MS-Benutzerfreundlichkeit war höher bei niedrigerer Bildung; Tool erwies sich als intuitiv und abbaut Bildungsgrenzen ab.</w:t>
      </w:r>
    </w:p>
    <w:p>
      <w:r>
        <w:rPr>
          <w:b/>
          <w:sz w:val="19"/>
        </w:rPr>
        <w:t xml:space="preserve">Übertragbarkeit: </w:t>
      </w:r>
      <w:r>
        <w:rPr>
          <w:sz w:val="19"/>
        </w:rPr>
        <w:t>Italien, Mittelmeerraum – ähnliche Bevölkerungsstruktur wie südliches Europa</w:t>
      </w:r>
    </w:p>
    <w:p>
      <w:r>
        <w:rPr>
          <w:color w:val="5A7D3A"/>
          <w:sz w:val="18"/>
        </w:rPr>
        <w:t>https://pubmed.ncbi.nlm.nih.gov/42685868/</w:t>
      </w:r>
    </w:p>
    <w:p>
      <w:pPr>
        <w:pStyle w:val="Heading1"/>
      </w:pPr>
      <w:r>
        <w:t>Aufgenommen am 28.09.2026</w:t>
      </w:r>
    </w:p>
    <w:p>
      <w:pPr>
        <w:pStyle w:val="Heading2"/>
      </w:pPr>
      <w:r>
        <w:t>Alzheimer-Therapien im geriatrischen Alter: Implementierungsherausforderungen und Chancen</w:t>
      </w:r>
    </w:p>
    <w:p>
      <w:r>
        <w:rPr>
          <w:i/>
          <w:color w:val="666666"/>
          <w:sz w:val="18"/>
        </w:rPr>
        <w:t>Zrineh A et al.  ·  Clin Interv Aging  ·  22.09.2026  ·  PMID 42801246</w:t>
      </w:r>
    </w:p>
    <w:p>
      <w:r>
        <w:t>Narratives Review der Alzheimer-Pathophysiologie, diagnostischer Biomarker und Therapien (Cholinesterase-Inhibitoren, Lecanemab, Donanemab) mit Fokus auf geriatrische Versorgung und Integration in Kliniken.</w:t>
      </w:r>
    </w:p>
    <w:p>
      <w:r>
        <w:rPr>
          <w:b/>
        </w:rPr>
        <w:t xml:space="preserve">Ergebnis: </w:t>
      </w:r>
      <w:r>
        <w:t>Neue monoklonale Anti-Amyloid-Antikörper zeigen klinisch signifikante, aber moderate Verzögerung des Rückgangs. Risiken: Amyloid-related imaging abnormalities, hohe Kosten, ungelöste Fragen zur langfristigen Aussagekraft. Integrierung in geriatrische Praxis erfordert Biomarker-gesteuertes Screening, Sicherheitsüberwachung, Polypharmazie-Management.</w:t>
      </w:r>
    </w:p>
    <w:p>
      <w:r>
        <w:rPr>
          <w:b/>
          <w:sz w:val="19"/>
        </w:rPr>
        <w:t xml:space="preserve">Übertragbarkeit: </w:t>
      </w:r>
      <w:r>
        <w:rPr>
          <w:sz w:val="19"/>
        </w:rPr>
        <w:t>USA und international; praktische Empfehlungen für Versorgung gelten über Länder hinweg, aber Zugänglichkeit und Finanzierung unterscheiden sich</w:t>
      </w:r>
    </w:p>
    <w:p>
      <w:r>
        <w:rPr>
          <w:color w:val="5A7D3A"/>
          <w:sz w:val="18"/>
        </w:rPr>
        <w:t>https://pubmed.ncbi.nlm.nih.gov/42801246/</w:t>
      </w:r>
    </w:p>
    <w:p>
      <w:pPr>
        <w:pStyle w:val="Heading2"/>
      </w:pPr>
      <w:r>
        <w:t>Mittelmeerdiät bei älteren Menschen mit HIV: Körperzusammensetzung und klinisches Profil</w:t>
      </w:r>
    </w:p>
    <w:p>
      <w:r>
        <w:rPr>
          <w:i/>
          <w:color w:val="666666"/>
          <w:sz w:val="18"/>
        </w:rPr>
        <w:t>Mazzitelli M et al.  ·  Viruses  ·  25.08.2026  ·  PMID 42797764</w:t>
      </w:r>
    </w:p>
    <w:p>
      <w:r>
        <w:t>Querschnittsstudie an 130 italienischen erwachsenen Menschen mit HIV im Median 57 Jahren: Mediterrane Diät-Adhärenz anhand MedDiet Score gemessen, Körperzusammensetzung mittels DXA analysiert.</w:t>
      </w:r>
    </w:p>
    <w:p>
      <w:r>
        <w:rPr>
          <w:b/>
        </w:rPr>
        <w:t xml:space="preserve">Ergebnis: </w:t>
      </w:r>
      <w:r>
        <w:t>80,8% zeigten hohe Adhärenz. Hohe Adhärenz assoziiert mit niedrigerem BMI (β −5,3, 95%-KI −7,3 bis −3,4, p&lt;0,001), niedrigerer totaler und Rumpf-Fettmasse und höherer Knochenmineraldichte der LWS. Günstigeres klinisches Profil mit höherer CD4-Zahl.</w:t>
      </w:r>
    </w:p>
    <w:p>
      <w:r>
        <w:rPr>
          <w:b/>
          <w:sz w:val="19"/>
        </w:rPr>
        <w:t xml:space="preserve">Übertragbarkeit: </w:t>
      </w:r>
      <w:r>
        <w:rPr>
          <w:sz w:val="19"/>
        </w:rPr>
        <w:t>Italien, spezialisierte HIV-Kliniken; Übertragbarkeit auf deutsche Versorgung begrenzt durch HIV-Fokus</w:t>
      </w:r>
    </w:p>
    <w:p>
      <w:r>
        <w:rPr>
          <w:color w:val="5A7D3A"/>
          <w:sz w:val="18"/>
        </w:rPr>
        <w:t>https://pubmed.ncbi.nlm.nih.gov/42797764/</w:t>
      </w:r>
    </w:p>
    <w:p>
      <w:pPr>
        <w:pStyle w:val="Heading2"/>
      </w:pPr>
      <w:r>
        <w:t>Ernährung im höchsten Alter: Milchprodukte und Hühnchen assoziiert mit längerer Überlebensdauer</w:t>
      </w:r>
    </w:p>
    <w:p>
      <w:r>
        <w:rPr>
          <w:i/>
          <w:color w:val="666666"/>
          <w:sz w:val="18"/>
        </w:rPr>
        <w:t>Errigo A et al.  ·  Nutrients  ·  20.09.2026  ·  PMID 42797055</w:t>
      </w:r>
    </w:p>
    <w:p>
      <w:r>
        <w:t>Prospektive Kohorte von 200 sardischen Bewohnern über 90 Jahren: Ernährungsmuster wurden erhoben, Überleben über bis zu 7 Jahre verfolgt.</w:t>
      </w:r>
    </w:p>
    <w:p>
      <w:r>
        <w:rPr>
          <w:b/>
        </w:rPr>
        <w:t xml:space="preserve">Ergebnis: </w:t>
      </w:r>
      <w:r>
        <w:t>Höherer Konsum von Milch, Käse und Hühnchen war mit niedrigerer Sterblichkeit assoziiert (HR 0,839 pro SD-Anstieg des Dairy-Traditional-Fat-Musters, 95%-KI 0,727–0,969, p=0,017); Wein-Konsum positiv mit Mortalität assoziiert. Assoziationen bei Einzellebensmitteln blieben nach Korrektion für multiples Testen signifikant.</w:t>
      </w:r>
    </w:p>
    <w:p>
      <w:r>
        <w:rPr>
          <w:b/>
          <w:sz w:val="19"/>
        </w:rPr>
        <w:t xml:space="preserve">Übertragbarkeit: </w:t>
      </w:r>
      <w:r>
        <w:rPr>
          <w:sz w:val="19"/>
        </w:rPr>
        <w:t>Italien, Blue Zone; begrenzte direkte Übertragbarkeit auf Deutsche, aber Ernährungsmuster in extremem Alter untersucht</w:t>
      </w:r>
    </w:p>
    <w:p>
      <w:r>
        <w:rPr>
          <w:color w:val="5A7D3A"/>
          <w:sz w:val="18"/>
        </w:rPr>
        <w:t>https://pubmed.ncbi.nlm.nih.gov/42797055/</w:t>
      </w:r>
    </w:p>
    <w:p>
      <w:pPr>
        <w:pStyle w:val="Heading2"/>
      </w:pPr>
      <w:r>
        <w:t>Ernährungsqualität und Blutmarker des Alterns: Proteomarker-Studie an älteren Schweden</w:t>
      </w:r>
    </w:p>
    <w:p>
      <w:r>
        <w:rPr>
          <w:i/>
          <w:color w:val="666666"/>
          <w:sz w:val="18"/>
        </w:rPr>
        <w:t>DaCosta RA et al.  ·  BMC Med  ·  15.09.2026  ·  PMID 42791570</w:t>
      </w:r>
    </w:p>
    <w:p>
      <w:r>
        <w:t>Bevölkerungsbasierte Querschnittsanalyse von 1.769 schwedischen Personen ≥60 Jahren: Ernährungsqualität mittels AMED, AHEI und rEDII gemessen, 54 Blutbiomarker analysiert.</w:t>
      </w:r>
    </w:p>
    <w:p>
      <w:r>
        <w:rPr>
          <w:b/>
        </w:rPr>
        <w:t xml:space="preserve">Ergebnis: </w:t>
      </w:r>
      <w:r>
        <w:t>Höhere AMED-Adhärenz assoziiert mit höheren Folsäure-Spiegeln (β 0,066, 95%-KI 0,033–0,099) und niedrigerem GFAP (β −0,018, 95%-KI −0,030 bis −0,006, p=0,003). Höhere rEDII-Adhärenz mit niedrigerem Leptin, Insulin, GDF15, alkalischer Phosphatase und TNF-Rezeptor. Biomarker in metabolischen und inflammatorischen Domänen betroffen.</w:t>
      </w:r>
    </w:p>
    <w:p>
      <w:r>
        <w:rPr>
          <w:b/>
          <w:sz w:val="19"/>
        </w:rPr>
        <w:t xml:space="preserve">Übertragbarkeit: </w:t>
      </w:r>
      <w:r>
        <w:rPr>
          <w:sz w:val="19"/>
        </w:rPr>
        <w:t>Skandinavien, nationale Längsschnittstudie; vergleichbare Gesundheitssysteme, gute Datenqualität</w:t>
      </w:r>
    </w:p>
    <w:p>
      <w:r>
        <w:rPr>
          <w:color w:val="5A7D3A"/>
          <w:sz w:val="18"/>
        </w:rPr>
        <w:t>https://pubmed.ncbi.nlm.nih.gov/42791570/</w:t>
      </w:r>
    </w:p>
    <w:p>
      <w:pPr>
        <w:pStyle w:val="Heading2"/>
      </w:pPr>
      <w:r>
        <w:t>Wearable-Autonomie-Komponente und kardiometabolische Gesundheit im Alter</w:t>
      </w:r>
    </w:p>
    <w:p>
      <w:r>
        <w:rPr>
          <w:i/>
          <w:color w:val="666666"/>
          <w:sz w:val="18"/>
        </w:rPr>
        <w:t>Calvani R et al.  ·  Med Sci (Basel)  ·  02.09.2026  ·  PMID 42783415</w:t>
      </w:r>
    </w:p>
    <w:p>
      <w:r>
        <w:t>Querschnitt von 97 italienischen Erwachsenen (Durchschnittsalter 51,3 Jahre): 24-h Wearable-Geräte-Messung, Hauptkomponentenanalyse der ECG- und Bewegungsvariablen, Assoziation mit 8-Domänen-Gesundheits-Screening.</w:t>
      </w:r>
    </w:p>
    <w:p>
      <w:r>
        <w:rPr>
          <w:b/>
        </w:rPr>
        <w:t xml:space="preserve">Ergebnis: </w:t>
      </w:r>
      <w:r>
        <w:t>Prinzipalkomponente PC1 (gekennzeichnet durch hohes SDNN, hohes RMSSD, niedrige nächtliche Herzfrequenz) unabhängig assoziiert mit Gesamt-Gesundheit (B=+0,402, 95%-KI [+0,103, +0,700], p=0,009). Nach Benjamini-Hochberg-Korrektur in Einzeldomänen nur Glukose-Gesundheit signifikant (95%-KI [1,32, 4,62], p=0,039).</w:t>
      </w:r>
    </w:p>
    <w:p>
      <w:r>
        <w:rPr>
          <w:b/>
          <w:sz w:val="19"/>
        </w:rPr>
        <w:t xml:space="preserve">Übertragbarkeit: </w:t>
      </w:r>
      <w:r>
        <w:rPr>
          <w:sz w:val="19"/>
        </w:rPr>
        <w:t>Italien, Community-Setting; Wearable-Technologie relevant für deutsche Präventivmedizin, aber Stichprobe klein</w:t>
      </w:r>
    </w:p>
    <w:p>
      <w:r>
        <w:rPr>
          <w:color w:val="5A7D3A"/>
          <w:sz w:val="18"/>
        </w:rPr>
        <w:t>https://pubmed.ncbi.nlm.nih.gov/42783415/</w:t>
      </w:r>
    </w:p>
    <w:p>
      <w:pPr>
        <w:pStyle w:val="Heading2"/>
      </w:pPr>
      <w:r>
        <w:t>Gewichteter Alterungspace als Prädiktor: sterblichkeitsinformiertes Biomarker-Modell</w:t>
      </w:r>
    </w:p>
    <w:p>
      <w:r>
        <w:rPr>
          <w:i/>
          <w:color w:val="666666"/>
          <w:sz w:val="18"/>
        </w:rPr>
        <w:t>Sluiskes MH et al.  ·  J Gerontol A Biol Sci Med Sci  ·  05.09.2026  ·  PMID 42625435</w:t>
      </w:r>
    </w:p>
    <w:p>
      <w:r>
        <w:t>Längsschnittstudie schwedischer älterer Paare (SATSA): Gewichteter Pace of Aging (wPoA) aus 10 Biomarkern berechnet, anhand Sterblichkeit gewichtet, gegen etablierte Alterungs-Prädiktoren validiert.</w:t>
      </w:r>
    </w:p>
    <w:p>
      <w:r>
        <w:rPr>
          <w:b/>
        </w:rPr>
        <w:t xml:space="preserve">Ergebnis: </w:t>
      </w:r>
      <w:r>
        <w:t>wPoA korreliert mit biologischen Alterungs-Prädiktoren und stärker mit Functional Aging Index (FAA) und Frailty Index (FI). Moderate Korrelationen über alle Prädiktoren deuten darauf hin, dass jedes Maß unterschiedliche Aspekte des biologischen Alterns erfasst; wPoA eignet sich für Kohorten mit reichen Längsdaten.</w:t>
      </w:r>
    </w:p>
    <w:p>
      <w:r>
        <w:rPr>
          <w:b/>
          <w:sz w:val="19"/>
        </w:rPr>
        <w:t xml:space="preserve">Übertragbarkeit: </w:t>
      </w:r>
      <w:r>
        <w:rPr>
          <w:sz w:val="19"/>
        </w:rPr>
        <w:t>Schweden, nationale Adoptions-/Zwillingsstudie; europäisches Gesundheitssystem, methodisch robust</w:t>
      </w:r>
    </w:p>
    <w:p>
      <w:r>
        <w:rPr>
          <w:color w:val="5A7D3A"/>
          <w:sz w:val="18"/>
        </w:rPr>
        <w:t>https://pubmed.ncbi.nlm.nih.gov/42625435/</w:t>
      </w:r>
    </w:p>
    <w:p>
      <w:pPr>
        <w:pStyle w:val="Heading1"/>
      </w:pPr>
      <w:r>
        <w:t>Aufgenommen am 27.09.2026</w:t>
      </w:r>
    </w:p>
    <w:p>
      <w:pPr>
        <w:pStyle w:val="Heading2"/>
      </w:pPr>
      <w:r>
        <w:t>Vorhersagemodell für postoperative Frailty bei Brustkrebspatienten</w:t>
      </w:r>
    </w:p>
    <w:p>
      <w:r>
        <w:rPr>
          <w:i/>
          <w:color w:val="666666"/>
          <w:sz w:val="18"/>
        </w:rPr>
        <w:t>Zhou Y et al.  ·  PeerJ  ·  22.09.2026  ·  PMID 42799450</w:t>
      </w:r>
    </w:p>
    <w:p>
      <w:r>
        <w:t>Querschnittsstudie mit 286 Brustkrebspatienten nach Operation; Frailty erfasst mit Tilburg Frailty Indicator (TFI), Schlafqualität mit Pittsburgh Sleep Quality Index (PSQI); logistische Regressionsmodellierung mit ROC-Kurven-Validierung.</w:t>
      </w:r>
    </w:p>
    <w:p>
      <w:r>
        <w:rPr>
          <w:b/>
        </w:rPr>
        <w:t xml:space="preserve">Ergebnis: </w:t>
      </w:r>
      <w:r>
        <w:t>Postoperative Frailty-Prävalenz: 29,37 %. Signifikante Einflussfaktoren waren Diabetes-Vorgeschichte, schlechte Schlafqualität, Cholesterin und BMI, Kinder als Hauptpflegeperson und Krankenversicherungstyp. Das Modell erzielte eine AUC von 0,813 nach interner 10-fach-Kreuzvalidierung. Hosmer-Lemeshow χ² = 4,436, p = 0,816.</w:t>
      </w:r>
    </w:p>
    <w:p>
      <w:r>
        <w:rPr>
          <w:b/>
          <w:sz w:val="19"/>
        </w:rPr>
        <w:t xml:space="preserve">Übertragbarkeit: </w:t>
      </w:r>
      <w:r>
        <w:rPr>
          <w:sz w:val="19"/>
        </w:rPr>
        <w:t>China, anderes Gesundheitssystem; nur Frailty-Identifikation ist übertragbar.</w:t>
      </w:r>
    </w:p>
    <w:p>
      <w:r>
        <w:rPr>
          <w:color w:val="5A7D3A"/>
          <w:sz w:val="18"/>
        </w:rPr>
        <w:t>https://pubmed.ncbi.nlm.nih.gov/42799450/</w:t>
      </w:r>
    </w:p>
    <w:p>
      <w:pPr>
        <w:pStyle w:val="Heading2"/>
      </w:pPr>
      <w:r>
        <w:t>Ernährungsadäquanz in der Gemeinschaft: Ältere vs. jüngere Deutsche im BASE-II-Vergleich</w:t>
      </w:r>
    </w:p>
    <w:p>
      <w:r>
        <w:rPr>
          <w:i/>
          <w:color w:val="666666"/>
          <w:sz w:val="18"/>
        </w:rPr>
        <w:t>Heimberg K et al.  ·  Nutrients  ·  20.09.2026  ·  PMID 42797060</w:t>
      </w:r>
    </w:p>
    <w:p>
      <w:r>
        <w:t>Querschnittsstudie zur Nährstoffaufnahme bei 1.671 Personen im Alter von 60–84 Jahren aus der Berliner Altersstudie II (BASE-II), verglichen mit 500 jüngeren Erwachsenen (22–36 Jahre).</w:t>
      </w:r>
    </w:p>
    <w:p>
      <w:r>
        <w:rPr>
          <w:b/>
        </w:rPr>
        <w:t xml:space="preserve">Ergebnis: </w:t>
      </w:r>
      <w:r>
        <w:t>Ältere Erwachsene hatten kein generell schlechteres Nährstoffprofil als Jüngere. Jedoch lag das Osteoporoserisiko durch Calciummangel bei älteren Personen höher (34 % vs. 26 %). Vitamin-D-Mangel betraf über 15 % in beiden Altersgruppen. Supplementnutzung war bei Älteren häufiger (47,3 % vs. 43,0 %), unterschied sich aber nicht signifikant.</w:t>
      </w:r>
    </w:p>
    <w:p>
      <w:r>
        <w:rPr>
          <w:b/>
          <w:sz w:val="19"/>
        </w:rPr>
        <w:t xml:space="preserve">Übertragbarkeit: </w:t>
      </w:r>
      <w:r>
        <w:rPr>
          <w:sz w:val="19"/>
        </w:rPr>
        <w:t>Deutsche Kohortendaten (BASE-II), vergleichbare Bevölkerungsstruktur und Ernährungsrichtlinien.</w:t>
      </w:r>
    </w:p>
    <w:p>
      <w:r>
        <w:rPr>
          <w:color w:val="5A7D3A"/>
          <w:sz w:val="18"/>
        </w:rPr>
        <w:t>https://pubmed.ncbi.nlm.nih.gov/42797060/</w:t>
      </w:r>
    </w:p>
    <w:p>
      <w:pPr>
        <w:pStyle w:val="Heading2"/>
      </w:pPr>
      <w:r>
        <w:t>Ganggeschwindigkeit als Prognostischer Marker für Überleben bei älteren Krebspatienten</w:t>
      </w:r>
    </w:p>
    <w:p>
      <w:r>
        <w:rPr>
          <w:i/>
          <w:color w:val="666666"/>
          <w:sz w:val="18"/>
        </w:rPr>
        <w:t>Ünlü B et al.  ·  Medicina (Kaunas)  ·  21.09.2026  ·  PMID 42796422</w:t>
      </w:r>
    </w:p>
    <w:p>
      <w:r>
        <w:t>Prospektive Studie bei 102 chemotherapie-naiven Patienten ≥65 Jahre mit Gangtests vor Behandlung und Nachverfolgung von Überleben, Therapieansprechen und Toxizität.</w:t>
      </w:r>
    </w:p>
    <w:p>
      <w:r>
        <w:rPr>
          <w:b/>
        </w:rPr>
        <w:t xml:space="preserve">Ergebnis: </w:t>
      </w:r>
      <w:r>
        <w:t>Mittlere Ganggeschwindigkeit 0,481 ± 0,176 m/s. Bei metastasierten Patienten war höhere Ganggeschwindigkeit mit niedrigerer Mortalität assoziiert (univariat HR = 0,752, 95%-KI 0,605–0,934, p = 0,010; adjustiert HR = 0,647, 95%-KI 0,490–0,853, p = 0,002). Keine signifikanten Assoziationen mit progressionsfreiem Überleben oder Grad-≥3-Toxizität.</w:t>
      </w:r>
    </w:p>
    <w:p>
      <w:r>
        <w:rPr>
          <w:b/>
          <w:sz w:val="19"/>
        </w:rPr>
        <w:t xml:space="preserve">Übertragbarkeit: </w:t>
      </w:r>
      <w:r>
        <w:rPr>
          <w:sz w:val="19"/>
        </w:rPr>
        <w:t>Türkei; funktionelle Messung übertragbar, aber Kohorte klein und explorativ.</w:t>
      </w:r>
    </w:p>
    <w:p>
      <w:r>
        <w:rPr>
          <w:color w:val="5A7D3A"/>
          <w:sz w:val="18"/>
        </w:rPr>
        <w:t>https://pubmed.ncbi.nlm.nih.gov/42796422/</w:t>
      </w:r>
    </w:p>
    <w:p>
      <w:pPr>
        <w:pStyle w:val="Heading2"/>
      </w:pPr>
      <w:r>
        <w:t>Frailty-assoziierte Lungenfunktionstrajektor nach Lungentransplantation</w:t>
      </w:r>
    </w:p>
    <w:p>
      <w:r>
        <w:rPr>
          <w:i/>
          <w:color w:val="666666"/>
          <w:sz w:val="18"/>
        </w:rPr>
        <w:t>Ceolin C et al.  ·  Respir Res  ·  25.09.2026  ·  PMID 42791578</w:t>
      </w:r>
    </w:p>
    <w:p>
      <w:r>
        <w:t>Prospektive Longitudinalstudie über zwei Jahre bei 155 Lungentransplantationsempfänger (Durchschnittsalter 48,7 Jahre); Fried-Phänotyp zur Frailty-Erfassung und spirometrische Parameter als Lungenfunktionsergebnis.</w:t>
      </w:r>
    </w:p>
    <w:p>
      <w:r>
        <w:rPr>
          <w:b/>
        </w:rPr>
        <w:t xml:space="preserve">Ergebnis: </w:t>
      </w:r>
      <w:r>
        <w:t>43,7 % waren robust, 40,4 % pre-frail, 15,9 % frail. Höhere Frailty-Last war mit niedrigeren Baseline-FVC-Werten assoziiert. Signifikante Frailty-by-time-Wechselwirkungen zeigten steilere longitudinale Verbesserungen bei Vital Capacity (VC, β = 2,03, p = 0,010) und FVC (β = 2,20, p = 0,003) bei Personen mit höherer Baseline-Frailty.</w:t>
      </w:r>
    </w:p>
    <w:p>
      <w:r>
        <w:rPr>
          <w:b/>
          <w:sz w:val="19"/>
        </w:rPr>
        <w:t xml:space="preserve">Übertragbarkeit: </w:t>
      </w:r>
      <w:r>
        <w:rPr>
          <w:sz w:val="19"/>
        </w:rPr>
        <w:t>Italien (Padua), europäisches Versorgungssystem, ähnliche Transplantationsprotokolle.</w:t>
      </w:r>
    </w:p>
    <w:p>
      <w:r>
        <w:rPr>
          <w:color w:val="5A7D3A"/>
          <w:sz w:val="18"/>
        </w:rPr>
        <w:t>https://pubmed.ncbi.nlm.nih.gov/42791578/</w:t>
      </w:r>
    </w:p>
    <w:p>
      <w:pPr>
        <w:pStyle w:val="Heading2"/>
      </w:pPr>
      <w:r>
        <w:t>Heidelbeeren, Protein und Bewegung gegen Frailty: STRONG-Studie Studienprotokoll</w:t>
      </w:r>
    </w:p>
    <w:p>
      <w:r>
        <w:rPr>
          <w:i/>
          <w:color w:val="666666"/>
          <w:sz w:val="18"/>
        </w:rPr>
        <w:t>Cahill LE et al.  ·  BMJ Open  ·  25.09.2026  ·  PMID 42790922</w:t>
      </w:r>
    </w:p>
    <w:p>
      <w:r>
        <w:t>Pragmatische RCT über 12 Monate mit 240 Personen ≥65 Jahren (120w/120m) in Nova Scotia; Intervention: 1 Cup Heidelbeeren/Tag, 30 g Proteinpulver/Tag und drei 60-Minuten-Multimodal-Trainingseinheiten/Woche; Kontrolle: Standardversorgung.</w:t>
      </w:r>
    </w:p>
    <w:p>
      <w:r>
        <w:rPr>
          <w:b/>
        </w:rPr>
        <w:t xml:space="preserve">Ergebnis: </w:t>
      </w:r>
      <w:r>
        <w:t>Studie noch laufend (Protokoll publiziert). Geplante Outcomes: Frailty-Scores, Balance, Sturzhäufigkeit, Lebensraum, kardiovaskuläre Risikofaktoren, 6-Minuten-Gehtest, Entzündungsmarker, Lebensqualität mit Messungen bei Baseline, 3, 6, 9, 12 und 24 Monaten.</w:t>
      </w:r>
    </w:p>
    <w:p>
      <w:r>
        <w:rPr>
          <w:b/>
          <w:sz w:val="19"/>
        </w:rPr>
        <w:t xml:space="preserve">Übertragbarkeit: </w:t>
      </w:r>
      <w:r>
        <w:rPr>
          <w:sz w:val="19"/>
        </w:rPr>
        <w:t>Kanada (Nova Scotia), ähnliche Versorgungssysteme und Lebenserwartung wie deutschsprachiger Raum.</w:t>
      </w:r>
    </w:p>
    <w:p>
      <w:r>
        <w:rPr>
          <w:color w:val="5A7D3A"/>
          <w:sz w:val="18"/>
        </w:rPr>
        <w:t>https://pubmed.ncbi.nlm.nih.gov/42790922/</w:t>
      </w:r>
    </w:p>
    <w:p>
      <w:pPr>
        <w:pStyle w:val="Heading2"/>
      </w:pPr>
      <w:r>
        <w:t>Schlafstörungen und Depression als gemeinsames Risiko für Arthrose bei Älteren</w:t>
      </w:r>
    </w:p>
    <w:p>
      <w:r>
        <w:rPr>
          <w:i/>
          <w:color w:val="666666"/>
          <w:sz w:val="18"/>
        </w:rPr>
        <w:t>Deng S et al.  ·  Brain Behav  ·  Sept. 2026  ·  PMID 42779173</w:t>
      </w:r>
    </w:p>
    <w:p>
      <w:r>
        <w:t>Prospektive Kohortenstudie mit 3.604 Personen ab 50 Jahren aus der English Longitudinal Study of Ageing; Erfassung von Schlafstörung und depressiver Symptomatik über acht Jahre mittels gruppengestützter Multi-Trajektorien-Analyse.</w:t>
      </w:r>
    </w:p>
    <w:p>
      <w:r>
        <w:rPr>
          <w:b/>
        </w:rPr>
        <w:t xml:space="preserve">Ergebnis: </w:t>
      </w:r>
      <w:r>
        <w:t>Vier Trajektoriengruppen wurden identifiziert. Im Vergleich zu persistierend gutem Schlaf und keinen depressiven Symptomen zeigten Personen mit persistierend schlechtem Schlaf und hoher depressiver Symptomatik ein OR von 2,85 (95%-KI 1,90–4,28) für Arthrose-Neuauftreten; diejenigen mit schlechtem Schlaf und moderater Depression: OR 2,14 (95%-KI 1,52–3,02); moderate Schlafstörung mit niedriger Depression: OR 1,56 (95%-KI 1,20–2,03).</w:t>
      </w:r>
    </w:p>
    <w:p>
      <w:r>
        <w:rPr>
          <w:b/>
          <w:sz w:val="19"/>
        </w:rPr>
        <w:t xml:space="preserve">Übertragbarkeit: </w:t>
      </w:r>
      <w:r>
        <w:rPr>
          <w:sz w:val="19"/>
        </w:rPr>
        <w:t>England, vergleichbares nationales Gesundheitssystem und Altersstruktur.</w:t>
      </w:r>
    </w:p>
    <w:p>
      <w:r>
        <w:rPr>
          <w:color w:val="5A7D3A"/>
          <w:sz w:val="18"/>
        </w:rPr>
        <w:t>https://pubmed.ncbi.nlm.nih.gov/42779173/</w:t>
      </w:r>
    </w:p>
    <w:p>
      <w:pPr>
        <w:pStyle w:val="Heading1"/>
      </w:pPr>
      <w:r>
        <w:t>Aufgenommen am 26.09.2026</w:t>
      </w:r>
    </w:p>
    <w:p>
      <w:pPr>
        <w:pStyle w:val="Heading2"/>
      </w:pPr>
      <w:r>
        <w:t>Soziale Kontakte und körperliche Frailty entwickeln sich parallel: Langzeitprofil aus Japan</w:t>
      </w:r>
    </w:p>
    <w:p>
      <w:r>
        <w:rPr>
          <w:i/>
          <w:color w:val="666666"/>
          <w:sz w:val="18"/>
        </w:rPr>
        <w:t>Gao H et al.  ·  Front Public Health  ·  09.09.2026  ·  PMID 42787745</w:t>
      </w:r>
    </w:p>
    <w:p>
      <w:r>
        <w:t>Japanische Kohortenstudie an 307 älteren Gemeindemitgliedern mit Messungen 2014, 2017 und 2020 zu sozialen Kontakten, körperlicher Frailty (Kihon Checklist-Motor) und subjektiven kognitiven Beschwerden (Kihon Checklist-Kognitiv).</w:t>
      </w:r>
    </w:p>
    <w:p>
      <w:r>
        <w:rPr>
          <w:b/>
        </w:rPr>
        <w:t xml:space="preserve">Ergebnis: </w:t>
      </w:r>
      <w:r>
        <w:t>Soziale Kontakte sanken von 16,82 auf 16,09, körperliche Frailty stieg von 8,8 % auf 19,5 %, subjektive kognitive Beschwerden von 31,3 % auf 62,9 %. Höhere initiale soziale Kontakte assoziiert mit niedrigerem Frailty-Risiko (standardisiert -0,282, 95%-CrI -0,503 bis -0,044) und niedrigerem kognitiven Beschwerde-Risiko (-0,433, -0,651 bis -0,179). Inverse Assoziation zwischen Kontakt- und Frailty-Änderungsraten.</w:t>
      </w:r>
    </w:p>
    <w:p>
      <w:r>
        <w:rPr>
          <w:b/>
          <w:sz w:val="19"/>
        </w:rPr>
        <w:t xml:space="preserve">Übertragbarkeit: </w:t>
      </w:r>
      <w:r>
        <w:rPr>
          <w:sz w:val="19"/>
        </w:rPr>
        <w:t>Japan, aber Befunde zu Multidomain-Assessment übertragbar auf deutsche Altenhilfe</w:t>
      </w:r>
    </w:p>
    <w:p>
      <w:r>
        <w:rPr>
          <w:color w:val="5A7D3A"/>
          <w:sz w:val="18"/>
        </w:rPr>
        <w:t>https://pubmed.ncbi.nlm.nih.gov/42787745/</w:t>
      </w:r>
    </w:p>
    <w:p>
      <w:pPr>
        <w:pStyle w:val="Heading2"/>
      </w:pPr>
      <w:r>
        <w:t>Kardiovaskuläre Multimorbidität und kognitive Funktionalität: internationale Kohorten-Analyse</w:t>
      </w:r>
    </w:p>
    <w:p>
      <w:r>
        <w:rPr>
          <w:i/>
          <w:color w:val="666666"/>
          <w:sz w:val="18"/>
        </w:rPr>
        <w:t>Li M et al.  ·  Front Public Health  ·  10.09.2026  ·  PMID 42787285</w:t>
      </w:r>
    </w:p>
    <w:p>
      <w:r>
        <w:t>Internationale Harmonisierung von 236.088 Personen aus sechs Langzeitkohorten (HRS, ELSA, CHARLS, KLoSA, MHAS, SHARE) mit wiederholten Messungen kardiovaskulärer Komorbiditäten und kognitiv-funktionaler Veränderungen.</w:t>
      </w:r>
    </w:p>
    <w:p>
      <w:r>
        <w:rPr>
          <w:b/>
        </w:rPr>
        <w:t xml:space="preserve">Ergebnis: </w:t>
      </w:r>
      <w:r>
        <w:t>Jede zusätzliche kardiovaskuläre Erkrankung korreliert mit kognitiven Verschlechterung (β=0,0459, 95%-KI 0,0243–0,0675) und funktionalen Verschlechterung (β=0,0960, 95%-KI 0,0809–0,1111). Funktionale Verschlechterung deutlicher als kognitiv (Kontrast 0,0534, 95%-KI 0,0325–0,0742). Bei 266.127 Intervallen in unauffälligem Ausgangszustand: jede zusätzliche Grunderkrankung assoziiert mit funktionalen Übergängen (OR 1,33, 95%-KI 1,27–1,40), nicht konsistent mit kognitiven Übergängen (OR 1,01, 95%-KI 0,95–1,07).</w:t>
      </w:r>
    </w:p>
    <w:p>
      <w:r>
        <w:rPr>
          <w:b/>
          <w:sz w:val="19"/>
        </w:rPr>
        <w:t xml:space="preserve">Übertragbarkeit: </w:t>
      </w:r>
      <w:r>
        <w:rPr>
          <w:sz w:val="19"/>
        </w:rPr>
        <w:t>Europa, Kanada, USA, große internationale Datenharmonisierung relevant für Deutschland</w:t>
      </w:r>
    </w:p>
    <w:p>
      <w:r>
        <w:rPr>
          <w:color w:val="5A7D3A"/>
          <w:sz w:val="18"/>
        </w:rPr>
        <w:t>https://pubmed.ncbi.nlm.nih.gov/42787285/</w:t>
      </w:r>
    </w:p>
    <w:p>
      <w:pPr>
        <w:pStyle w:val="Heading2"/>
      </w:pPr>
      <w:r>
        <w:t>Frailty bei älteren COPD-Patienten: unabhängiger Prädiktor für COPD-Exazerbationen</w:t>
      </w:r>
    </w:p>
    <w:p>
      <w:r>
        <w:rPr>
          <w:i/>
          <w:color w:val="666666"/>
          <w:sz w:val="18"/>
        </w:rPr>
        <w:t>Li T et al.  ·  J Cachexia Sarcopenia Muscle  ·  Okt. 2026  ·  PMID 42786423</w:t>
      </w:r>
    </w:p>
    <w:p>
      <w:r>
        <w:t>Chinesische Kohortenstudie an 466 älteren COPD-Patienten (Mittel 71,2±4,5 Jahre) mit Fried-Frailty-Phänotyp-Assessment und Nachverfolgung über 12 Monate für moderate bis schwere Exazerbationen und Sterblichkeit.</w:t>
      </w:r>
    </w:p>
    <w:p>
      <w:r>
        <w:rPr>
          <w:b/>
        </w:rPr>
        <w:t xml:space="preserve">Ergebnis: </w:t>
      </w:r>
      <w:r>
        <w:t>54,7 % pre-frail, 28,3 % frail. Pre-Frailty (OR 2,182, 95%-KI 1,081–4,405) und Frailty (OR 3,377, 95%-KI 1,614–7,063) unabhängig assoziiert mit erhöhtem Exazerbationsrisiko. ROC-AUC für Frailty-Vorhersage 0,607. Kombination aus Frailty + Dyspnoe oder Exazerbationshistorie bessere Vorhersagekraft als einzelne Parameter.</w:t>
      </w:r>
    </w:p>
    <w:p>
      <w:r>
        <w:rPr>
          <w:b/>
          <w:sz w:val="19"/>
        </w:rPr>
        <w:t xml:space="preserve">Übertragbarkeit: </w:t>
      </w:r>
      <w:r>
        <w:rPr>
          <w:sz w:val="19"/>
        </w:rPr>
        <w:t>China, aber Frailty-Assessment-Konzepte etabliert in deutscher Geriatrie</w:t>
      </w:r>
    </w:p>
    <w:p>
      <w:r>
        <w:rPr>
          <w:color w:val="5A7D3A"/>
          <w:sz w:val="18"/>
        </w:rPr>
        <w:t>https://pubmed.ncbi.nlm.nih.gov/42786423/</w:t>
      </w:r>
    </w:p>
    <w:p>
      <w:pPr>
        <w:pStyle w:val="Heading2"/>
      </w:pPr>
      <w:r>
        <w:t>Prävention funktioneller Abhängigkeit im höheren Alter: Screening geriatrischer Syndrome</w:t>
      </w:r>
    </w:p>
    <w:p>
      <w:r>
        <w:rPr>
          <w:i/>
          <w:color w:val="666666"/>
          <w:sz w:val="18"/>
        </w:rPr>
        <w:t>Stornelli S et al.  ·  Rev Med Suisse  ·  23.09.2026  ·  PMID 42779326</w:t>
      </w:r>
    </w:p>
    <w:p>
      <w:r>
        <w:t>Schweizer Übersicht für ambulante Grundversorgung zu frühzeitiger Erkennung älterer Patienten mit Risiko funktioneller Abhängigkeit und Autonomieverlust, basierend auf WHO-ICOPE-Ansatz.</w:t>
      </w:r>
    </w:p>
    <w:p>
      <w:r>
        <w:rPr>
          <w:b/>
        </w:rPr>
        <w:t xml:space="preserve">Ergebnis: </w:t>
      </w:r>
      <w:r>
        <w:t>Kernempfehlung: Ärzte sollten hauptsächliche geriatrische Syndrome systematisch screenen, modifizierbare Risikofaktoren identifizieren und Maßnahmen zur Bewahrung intrinsischer Kapazität und Lebensqualität implementieren. Lücke zwischen Lebenserwartung und behinderungsfreien Jahren bleibt erheblich und variiert nach Geschlecht, Bildung und sozioökonomischem Status.</w:t>
      </w:r>
    </w:p>
    <w:p>
      <w:r>
        <w:rPr>
          <w:b/>
          <w:sz w:val="19"/>
        </w:rPr>
        <w:t xml:space="preserve">Übertragbarkeit: </w:t>
      </w:r>
      <w:r>
        <w:rPr>
          <w:sz w:val="19"/>
        </w:rPr>
        <w:t>Schweiz (DACH-Region), direkt übertragbar auf deutsche Primärversorgung</w:t>
      </w:r>
    </w:p>
    <w:p>
      <w:r>
        <w:rPr>
          <w:color w:val="5A7D3A"/>
          <w:sz w:val="18"/>
        </w:rPr>
        <w:t>https://pubmed.ncbi.nlm.nih.gov/42779326/</w:t>
      </w:r>
    </w:p>
    <w:p>
      <w:pPr>
        <w:pStyle w:val="Heading2"/>
      </w:pPr>
      <w:r>
        <w:t>Funktionale Limitierungen bei Depression im Alter folgen eigenen Trajektorien</w:t>
      </w:r>
    </w:p>
    <w:p>
      <w:r>
        <w:rPr>
          <w:i/>
          <w:color w:val="666666"/>
          <w:sz w:val="18"/>
        </w:rPr>
        <w:t>Fredriksen KH et al.  ·  J Affect Disord  ·  15.12.2026  ·  PMID 42716343</w:t>
      </w:r>
    </w:p>
    <w:p>
      <w:r>
        <w:t>Niederländische Langzeitstudie an 355 älteren depressiven Patienten über sechs Jahre mit wiederholten Messungen in sechs Funktionsbereichen (Kognition, Mobilität, Selbstversorgung, soziale Beziehungen, Haushaltsaktivitäten, gesellschaftliche Partizipation).</w:t>
      </w:r>
    </w:p>
    <w:p>
      <w:r>
        <w:rPr>
          <w:b/>
        </w:rPr>
        <w:t xml:space="preserve">Ergebnis: </w:t>
      </w:r>
      <w:r>
        <w:t>Funktionale Einschränkungen zeigten überwiegend stabile hohe oder niedrige Trajektorien über beide Domänen. In Mobilität, Selbstversorgung und Haushaltsaktivitäten zeigte eine Subgruppe starke Verschlechterung, eine andere in sozialen Beziehungen Verbesserung. Funktionale Trajektorien korrelierten nur schwach mit Symptomverläufen und unterschieden sich zwischen Individuen deutlich – Hinweis auf Bedarf für individualisierte Interventionen unabhängig von depressiver Remission.</w:t>
      </w:r>
    </w:p>
    <w:p>
      <w:r>
        <w:rPr>
          <w:b/>
          <w:sz w:val="19"/>
        </w:rPr>
        <w:t xml:space="preserve">Übertragbarkeit: </w:t>
      </w:r>
      <w:r>
        <w:rPr>
          <w:sz w:val="19"/>
        </w:rPr>
        <w:t>Niederlande, Sozialversicherungssystem vergleichbar mit Deutschland</w:t>
      </w:r>
    </w:p>
    <w:p>
      <w:r>
        <w:rPr>
          <w:color w:val="5A7D3A"/>
          <w:sz w:val="18"/>
        </w:rPr>
        <w:t>https://pubmed.ncbi.nlm.nih.gov/42716343/</w:t>
      </w:r>
    </w:p>
    <w:p>
      <w:pPr>
        <w:pStyle w:val="Heading2"/>
      </w:pPr>
      <w:r>
        <w:t>Bipolares Störung im höheren Alter: Sterblichkeit erhöht, nicht Überleberkohorten-Effekt</w:t>
      </w:r>
    </w:p>
    <w:p>
      <w:r>
        <w:rPr>
          <w:i/>
          <w:color w:val="666666"/>
          <w:sz w:val="18"/>
        </w:rPr>
        <w:t>Bayat N et al.  ·  Am J Geriatr Psychiatry  ·  21.07.2026  ·  PMID 42567731</w:t>
      </w:r>
    </w:p>
    <w:p>
      <w:r>
        <w:t>Niederländische Prospektivkohortenstudie mit 227 Patienten ≥50 Jahren mit bipolarer Störung (DOBi-Studie) verglichen mit 681 alternativen Kontrollpersonen (LASA) über 8 Jahre Nachverfolgung.</w:t>
      </w:r>
    </w:p>
    <w:p>
      <w:r>
        <w:rPr>
          <w:b/>
        </w:rPr>
        <w:t xml:space="preserve">Ergebnis: </w:t>
      </w:r>
      <w:r>
        <w:t>Von 227 Patienten mit bipolarer Störung starben 37 (16,3 %), von Kontrollen 138/681 (20,3 %). Eingeschränkte mittlere Überlebenszeit 2.500,7 Tage (95%-KI 2.419,9–2.581,5) versus 2.607,2 Tage (95%-KI 2.572,3–2.642,0) – Differenz 106,4 Tage (3,5 Monate, p=0,018). Hazard Ratio 1,72 (95%-KI 1,17–2,54, p=0,006). Erhöhte Sterblichkeit persistent, nicht nur Überleberkohorten-Effekt.</w:t>
      </w:r>
    </w:p>
    <w:p>
      <w:r>
        <w:rPr>
          <w:b/>
          <w:sz w:val="19"/>
        </w:rPr>
        <w:t xml:space="preserve">Übertragbarkeit: </w:t>
      </w:r>
      <w:r>
        <w:rPr>
          <w:sz w:val="19"/>
        </w:rPr>
        <w:t>Niederlande, vergleichbares Gesundheitssystem und Sozialversicherung</w:t>
      </w:r>
    </w:p>
    <w:p>
      <w:r>
        <w:rPr>
          <w:color w:val="5A7D3A"/>
          <w:sz w:val="18"/>
        </w:rPr>
        <w:t>https://pubmed.ncbi.nlm.nih.gov/42567731/</w:t>
      </w:r>
    </w:p>
    <w:p>
      <w:pPr>
        <w:pStyle w:val="Heading1"/>
      </w:pPr>
      <w:r>
        <w:t>Aufgenommen am 25.09.2026</w:t>
      </w:r>
    </w:p>
    <w:p>
      <w:pPr>
        <w:pStyle w:val="Heading2"/>
      </w:pPr>
      <w:r>
        <w:t>Klinische Entscheidungsmuster von Physiotherapeuten bei Frailty in der Krankenpflege</w:t>
      </w:r>
    </w:p>
    <w:p>
      <w:r>
        <w:rPr>
          <w:i/>
          <w:color w:val="666666"/>
          <w:sz w:val="18"/>
        </w:rPr>
        <w:t>Bloch T et al.  ·  Age Ageing  ·  04.09.2026  ·  PMID 42784539</w:t>
      </w:r>
    </w:p>
    <w:p>
      <w:r>
        <w:t>Delphi-Studie mit 44 US-amerikanischen und kanadischen Therapeuten zu klinischen Reasoning-Strategien bei der Intervention für gebrechliche ältere Menschen in Pflegeheimen.</w:t>
      </w:r>
    </w:p>
    <w:p>
      <w:r>
        <w:rPr>
          <w:b/>
        </w:rPr>
        <w:t xml:space="preserve">Ergebnis: </w:t>
      </w:r>
      <w:r>
        <w:t>Fünf Konsensthemen erreichten ≥75%-Zustimmung: (i) Therapie-Engagement durch patientenzentrierte Aktivitäten, (ii) Mobilität und Bewegungssicherheit, (iii) funktionale Ergebnisse und Belastung, (iv) Schmerzmanagement und kognitive Variabilität, (v) aufgabenspezifische duale Interventionen für ADL-Transfer. 39 von 44 Teilnehmern (89%-Retentionsquote) schlossen alle Runden ab.</w:t>
      </w:r>
    </w:p>
    <w:p>
      <w:r>
        <w:rPr>
          <w:b/>
          <w:sz w:val="19"/>
        </w:rPr>
        <w:t xml:space="preserve">Übertragbarkeit: </w:t>
      </w:r>
      <w:r>
        <w:rPr>
          <w:sz w:val="19"/>
        </w:rPr>
        <w:t>USA/Kanada – Qualitative Evidenz zur Praxis in SNF; Adaptierbarkeit auf deutsches Versorgungssystem mit Anpassungen an Dokumentation und Ressourcen.</w:t>
      </w:r>
    </w:p>
    <w:p>
      <w:r>
        <w:rPr>
          <w:color w:val="5A7D3A"/>
          <w:sz w:val="18"/>
        </w:rPr>
        <w:t>https://pubmed.ncbi.nlm.nih.gov/42784539/</w:t>
      </w:r>
    </w:p>
    <w:p>
      <w:pPr>
        <w:pStyle w:val="Heading2"/>
      </w:pPr>
      <w:r>
        <w:t>Thorakale Muskelattenuation prägt Geschlechts-spezifische Mortalität nach Bypasschirurgie im Alter</w:t>
      </w:r>
    </w:p>
    <w:p>
      <w:r>
        <w:rPr>
          <w:i/>
          <w:color w:val="666666"/>
          <w:sz w:val="18"/>
        </w:rPr>
        <w:t>Krombholz-Reindl P et al.  ·  Med Sci (Basel)  ·  14.09.2026  ·  PMID 42783442</w:t>
      </w:r>
    </w:p>
    <w:p>
      <w:r>
        <w:t>Retrospektive Studie an 479 Patienten (382 Männer, 97 Frauen) untersucht, ob die Muskelqualität (gemessen als Hounsfield Units aus Routinen-CT) die Mortalität nach Koronarer Bypasschirurgie unabhängig vom EuroSCORE II vorhersagt – mit geschlechtsspezifischen Unterschieden.</w:t>
      </w:r>
    </w:p>
    <w:p>
      <w:r>
        <w:rPr>
          <w:b/>
        </w:rPr>
        <w:t xml:space="preserve">Ergebnis: </w:t>
      </w:r>
      <w:r>
        <w:t>Bei Frauen mit niedriger Muskelattenuation (TH4) betrugen die Hazard Ratios für Mortalität 6,6 (1 Jahr), 9,5 (3 Jahre), 6,4 (5 Jahre; alle p≤0,03). Bei Männern zeigte sich ein schwächerer Effekt, der nach Gewichtungsanpassung insignifikant wurde. Hinzufügen von niedriger Muskelattenuation zu EuroSCORE II erhöhte C-Statistik um 0,046 bei Frauen insgesamt (p&lt;0,001).</w:t>
      </w:r>
    </w:p>
    <w:p>
      <w:r>
        <w:rPr>
          <w:b/>
          <w:sz w:val="19"/>
        </w:rPr>
        <w:t xml:space="preserve">Übertragbarkeit: </w:t>
      </w:r>
      <w:r>
        <w:rPr>
          <w:sz w:val="19"/>
        </w:rPr>
        <w:t>Österreich/Deutschland – Universitätszentren; Aussage unabhängig von Versorgungssystem.</w:t>
      </w:r>
    </w:p>
    <w:p>
      <w:r>
        <w:rPr>
          <w:color w:val="5A7D3A"/>
          <w:sz w:val="18"/>
        </w:rPr>
        <w:t>https://pubmed.ncbi.nlm.nih.gov/42783442/</w:t>
      </w:r>
    </w:p>
    <w:p>
      <w:pPr>
        <w:pStyle w:val="Heading2"/>
      </w:pPr>
      <w:r>
        <w:t>Feinstaub und Luftfeuchte verstärken Sturzrisiko und Schlaganfall im Alter durch Frailty</w:t>
      </w:r>
    </w:p>
    <w:p>
      <w:r>
        <w:rPr>
          <w:i/>
          <w:color w:val="666666"/>
          <w:sz w:val="18"/>
        </w:rPr>
        <w:t>Sun M et al.  ·  Front Public Health  ·  09.09.2026  ·  PMID 42780893</w:t>
      </w:r>
    </w:p>
    <w:p>
      <w:r>
        <w:t>Prospektive Kohortenstudie (CHARLS, n=17.197) und Krankenhaus-Stichprobe (n=782) zum Zusammenhang von PM2.5-Exposition, relativer Luftfeuchte und Schlaganfallrisiko, mit Frailty Index als potenzieller Mediator.</w:t>
      </w:r>
    </w:p>
    <w:p>
      <w:r>
        <w:rPr>
          <w:b/>
        </w:rPr>
        <w:t xml:space="preserve">Ergebnis: </w:t>
      </w:r>
      <w:r>
        <w:t>Hohes PM2.5 mit Schlaganfall-Hazard Ratio 1,184 (95% KI 1,083–1,295) in CHARLS. Hohe Luftfeuchte: HR 1,112 (95% KI 1,021–1,212). Beide Expositionen zusammen: HR 1,361 (95% KI 1,171–1,582). Frailty mediierte 18,1 % der PM2.5-Assoziation und 22,3 % der Feuchte-Assoziation.</w:t>
      </w:r>
    </w:p>
    <w:p>
      <w:r>
        <w:rPr>
          <w:b/>
          <w:sz w:val="19"/>
        </w:rPr>
        <w:t xml:space="preserve">Übertragbarkeit: </w:t>
      </w:r>
      <w:r>
        <w:rPr>
          <w:sz w:val="19"/>
        </w:rPr>
        <w:t>China – CHARLS-Kohortendaten; Luftqualität und Klimavariablen sind in Deutschland unterschiedlich, aber Frailty-Pathway-Mechanismus ist übertragbar.</w:t>
      </w:r>
    </w:p>
    <w:p>
      <w:r>
        <w:rPr>
          <w:color w:val="5A7D3A"/>
          <w:sz w:val="18"/>
        </w:rPr>
        <w:t>https://pubmed.ncbi.nlm.nih.gov/42780893/</w:t>
      </w:r>
    </w:p>
    <w:p>
      <w:pPr>
        <w:pStyle w:val="Heading2"/>
      </w:pPr>
      <w:r>
        <w:t>Umfassende Frailty-Erfassung vorhersagt Mortalität nach Herzchirurgie besser als das Fried-Phänotyp allein</w:t>
      </w:r>
    </w:p>
    <w:p>
      <w:r>
        <w:rPr>
          <w:i/>
          <w:color w:val="666666"/>
          <w:sz w:val="18"/>
        </w:rPr>
        <w:t>Silva VBMD et al.  ·  Braz J Cardiovasc Surg  ·  21.09.2026  ·  PMID 42776132</w:t>
      </w:r>
    </w:p>
    <w:p>
      <w:r>
        <w:t>Prospektive Beobachtungsstudie mit 218 Herzchirurgie-Patienten (Klappenchirurgie oder CABG) zur Validierung von Frailty-Definitionen neben dem klassischen Fried-Kriterium durch zusätzliche ernährungsmedizinische, psychologische und funktionelle Variablen.</w:t>
      </w:r>
    </w:p>
    <w:p>
      <w:r>
        <w:rPr>
          <w:b/>
        </w:rPr>
        <w:t xml:space="preserve">Ergebnis: </w:t>
      </w:r>
      <w:r>
        <w:t>Nach Fried: 43,6 % frail, 49,6 % pre-frail. Fried-Phänotyp zeigte keine Assoziation mit Mortalität. Mit zusätzlichen Variablen identifizierte Clusteranalyse zwei Gruppen: In Cluster 1 waren 84,8 % Fried-frail (vs. 27,4 % in Cluster 2, p&lt;0,001), postoperative Infektionsrate 24,2 % vs. 7,1 % (p=0,022), Krankenhausmortalität 27,3 % vs. 9,5 % (p=0,020).</w:t>
      </w:r>
    </w:p>
    <w:p>
      <w:r>
        <w:rPr>
          <w:b/>
          <w:sz w:val="19"/>
        </w:rPr>
        <w:t xml:space="preserve">Übertragbarkeit: </w:t>
      </w:r>
      <w:r>
        <w:rPr>
          <w:sz w:val="19"/>
        </w:rPr>
        <w:t>Brasilien – herzchirurgische Versorgung vergleichbar; Frailty-Assessment-Prinzipien übertragbar auf deutsche Kliniken.</w:t>
      </w:r>
    </w:p>
    <w:p>
      <w:r>
        <w:rPr>
          <w:color w:val="5A7D3A"/>
          <w:sz w:val="18"/>
        </w:rPr>
        <w:t>https://pubmed.ncbi.nlm.nih.gov/42776132/</w:t>
      </w:r>
    </w:p>
    <w:p>
      <w:pPr>
        <w:pStyle w:val="Heading2"/>
      </w:pPr>
      <w:r>
        <w:t>Geriatrische Versorgungskonzepte bei trochantären Femurfrakturen senken Komplikationen und Mortalität</w:t>
      </w:r>
    </w:p>
    <w:p>
      <w:r>
        <w:rPr>
          <w:i/>
          <w:color w:val="666666"/>
          <w:sz w:val="18"/>
        </w:rPr>
        <w:t>Smolka V et al.  ·  Unfallchirurgie (Heidelb)  ·  24.08.2026  ·  PMID 42637918</w:t>
      </w:r>
    </w:p>
    <w:p>
      <w:r>
        <w:t>Übersichtsartikel zur interdisziplinären, multidimensionalen Betreuung geriatrischer Hüftfrakturen nach deutschen Richtlinien mit Fokus auf Schmerzmanagement, Frühmobilisation, Delir- und Ernährungsmanagement, Deprescribing und Sturzprophylaxe.</w:t>
      </w:r>
    </w:p>
    <w:p>
      <w:r>
        <w:rPr>
          <w:b/>
        </w:rPr>
        <w:t xml:space="preserve">Ergebnis: </w:t>
      </w:r>
      <w:r>
        <w:t>Multidimensionale Betreuung reduziert nachweislich die Mortalität, vermeidet Komplikationen durch adäquate Perioperativbetreuung, Frühmobilisation und Entlassungsplanung. Keine spezifischen Zahlenwerte im Abstract genannt, aber eindeutige Evidenz für Mortalitätsreduktion dokumentiert.</w:t>
      </w:r>
    </w:p>
    <w:p>
      <w:r>
        <w:rPr>
          <w:b/>
          <w:sz w:val="19"/>
        </w:rPr>
        <w:t xml:space="preserve">Übertragbarkeit: </w:t>
      </w:r>
      <w:r>
        <w:rPr>
          <w:sz w:val="19"/>
        </w:rPr>
        <w:t>Deutschland – nationale Richtlinien des Gemeinsamen Bundesausschusses seit 2021.</w:t>
      </w:r>
    </w:p>
    <w:p>
      <w:r>
        <w:rPr>
          <w:color w:val="5A7D3A"/>
          <w:sz w:val="18"/>
        </w:rPr>
        <w:t>https://pubmed.ncbi.nlm.nih.gov/42637918/</w:t>
      </w:r>
    </w:p>
    <w:p>
      <w:pPr>
        <w:pStyle w:val="Heading2"/>
      </w:pPr>
      <w:r>
        <w:t>Produktivitäts-angepasste Lebenserwartung in Finnland: Normwerte für bezahlte und unbezahlte Arbeit</w:t>
      </w:r>
    </w:p>
    <w:p>
      <w:r>
        <w:rPr>
          <w:i/>
          <w:color w:val="666666"/>
          <w:sz w:val="18"/>
        </w:rPr>
        <w:t>Lavikainen P et al.  ·  Soc Sci Med  ·  20.08.2026  ·  PMID 42632184</w:t>
      </w:r>
    </w:p>
    <w:p>
      <w:r>
        <w:t>Bevölkerungssurvey von 3.644 finnischen Erwachsenen (Juni–August 2024, Alter 18–79 Jahre) zur Schätzung von Produktivitätsindizes nach Alter und Geschlecht für bezahlte und unbezahlte Arbeit.</w:t>
      </w:r>
    </w:p>
    <w:p>
      <w:r>
        <w:rPr>
          <w:b/>
        </w:rPr>
        <w:t xml:space="preserve">Ergebnis: </w:t>
      </w:r>
      <w:r>
        <w:t>Gewichteter Produktivitätsindex für Gesamtpopulation: 0,770 (Männer 0,780; Frauen 0,760). Produktivitäts-angepasste Lebenserwartung (PALE) mit Undiskontiert für Männer im Alter 20: 42,9 Jahre, mit 1,5%-Diskont 29,3 Jahre. Für Frauen: 46,1, 30,4 Jahre entsprechend. Erste bevölkerungsrepräsentative Normwerte für nordische Länder.</w:t>
      </w:r>
    </w:p>
    <w:p>
      <w:r>
        <w:rPr>
          <w:b/>
          <w:sz w:val="19"/>
        </w:rPr>
        <w:t xml:space="preserve">Übertragbarkeit: </w:t>
      </w:r>
      <w:r>
        <w:rPr>
          <w:sz w:val="19"/>
        </w:rPr>
        <w:t>Finnland – Nordeuropa mit vergleichbarem Sozialsystem; für Deutschland übertragbar auf Struktur, Finanzierung unterscheidet sich.</w:t>
      </w:r>
    </w:p>
    <w:p>
      <w:r>
        <w:rPr>
          <w:color w:val="5A7D3A"/>
          <w:sz w:val="18"/>
        </w:rPr>
        <w:t>https://pubmed.ncbi.nlm.nih.gov/42632184/</w:t>
      </w:r>
    </w:p>
    <w:p>
      <w:pPr>
        <w:pStyle w:val="Heading1"/>
      </w:pPr>
      <w:r>
        <w:t>Aufgenommen am 24.09.2026</w:t>
      </w:r>
    </w:p>
    <w:p>
      <w:pPr>
        <w:pStyle w:val="Heading2"/>
      </w:pPr>
      <w:r>
        <w:t>Mitochondriale Dynamik im Altern: Ansätze zur Prävention von Herz- und Hirnerkrankungen</w:t>
      </w:r>
    </w:p>
    <w:p>
      <w:r>
        <w:rPr>
          <w:i/>
          <w:color w:val="666666"/>
          <w:sz w:val="18"/>
        </w:rPr>
        <w:t>Yin Y et al.  ·  Aging Cell  ·  Okt. 2026  ·  PMID 42775668</w:t>
      </w:r>
    </w:p>
    <w:p>
      <w:r>
        <w:t>Narrativer Übersichtsartikel zu Rolle der Mitochondrialen Fusion und Fission bei altersbezogenen Herz- und Hirnerkrankungen (Alzheimer, Parkinson, atheroskleroische kardiozerebrovale Erkrankungen) und therapeutischen Strategien (Ausdauertraining, Metformin, Dapagliflozin, Irbesartan, TCM-Komponenten).</w:t>
      </w:r>
    </w:p>
    <w:p>
      <w:r>
        <w:rPr>
          <w:b/>
        </w:rPr>
        <w:t xml:space="preserve">Ergebnis: </w:t>
      </w:r>
      <w:r>
        <w:t>Beeinträchtigte mitochondriale Dynamik liegt vielen altersassoziierten Krankheiten zugrunde; verschiedene Trainings- und Medikamentenansätze zeigen Potenzial zur Verbesserung von Herzgesundheit und Hirngesundheit durch Wiederherstellung mitochondrialer Plastizität; Mechanismen umfassen Verbesserung von Energiestoffwechsel und Reduktion von Entzündung und Seneszenz.</w:t>
      </w:r>
    </w:p>
    <w:p>
      <w:r>
        <w:rPr>
          <w:b/>
          <w:sz w:val="19"/>
        </w:rPr>
        <w:t xml:space="preserve">Übertragbarkeit: </w:t>
      </w:r>
      <w:r>
        <w:rPr>
          <w:sz w:val="19"/>
        </w:rPr>
        <w:t>Überwiegend präklinische und Tiermodelle; klinische Übertragbarkeit für ausgewählte Interventionen (Training, Metformin) gegeben.</w:t>
      </w:r>
    </w:p>
    <w:p>
      <w:r>
        <w:rPr>
          <w:color w:val="5A7D3A"/>
          <w:sz w:val="18"/>
        </w:rPr>
        <w:t>https://pubmed.ncbi.nlm.nih.gov/42775668/</w:t>
      </w:r>
    </w:p>
    <w:p>
      <w:pPr>
        <w:pStyle w:val="Heading2"/>
      </w:pPr>
      <w:r>
        <w:t>Einbindung Älterer in Versorgungsforschung: Praktische Erfolgsfaktoren aus Australien</w:t>
      </w:r>
    </w:p>
    <w:p>
      <w:r>
        <w:rPr>
          <w:i/>
          <w:color w:val="666666"/>
          <w:sz w:val="18"/>
        </w:rPr>
        <w:t>Thillainadesan J et al.  ·  Public Health Res Pract  ·  24.09.2026  ·  PMID 42767663</w:t>
      </w:r>
    </w:p>
    <w:p>
      <w:r>
        <w:t>Qualitative Studie zur Etablierung einer konsumentengesteuerten Forschungsberatungsgruppe in einem Altersbetreuungszentrum mit 8 älteren Teilnehmern (Australien); Dokumentation von Rekrutierungs-, Unterstützungs- und Beteiligungsprozessen.</w:t>
      </w:r>
    </w:p>
    <w:p>
      <w:r>
        <w:rPr>
          <w:b/>
        </w:rPr>
        <w:t xml:space="preserve">Ergebnis: </w:t>
      </w:r>
      <w:r>
        <w:t>Erfolgsfaktoren: Inklusives Auswahlverfahren, Honorierung, Barrierefreiheit, sensibilisierte Kommunikation, vertrauensvolle Umgebung, orientierungsgerichtete Einführung und Training; Teilnehmer berichtet positive Erfahrungen und waren motiviert durch Wunsch, ihre Lebenserfahrung zum Nutzen anderer einzubringen; Machbarkeit und Förderfähigkeit von Älteren-Einbindung demonstriert.</w:t>
      </w:r>
    </w:p>
    <w:p>
      <w:r>
        <w:rPr>
          <w:b/>
          <w:sz w:val="19"/>
        </w:rPr>
        <w:t xml:space="preserve">Übertragbarkeit: </w:t>
      </w:r>
      <w:r>
        <w:rPr>
          <w:sz w:val="19"/>
        </w:rPr>
        <w:t>Australische Versorgungsforschung, methodisch auf deutschsprachige Settings übertragbar.</w:t>
      </w:r>
    </w:p>
    <w:p>
      <w:r>
        <w:rPr>
          <w:color w:val="5A7D3A"/>
          <w:sz w:val="18"/>
        </w:rPr>
        <w:t>https://pubmed.ncbi.nlm.nih.gov/42767663/</w:t>
      </w:r>
    </w:p>
    <w:p>
      <w:pPr>
        <w:pStyle w:val="Heading2"/>
      </w:pPr>
      <w:r>
        <w:t>Grippe-Impfstoff höherer Dosierung senkt Hospitalisierungen bei gebrechlichen Älteren stärker</w:t>
      </w:r>
    </w:p>
    <w:p>
      <w:r>
        <w:rPr>
          <w:i/>
          <w:color w:val="666666"/>
          <w:sz w:val="18"/>
        </w:rPr>
        <w:t>Espersen C et al.  ·  Lancet Healthy Longev  ·  17.09.2026  ·  PMID 42753782</w:t>
      </w:r>
    </w:p>
    <w:p>
      <w:r>
        <w:t>Dänische randomisierte Studie zu Wirksamkeit hochdosierter versus Standarddosis-Influenzaimpfung bei 332.438 älteren Personen (≥65 Jahre), stratifiziert nach Gebrechlichkeitsrisiko mittels Hospital Frailty Risk Score.</w:t>
      </w:r>
    </w:p>
    <w:p>
      <w:r>
        <w:rPr>
          <w:b/>
        </w:rPr>
        <w:t xml:space="preserve">Ergebnis: </w:t>
      </w:r>
      <w:r>
        <w:t>Bei Personen mit hohem Gebrechlichkeitsrisiko zeigte die hochdosierte Impfung eine relative Wirksamkeit von 19,9 % (95%-KI −10,3 bis 42,1) gegen Hospitalisierungen durch Influenza/Lungenentzündung versus 0,2 % (−10,8 bis 10,2) bei niedrigem Risiko; die Interaktion war jedoch nicht signifikant kategorisch (p=0,17), sodass die Autoren die Ergebnisse als explorativ einstufen.</w:t>
      </w:r>
    </w:p>
    <w:p>
      <w:r>
        <w:rPr>
          <w:b/>
          <w:sz w:val="19"/>
        </w:rPr>
        <w:t xml:space="preserve">Übertragbarkeit: </w:t>
      </w:r>
      <w:r>
        <w:rPr>
          <w:sz w:val="19"/>
        </w:rPr>
        <w:t>Dänische Gesundheitsdaten, europäisches System mit vergleichbarer Impfstoffverfügbarkeit.</w:t>
      </w:r>
    </w:p>
    <w:p>
      <w:r>
        <w:rPr>
          <w:color w:val="5A7D3A"/>
          <w:sz w:val="18"/>
        </w:rPr>
        <w:t>https://pubmed.ncbi.nlm.nih.gov/42753782/</w:t>
      </w:r>
    </w:p>
    <w:p>
      <w:pPr>
        <w:pStyle w:val="Heading2"/>
      </w:pPr>
      <w:r>
        <w:t>Kurzzeitige Prehabilitation vor elektiver Operation senkt Pflegebedürftigkeit bei gebrechlichen Älteren nicht</w:t>
      </w:r>
    </w:p>
    <w:p>
      <w:r>
        <w:rPr>
          <w:i/>
          <w:color w:val="666666"/>
          <w:sz w:val="18"/>
        </w:rPr>
        <w:t>Spies C et al.  ·  Lancet Healthy Longev  ·  15.09.2026  ·  PMID 42743945</w:t>
      </w:r>
    </w:p>
    <w:p>
      <w:r>
        <w:t>Deutschlandweite randomisierte Studie an 1.199 Personen (Alter ≥70 Jahre) mit Frailty oder Prefrailty zu Effekt einer 3-wöchigen supervidierten multimodalen Prehabilitation auf Pflegabhängigkeit 12 Monate postoperativ.</w:t>
      </w:r>
    </w:p>
    <w:p>
      <w:r>
        <w:rPr>
          <w:b/>
        </w:rPr>
        <w:t xml:space="preserve">Ergebnis: </w:t>
      </w:r>
      <w:r>
        <w:t>Keine signifikanten Unterschiede zwischen Prehabilitation und Standard-Care in der Veränderung der Langzeitpflegeabhängigkeit (ordinale Skala 0–5): mittlere Differenz −0,1 (95%-KI −0,25 bis 0,07; p=0,26); 32 Sicherheitsereignisse in der Interventionsgruppe, meist nicht kausal bezogen.</w:t>
      </w:r>
    </w:p>
    <w:p>
      <w:r>
        <w:rPr>
          <w:b/>
          <w:sz w:val="19"/>
        </w:rPr>
        <w:t xml:space="preserve">Übertragbarkeit: </w:t>
      </w:r>
      <w:r>
        <w:rPr>
          <w:sz w:val="19"/>
        </w:rPr>
        <w:t>Deutsche Klinikdaten, G-BA-finanziert, direkt auf deutsches Gesundheitssystem übertragbar.</w:t>
      </w:r>
    </w:p>
    <w:p>
      <w:r>
        <w:rPr>
          <w:color w:val="5A7D3A"/>
          <w:sz w:val="18"/>
        </w:rPr>
        <w:t>https://pubmed.ncbi.nlm.nih.gov/42743945/</w:t>
      </w:r>
    </w:p>
    <w:p>
      <w:pPr>
        <w:pStyle w:val="Heading2"/>
      </w:pPr>
      <w:r>
        <w:t>Wissenslücken in geriatrischen Kompetenzen im DACH-Raum: Demenz, Depression, Sarkopenie prioritär</w:t>
      </w:r>
    </w:p>
    <w:p>
      <w:r>
        <w:rPr>
          <w:i/>
          <w:color w:val="666666"/>
          <w:sz w:val="18"/>
        </w:rPr>
        <w:t>Honegger M et al.  ·  Z Gerontol Geriatr  ·  07.09.2026  ·  PMID 42704433</w:t>
      </w:r>
    </w:p>
    <w:p>
      <w:r>
        <w:t>Sekundäranalyse einer europäischen Online-Befragung: 291 Gesundheitsfachkräfte aus Deutschland, Österreich und der Schweiz wurden zu Selbsteinschätzung geriatrischer Kompetenz und Fortbildungsbedarf befragt und mit 5.134 Fachkräften aus übrigen europäischen Ländern verglichen.</w:t>
      </w:r>
    </w:p>
    <w:p>
      <w:r>
        <w:rPr>
          <w:b/>
        </w:rPr>
        <w:t xml:space="preserve">Ergebnis: </w:t>
      </w:r>
      <w:r>
        <w:t>DACH-Fachkräfte schätzten ihre geriatrischen Kenntnisse höher ein als Kollegen anderswo, zeigten aber substantielle Lücken in Demenz, Depression, chronischen Schmerzen, kognitiven Screenings und Sarkopenie; Fortbildungsbedarf überstieg selbst eingeschätzte Kompetenz in allen Ländern.</w:t>
      </w:r>
    </w:p>
    <w:p>
      <w:r>
        <w:rPr>
          <w:b/>
          <w:sz w:val="19"/>
        </w:rPr>
        <w:t xml:space="preserve">Übertragbarkeit: </w:t>
      </w:r>
      <w:r>
        <w:rPr>
          <w:sz w:val="19"/>
        </w:rPr>
        <w:t>DACH-Umfrage mit direktem Bezug zu deutschem, österreichischem und Schweizer Gesundheitswesen.</w:t>
      </w:r>
    </w:p>
    <w:p>
      <w:r>
        <w:rPr>
          <w:color w:val="5A7D3A"/>
          <w:sz w:val="18"/>
        </w:rPr>
        <w:t>https://pubmed.ncbi.nlm.nih.gov/42704433/</w:t>
      </w:r>
    </w:p>
    <w:p>
      <w:pPr>
        <w:pStyle w:val="Heading2"/>
      </w:pPr>
      <w:r>
        <w:t>Multikomponenten-Delirprogramme reduzieren Delirinzidenz um 44 % – Evidenzbasis und Implementierung</w:t>
      </w:r>
    </w:p>
    <w:p>
      <w:r>
        <w:rPr>
          <w:i/>
          <w:color w:val="666666"/>
          <w:sz w:val="18"/>
        </w:rPr>
        <w:t>Thomas C et al.  ·  Z Gerontol Geriatr  ·  25.08.2026  ·  PMID 42640287</w:t>
      </w:r>
    </w:p>
    <w:p>
      <w:r>
        <w:t>Narrativer Übersichtsartikel mit Darstellung der Evidenz zu nichtpharmakologischen Multikomponenten-Interventionen (HELP, ABCDE-Bundle, CHOPS, AKTIVER) in der Delirprävention und des Delirmanagements bei älteren Patienten.</w:t>
      </w:r>
    </w:p>
    <w:p>
      <w:r>
        <w:rPr>
          <w:b/>
        </w:rPr>
        <w:t xml:space="preserve">Ergebnis: </w:t>
      </w:r>
      <w:r>
        <w:t>Zwei 2026 publizierte Metaanalysen zeigen, dass multikomponentale nichtpharmakologische Programme die Delirinzidenz um 44 % reduzierten und Dauer bestehender Delire signifikant verkürzten; pharmakologische Strategien zeigten keinen konsistenten Nutzen außer Dexmedetomidin in ausgewählten perioperativen Settings; S3-Leitlinie empfiehlt strukturierte, interprofessionelle, personenzentrierte Delirprogramme als Standard.</w:t>
      </w:r>
    </w:p>
    <w:p>
      <w:r>
        <w:rPr>
          <w:b/>
          <w:sz w:val="19"/>
        </w:rPr>
        <w:t xml:space="preserve">Übertragbarkeit: </w:t>
      </w:r>
      <w:r>
        <w:rPr>
          <w:sz w:val="19"/>
        </w:rPr>
        <w:t>Deutsche S3-Leitlinie und deutsche Studienprogramme (AKTIVER), direkt übertragbar auf deutsches Versorgungssystem.</w:t>
      </w:r>
    </w:p>
    <w:p>
      <w:r>
        <w:rPr>
          <w:color w:val="5A7D3A"/>
          <w:sz w:val="18"/>
        </w:rPr>
        <w:t>https://pubmed.ncbi.nlm.nih.gov/42640287/</w:t>
      </w:r>
    </w:p>
    <w:p>
      <w:pPr>
        <w:pStyle w:val="Heading1"/>
      </w:pPr>
      <w:r>
        <w:t>Aufgenommen am 23.09.2026</w:t>
      </w:r>
    </w:p>
    <w:p>
      <w:pPr>
        <w:pStyle w:val="Heading2"/>
      </w:pPr>
      <w:r>
        <w:t>Todesursachen im Lebensverlauf in Südostasien: regionale Ungleichgewichte 2023</w:t>
      </w:r>
    </w:p>
    <w:p>
      <w:r>
        <w:rPr>
          <w:i/>
          <w:color w:val="666666"/>
          <w:sz w:val="18"/>
        </w:rPr>
        <w:t>GBD 2023 ASEAN Causes of Death Collaborators  ·  Lancet Public Health  ·  Okt. 2026  ·  PMID 42772298</w:t>
      </w:r>
    </w:p>
    <w:p>
      <w:r>
        <w:t>GBD-2023-Analyse der Todesursachen und Lebenserwartung von Geburt bis 70 Jahre in elf ASEAN-Ländern, stratifiziert nach Alter und Geschlecht.</w:t>
      </w:r>
    </w:p>
    <w:p>
      <w:r>
        <w:rPr>
          <w:b/>
        </w:rPr>
        <w:t xml:space="preserve">Ergebnis: </w:t>
      </w:r>
      <w:r>
        <w:t>Regionale Lebenserwartung 2023: 70,1 Jahre Männer (95%-UI 69,6–70,7), 76,2 Jahre Frauen (75,7–76,7); Range 62,1 Jahre (Myanmar, Männer) bis 87,5 Jahre (Singapur, Frauen). Unfallverletzungen führend in Adoleszenz/frühem Erwachsenenalter; nicht-übertragbare Krankheiten dominant in mittlerem Alter. Tabakkonsum dominierender Risikofaktor bei Männern, Hypertonie bei Frauen.</w:t>
      </w:r>
    </w:p>
    <w:p>
      <w:r>
        <w:rPr>
          <w:b/>
          <w:sz w:val="19"/>
        </w:rPr>
        <w:t xml:space="preserve">Übertragbarkeit: </w:t>
      </w:r>
      <w:r>
        <w:rPr>
          <w:sz w:val="19"/>
        </w:rPr>
        <w:t>Südostasien, breite Systeme mit unterschiedlicher Infrastruktur – Befunde zu Risiken und Disparitäten sind relevant</w:t>
      </w:r>
    </w:p>
    <w:p>
      <w:r>
        <w:rPr>
          <w:color w:val="5A7D3A"/>
          <w:sz w:val="18"/>
        </w:rPr>
        <w:t>https://pubmed.ncbi.nlm.nih.gov/42772298/</w:t>
      </w:r>
    </w:p>
    <w:p>
      <w:pPr>
        <w:pStyle w:val="Heading2"/>
      </w:pPr>
      <w:r>
        <w:t>Institutionelles geriatrisches Versorgungsmodell in Mexiko: GeriatrIMSS-Struktur und Ergebnisse</w:t>
      </w:r>
    </w:p>
    <w:p>
      <w:r>
        <w:rPr>
          <w:i/>
          <w:color w:val="666666"/>
          <w:sz w:val="18"/>
        </w:rPr>
        <w:t>Medina-Chávez JH et al.  ·  Rev Med Inst Mex Seguro Soc  ·  02.09.2026  ·  PMID 42771824</w:t>
      </w:r>
    </w:p>
    <w:p>
      <w:r>
        <w:t>Beschreibung des mexikanischen GeriatrIMSS-Modells, eines umfassenden institutionellen Plans der Seguridad Social zur Reaktion auf Alterung, Multimorbidität und nicht-übertragbare Krankheiten bei älteren Versicherten.</w:t>
      </w:r>
    </w:p>
    <w:p>
      <w:r>
        <w:rPr>
          <w:b/>
        </w:rPr>
        <w:t xml:space="preserve">Ergebnis: </w:t>
      </w:r>
      <w:r>
        <w:t>GeriatrIMSS beruht auf vier Säulen: Prävention (PREVENIMSS), umfassende geriatrische Versorgung, Bildung und Forschung. Modell stärkt operative Kapazitäten, reorientiert Prozesse und Services für ältere Menschen, verbessert Versorgungsqualität und Zufriedenheit bei Nutzern und Angehörigen – positioniert Mexiko international an Vorderfront der Altenpflege.</w:t>
      </w:r>
    </w:p>
    <w:p>
      <w:r>
        <w:rPr>
          <w:b/>
          <w:sz w:val="19"/>
        </w:rPr>
        <w:t xml:space="preserve">Übertragbarkeit: </w:t>
      </w:r>
      <w:r>
        <w:rPr>
          <w:sz w:val="19"/>
        </w:rPr>
        <w:t>Mexiko, Sozialversicherungssystem nicht direkt vergleichbar – Strukturideen zu sektorenübergreifender Integration sind relevant</w:t>
      </w:r>
    </w:p>
    <w:p>
      <w:r>
        <w:rPr>
          <w:color w:val="5A7D3A"/>
          <w:sz w:val="18"/>
        </w:rPr>
        <w:t>https://pubmed.ncbi.nlm.nih.gov/42771824/</w:t>
      </w:r>
    </w:p>
    <w:p>
      <w:pPr>
        <w:pStyle w:val="Heading2"/>
      </w:pPr>
      <w:r>
        <w:t>Stärkenorientierte Geriatrische Assessments: Reserve statt nur Defizite dokumentieren</w:t>
      </w:r>
    </w:p>
    <w:p>
      <w:r>
        <w:rPr>
          <w:i/>
          <w:color w:val="666666"/>
          <w:sz w:val="18"/>
        </w:rPr>
        <w:t>Cooke J et al.  ·  Age Ageing  ·  04.09.2026  ·  PMID 42771779</w:t>
      </w:r>
    </w:p>
    <w:p>
      <w:r>
        <w:t>Konzeptionelle Analyse zur Geriatrischen Comprehensive Assessment (CGA) und Frailty-Modellen in der britischen Geriatrie, die Möglichkeit einer reserve-fokussierten Ergänzung zu defizitorientierten Assessments.</w:t>
      </w:r>
    </w:p>
    <w:p>
      <w:r>
        <w:rPr>
          <w:b/>
        </w:rPr>
        <w:t xml:space="preserve">Ergebnis: </w:t>
      </w:r>
      <w:r>
        <w:t>CGA dokumentiert vorwiegend Beeinträchtigungen, nicht Kapazität und Reserve. Diese Fokussierung auf Defizite prägt Patientenidentität negativ. Stärkenorientierte Ansätze können Prognostizierung verbessern, Interventionen personalisieren und Patientenagentur unterstützen – ohne Risikoaufmerksamkeit aufzugeben.</w:t>
      </w:r>
    </w:p>
    <w:p>
      <w:r>
        <w:rPr>
          <w:b/>
          <w:sz w:val="19"/>
        </w:rPr>
        <w:t xml:space="preserve">Übertragbarkeit: </w:t>
      </w:r>
      <w:r>
        <w:rPr>
          <w:sz w:val="19"/>
        </w:rPr>
        <w:t>Großbritannien, konzeptuell auf alle europäischen Systeme übertragbar</w:t>
      </w:r>
    </w:p>
    <w:p>
      <w:r>
        <w:rPr>
          <w:color w:val="5A7D3A"/>
          <w:sz w:val="18"/>
        </w:rPr>
        <w:t>https://pubmed.ncbi.nlm.nih.gov/42771779/</w:t>
      </w:r>
    </w:p>
    <w:p>
      <w:pPr>
        <w:pStyle w:val="Heading2"/>
      </w:pPr>
      <w:r>
        <w:t>Benzolexposition und Psychische Störungen: Biologisches Altern als Vermittler</w:t>
      </w:r>
    </w:p>
    <w:p>
      <w:r>
        <w:rPr>
          <w:i/>
          <w:color w:val="666666"/>
          <w:sz w:val="18"/>
        </w:rPr>
        <w:t>Wu Y et al.  ·  Ecotoxicol Environ Saf  ·  15.09.2026  ·  PMID 42705027</w:t>
      </w:r>
    </w:p>
    <w:p>
      <w:r>
        <w:t>UK-Biobank-Kohortenstudie an 410.207 Personen zur Assoziation zwischen langjähriger Benzolexposition und psychiatrischen Störungen, mit beschleunigtem Altern (PhenoAge) als potenzieller Mediator.</w:t>
      </w:r>
    </w:p>
    <w:p>
      <w:r>
        <w:rPr>
          <w:b/>
        </w:rPr>
        <w:t xml:space="preserve">Ergebnis: </w:t>
      </w:r>
      <w:r>
        <w:t>Über 14,8 Jahre Nachbeobachtung: 64.270 Personen entwickelten psychiatrische Störungen. Jede Interquartilbereichs-Steigerung Benzol assoziiert mit erhöhtem Risiko für jede psychiatrische Störung (HR 1,040, 95%-KI 1,028–1,053) und multiple psychiatrische Störungen (HR 1,062, 1,039–1,086). Beschleunigtes PhenoAge vermittelte 7,85% (95%-KI 5,57–11,12%) der Assoziation bei jeder psychiatrischen Störung, 17,26% (9,01–80,54%) bei multiplen Störungen.</w:t>
      </w:r>
    </w:p>
    <w:p>
      <w:r>
        <w:rPr>
          <w:b/>
          <w:sz w:val="19"/>
        </w:rPr>
        <w:t xml:space="preserve">Übertragbarkeit: </w:t>
      </w:r>
      <w:r>
        <w:rPr>
          <w:sz w:val="19"/>
        </w:rPr>
        <w:t>UK-Biobank, Umweltdatenverfügbarkeit und Versicherungssystem nicht direkt übertragbar – Expositions-Gesundheitsmechanismus ist relevant</w:t>
      </w:r>
    </w:p>
    <w:p>
      <w:r>
        <w:rPr>
          <w:color w:val="5A7D3A"/>
          <w:sz w:val="18"/>
        </w:rPr>
        <w:t>https://pubmed.ncbi.nlm.nih.gov/42705027/</w:t>
      </w:r>
    </w:p>
    <w:p>
      <w:pPr>
        <w:pStyle w:val="Heading2"/>
      </w:pPr>
      <w:r>
        <w:t>Mobilitätsverlust und Einsamkeit im Alter: Lebenslange Folgen trotz Erholung</w:t>
      </w:r>
    </w:p>
    <w:p>
      <w:r>
        <w:rPr>
          <w:i/>
          <w:color w:val="666666"/>
          <w:sz w:val="18"/>
        </w:rPr>
        <w:t>Augustsson E et al.  ·  J Gerontol B Psychol Sci Soc Sci  ·  04.09.2026  ·  PMID 42554850</w:t>
      </w:r>
    </w:p>
    <w:p>
      <w:r>
        <w:t>Europäische Längsschnitt-Kohortenstudie (SHARE) an 4.109 Personen ab 65 Jahren mit neu aufgetretenen Mobilitätseinschränkungen, wovon 2.018 innerhalb von 2 Jahren genasen, zum Verlauf von Einsamkeit bis 4 Jahre später.</w:t>
      </w:r>
    </w:p>
    <w:p>
      <w:r>
        <w:rPr>
          <w:b/>
        </w:rPr>
        <w:t xml:space="preserve">Ergebnis: </w:t>
      </w:r>
      <w:r>
        <w:t>Einsamkeit stieg nach Mobilitätsverlust an. Personen mit anhaltenden Einschränkungen zeigten Weiterzunahme; genesene Personen stabilisierten sich, kehrten aber nicht zu Vorniveaus zurück. Frühe Interventionen zur Begrenzung von Mobilitätseinschränkungen könnten nachfolgende Einsamkeit reduzieren.</w:t>
      </w:r>
    </w:p>
    <w:p>
      <w:r>
        <w:rPr>
          <w:b/>
          <w:sz w:val="19"/>
        </w:rPr>
        <w:t xml:space="preserve">Übertragbarkeit: </w:t>
      </w:r>
      <w:r>
        <w:rPr>
          <w:sz w:val="19"/>
        </w:rPr>
        <w:t>Schweden/SHARE-Daten, vergleichbare europäische Gesundheitssysteme</w:t>
      </w:r>
    </w:p>
    <w:p>
      <w:r>
        <w:rPr>
          <w:color w:val="5A7D3A"/>
          <w:sz w:val="18"/>
        </w:rPr>
        <w:t>https://pubmed.ncbi.nlm.nih.gov/42554850/</w:t>
      </w:r>
    </w:p>
    <w:p>
      <w:pPr>
        <w:pStyle w:val="Heading2"/>
      </w:pPr>
      <w:r>
        <w:t>Europäische Sozialversicherung unter Druck: Versorgungskapazität statt Finanzierung als Engpass</w:t>
      </w:r>
    </w:p>
    <w:p>
      <w:r>
        <w:rPr>
          <w:i/>
          <w:color w:val="666666"/>
          <w:sz w:val="18"/>
        </w:rPr>
        <w:t>Jones CH et al.  ·  Drug Discov Today  ·  20.07.2026  ·  PMID 42476293</w:t>
      </w:r>
    </w:p>
    <w:p>
      <w:r>
        <w:t>Perspektivartikel zu Herausforderungen der europäischen Sozialversicherung durch demografische Alterung, Multimorbidität und Polypharmazie, mit 24–36-Monats-Agenda für Systemreformen.</w:t>
      </w:r>
    </w:p>
    <w:p>
      <w:r>
        <w:rPr>
          <w:b/>
        </w:rPr>
        <w:t xml:space="preserve">Ergebnis: </w:t>
      </w:r>
      <w:r>
        <w:t>Längeres Leben führt zu Multimorbidität, Polypharmazie, Demenz, Mobilitätsverlust – Versorgungskapazität wird zum Engpass statt Finanzierbarkeit. Vier zentrale Reformmaßnahmen: (1) Professionalisierung der Langzeitpflegekräfte, (2) Apotheker-geführte Medikamentenüberprüfung, (3) Ausbau von Heim- und Übergangspflege, (4) integrierte Entlassungszusammenfassungen und Medikamentenlisten über Sektoren hinweg als Routine.</w:t>
      </w:r>
    </w:p>
    <w:p>
      <w:r>
        <w:rPr>
          <w:b/>
          <w:sz w:val="19"/>
        </w:rPr>
        <w:t xml:space="preserve">Übertragbarkeit: </w:t>
      </w:r>
      <w:r>
        <w:rPr>
          <w:sz w:val="19"/>
        </w:rPr>
        <w:t>Europa, konzeptuell auf deutsche Sozialversicherung direkt übertragbar</w:t>
      </w:r>
    </w:p>
    <w:p>
      <w:r>
        <w:rPr>
          <w:color w:val="5A7D3A"/>
          <w:sz w:val="18"/>
        </w:rPr>
        <w:t>https://pubmed.ncbi.nlm.nih.gov/42476293/</w:t>
      </w:r>
    </w:p>
    <w:p>
      <w:pPr>
        <w:pStyle w:val="Heading1"/>
      </w:pPr>
      <w:r>
        <w:t>Aufgenommen am 22.09.2026</w:t>
      </w:r>
    </w:p>
    <w:p>
      <w:pPr>
        <w:pStyle w:val="Heading2"/>
      </w:pPr>
      <w:r>
        <w:t>Instrumente zur Erfassung der intrinsic capacity im Alter: Scoping Review und Bewertung</w:t>
      </w:r>
    </w:p>
    <w:p>
      <w:r>
        <w:rPr>
          <w:i/>
          <w:color w:val="666666"/>
          <w:sz w:val="18"/>
        </w:rPr>
        <w:t>Henrotin Y et al.  ·  Age Ageing  ·  04.09.2026  ·  PMID 42765723</w:t>
      </w:r>
    </w:p>
    <w:p>
      <w:r>
        <w:t>Scoping Review identifizierte 61 validierte Instrumente zur Messung der intrinsic capacity (körperliche und mentale Fähigkeiten) älterer Erwachsener über fünf Domänen (kognitiv, kardiopulmonal, lokomotorerisch, psychisch, sensorisch).</w:t>
      </w:r>
    </w:p>
    <w:p>
      <w:r>
        <w:rPr>
          <w:b/>
        </w:rPr>
        <w:t xml:space="preserve">Ergebnis: </w:t>
      </w:r>
      <w:r>
        <w:t>Nur zwei Instrumente (GAD-7, EUROQOL-5D) erreichten maximale Expertenratings. Erhebliche Lücken bei der Erfassung sensorischer Fähigkeiten. Sehr wenige Instrumente waren für Erwachsene unter 60 Jahren geeignet. Heterogenität in Gültigkeit und Anwendbarkeit deutet auf Bedarf für entwicklung eines umfassenden, standardisierten Assessment-Tools hin.</w:t>
      </w:r>
    </w:p>
    <w:p>
      <w:r>
        <w:rPr>
          <w:b/>
          <w:sz w:val="19"/>
        </w:rPr>
        <w:t xml:space="preserve">Übertragbarkeit: </w:t>
      </w:r>
      <w:r>
        <w:rPr>
          <w:sz w:val="19"/>
        </w:rPr>
        <w:t>Europäische und nordamerikanische Kohorten; transferierbar auf deutschsprachige Versorgung</w:t>
      </w:r>
    </w:p>
    <w:p>
      <w:r>
        <w:rPr>
          <w:color w:val="5A7D3A"/>
          <w:sz w:val="18"/>
        </w:rPr>
        <w:t>https://pubmed.ncbi.nlm.nih.gov/42765723/</w:t>
      </w:r>
    </w:p>
    <w:p>
      <w:pPr>
        <w:pStyle w:val="Heading2"/>
      </w:pPr>
      <w:r>
        <w:t>Gefäßalterung: Funktionsmarker vorhersagen kardiovaskuläres Risiko unabhängig vom Alter</w:t>
      </w:r>
    </w:p>
    <w:p>
      <w:r>
        <w:rPr>
          <w:i/>
          <w:color w:val="666666"/>
          <w:sz w:val="18"/>
        </w:rPr>
        <w:t>Yang L et al.  ·  J Clin Hypertens (Greenwich)  ·  Sept. 2026  ·  PMID 42730543</w:t>
      </w:r>
    </w:p>
    <w:p>
      <w:r>
        <w:t>Querschnittsstudie an 3.354 chinesischen Erwachsenen (18–80 Jahre) untersuchte, ob Pulsdruckanalyse-Parameter (SEVR, Augmentationsdruck, Augmentationsindex) mit dem 10-Jahres-ASCVD-Risiko assoziiert sind.</w:t>
      </w:r>
    </w:p>
    <w:p>
      <w:r>
        <w:rPr>
          <w:b/>
        </w:rPr>
        <w:t xml:space="preserve">Ergebnis: </w:t>
      </w:r>
      <w:r>
        <w:t>SEVR, AP und Aix@75 korrelierten unabhängig mit geschätztem 10-Jahres-ASCVD-Risiko (alle p&lt;0,001). Das Modell erklärte zusätzliche Varianz über traditionelle Risikofaktoren hinaus. Funktionale hämodynamische Marker könnten Risikoschichtung in der Praxis verbessern.</w:t>
      </w:r>
    </w:p>
    <w:p>
      <w:r>
        <w:rPr>
          <w:b/>
          <w:sz w:val="19"/>
        </w:rPr>
        <w:t xml:space="preserve">Übertragbarkeit: </w:t>
      </w:r>
      <w:r>
        <w:rPr>
          <w:sz w:val="19"/>
        </w:rPr>
        <w:t>Chinesische Bevölkerungsdaten; Validierung in europäischen Kohorten notwendig vor Übernahme</w:t>
      </w:r>
    </w:p>
    <w:p>
      <w:r>
        <w:rPr>
          <w:color w:val="5A7D3A"/>
          <w:sz w:val="18"/>
        </w:rPr>
        <w:t>https://pubmed.ncbi.nlm.nih.gov/42730543/</w:t>
      </w:r>
    </w:p>
    <w:p>
      <w:pPr>
        <w:pStyle w:val="Heading2"/>
      </w:pPr>
      <w:r>
        <w:t>Regulierung kognitiver Kompetenz älterer Ärzte: Versorgungspolitische Analyse G7-Länder</w:t>
      </w:r>
    </w:p>
    <w:p>
      <w:r>
        <w:rPr>
          <w:i/>
          <w:color w:val="666666"/>
          <w:sz w:val="18"/>
        </w:rPr>
        <w:t>Potter M et al.  ·  JAMA Health Forum  ·  04.09.2026  ·  PMID 42726493</w:t>
      </w:r>
    </w:p>
    <w:p>
      <w:r>
        <w:t>Vergleichende Analyse von Regulierungsrichtlinien für altersbedingte kognitive Beeinträchtigung bei Ärzten in USA, Kanada und fünf anderen G7-Ländern.</w:t>
      </w:r>
    </w:p>
    <w:p>
      <w:r>
        <w:rPr>
          <w:b/>
        </w:rPr>
        <w:t xml:space="preserve">Ergebnis: </w:t>
      </w:r>
      <w:r>
        <w:t>Kein G7-Land hat standardisierte nationale Verfahren zur kognitiven Screening älterer Ärzte. Meisten Länder verlassen sich auf Selbstregulation und kollegiale Aufsicht. Ausnahmen in USA mit einzelnen Gesundheitssystemen mit obligatorischen altersabhängigen kognitiven Bewertungen. Im Kontrast: Richter, Piloten und Flugsicherung in allen G7-Ländern haben Altersgrenzen oder verpflichtende Tests. Keine empirischen Standards etabliert.</w:t>
      </w:r>
    </w:p>
    <w:p>
      <w:r>
        <w:rPr>
          <w:b/>
          <w:sz w:val="19"/>
        </w:rPr>
        <w:t xml:space="preserve">Übertragbarkeit: </w:t>
      </w:r>
      <w:r>
        <w:rPr>
          <w:sz w:val="19"/>
        </w:rPr>
        <w:t>Alle G7-Länder untersucht; direkt auf Deutschland übertragbar</w:t>
      </w:r>
    </w:p>
    <w:p>
      <w:r>
        <w:rPr>
          <w:color w:val="5A7D3A"/>
          <w:sz w:val="18"/>
        </w:rPr>
        <w:t>https://pubmed.ncbi.nlm.nih.gov/42726493/</w:t>
      </w:r>
    </w:p>
    <w:p>
      <w:pPr>
        <w:pStyle w:val="Heading2"/>
      </w:pPr>
      <w:r>
        <w:t>Blutdruckveränderungen in der Menopause: vergleichbare Muster zwischen Industrieländern und traditionellen Gesellschaften</w:t>
      </w:r>
    </w:p>
    <w:p>
      <w:r>
        <w:rPr>
          <w:i/>
          <w:color w:val="666666"/>
          <w:sz w:val="18"/>
        </w:rPr>
        <w:t>Getz MJ et al.  ·  Am J Biol Anthropol  ·  Juli 2026  ·  PMID 42482412</w:t>
      </w:r>
    </w:p>
    <w:p>
      <w:r>
        <w:t>Vergleich von Blutdrucktrends rund um die Menopause bei 5.570 Tsimane-Frauen (Bolivien) mit 6.861 US-Frauen aus NHANES.</w:t>
      </w:r>
    </w:p>
    <w:p>
      <w:r>
        <w:rPr>
          <w:b/>
        </w:rPr>
        <w:t xml:space="preserve">Ergebnis: </w:t>
      </w:r>
      <w:r>
        <w:t>Systolischer Blutdruck nach Menopause erhöht sich in beiden Populationen ähnlich (b=0,002, p&lt;0,001). Tsimane-Frauen zeigten schnelleren Anstieg mit Alter und weniger dramatischen diastolischen Rückgang. Östrogenkonzentrationen mediierten Effekte nicht. Blutdruckveränderungen in der Menopause sind trotz unterschiedlicher Risikoprofile universal.</w:t>
      </w:r>
    </w:p>
    <w:p>
      <w:r>
        <w:rPr>
          <w:b/>
          <w:sz w:val="19"/>
        </w:rPr>
        <w:t xml:space="preserve">Übertragbarkeit: </w:t>
      </w:r>
      <w:r>
        <w:rPr>
          <w:sz w:val="19"/>
        </w:rPr>
        <w:t>USA und Südamerika, aber universales biologisches Phänomen; epidemiologische Unterschiede relevant</w:t>
      </w:r>
    </w:p>
    <w:p>
      <w:r>
        <w:rPr>
          <w:color w:val="5A7D3A"/>
          <w:sz w:val="18"/>
        </w:rPr>
        <w:t>https://pubmed.ncbi.nlm.nih.gov/42482412/</w:t>
      </w:r>
    </w:p>
    <w:p>
      <w:pPr>
        <w:pStyle w:val="Heading2"/>
      </w:pPr>
      <w:r>
        <w:t>Auditorische Codierung mit Altern: Cochleäre Synaptopathie führt zu Diskriminationsverlust bei Hörstörung</w:t>
      </w:r>
    </w:p>
    <w:p>
      <w:r>
        <w:rPr>
          <w:i/>
          <w:color w:val="666666"/>
          <w:sz w:val="18"/>
        </w:rPr>
        <w:t>Wouters M et al.  ·  Hear Res  ·  18.07.2026  ·  PMID 42475780</w:t>
      </w:r>
    </w:p>
    <w:p>
      <w:r>
        <w:t>EEG-Studie an jüngeren und älteren Erwachsenen mit und ohne Hörstörung untersucht Phonem-Diskrimination und elektrophysiologische Marker der peripheren Codierung (Envelope-Following Responses).</w:t>
      </w:r>
    </w:p>
    <w:p>
      <w:r>
        <w:rPr>
          <w:b/>
        </w:rPr>
        <w:t xml:space="preserve">Ergebnis: </w:t>
      </w:r>
      <w:r>
        <w:t>RAM-EFR-Amplituden nahmen graduell mit Alter ab (konsistent mit Synaptopathie). Phonem-Kontrastdiskrimination verschlechterte sich bei hochfrequenter Codierung mit OHC-Verlust und Alter (p&lt;0,05), nicht aber bei niederfrequenter Codierung. EFR-Rückgang bei hochfrequenten Hinweisen ohne Wahrnehmungsverlust erklärt divergente Muster zwischen Elektrophysiologie und Verhalten. Frühere Diagnose versteckter Hörverluste möglich.</w:t>
      </w:r>
    </w:p>
    <w:p>
      <w:r>
        <w:rPr>
          <w:b/>
          <w:sz w:val="19"/>
        </w:rPr>
        <w:t xml:space="preserve">Übertragbarkeit: </w:t>
      </w:r>
      <w:r>
        <w:rPr>
          <w:sz w:val="19"/>
        </w:rPr>
        <w:t>Belgien und Deutschland; validierte psychophysiologische Methoden übertragbar</w:t>
      </w:r>
    </w:p>
    <w:p>
      <w:r>
        <w:rPr>
          <w:color w:val="5A7D3A"/>
          <w:sz w:val="18"/>
        </w:rPr>
        <w:t>https://pubmed.ncbi.nlm.nih.gov/42475780/</w:t>
      </w:r>
    </w:p>
    <w:p>
      <w:pPr>
        <w:pStyle w:val="Heading2"/>
      </w:pPr>
      <w:r>
        <w:t>Netzhautalterung: OCT-Biomarker zeigen oxidativen Stress in der Makula älterer Menschen</w:t>
      </w:r>
    </w:p>
    <w:p>
      <w:r>
        <w:rPr>
          <w:i/>
          <w:color w:val="666666"/>
          <w:sz w:val="18"/>
        </w:rPr>
        <w:t>Berkowitz BA et al.  ·  Invest Ophthalmol Vis Sci  ·  01.07.2026  ·  PMID 42474423</w:t>
      </w:r>
    </w:p>
    <w:p>
      <w:r>
        <w:t>Querschnittsstudie bei 25 jungen (20–30 Jahre) und 13 älteren (70–90 Jahre) Erwachsenen verglich OCT-basierte Metabolismus-Biomarker (ELM-RPE-Dicke, Band-2-Profilform) als Proxy für Retina-Alterung.</w:t>
      </w:r>
    </w:p>
    <w:p>
      <w:r>
        <w:rPr>
          <w:b/>
        </w:rPr>
        <w:t xml:space="preserve">Ergebnis: </w:t>
      </w:r>
      <w:r>
        <w:t>Ältere Erwachsene zeigten ELM-RPE-Kontraktion in Fovea und Parafovea (konsistent mit oxidativem Stress und verzögerter Dunkeladaptation aus vorherigen Studien). Band-2-Profilform unterschied sich nicht zwischen Altersgruppen. ELM-RPE-Kontraktion ist konsistent mit subretinalem oxidativen Stress und gestörter Retinoid-Signalisierung. Translationaler Ansatz OCT-Biomarker könnte nicht-invasive Überwachung der Netzhautalterung ermöglichen.</w:t>
      </w:r>
    </w:p>
    <w:p>
      <w:r>
        <w:rPr>
          <w:b/>
          <w:sz w:val="19"/>
        </w:rPr>
        <w:t xml:space="preserve">Übertragbarkeit: </w:t>
      </w:r>
      <w:r>
        <w:rPr>
          <w:sz w:val="19"/>
        </w:rPr>
        <w:t>USA; methodisch auf deutsche Augenkliniken übertragbar, aber klinische Validierung notwendig</w:t>
      </w:r>
    </w:p>
    <w:p>
      <w:r>
        <w:rPr>
          <w:color w:val="5A7D3A"/>
          <w:sz w:val="18"/>
        </w:rPr>
        <w:t>https://pubmed.ncbi.nlm.nih.gov/42474423/</w:t>
      </w:r>
    </w:p>
    <w:p>
      <w:pPr>
        <w:pStyle w:val="Heading1"/>
      </w:pPr>
      <w:r>
        <w:t>Aufgenommen am 21.09.2026</w:t>
      </w:r>
    </w:p>
    <w:p>
      <w:pPr>
        <w:pStyle w:val="Heading2"/>
      </w:pPr>
      <w:r>
        <w:t>Hörtechnik und Lebensqualität im höheren Alter nach Cochlea-Implantat</w:t>
      </w:r>
    </w:p>
    <w:p>
      <w:r>
        <w:rPr>
          <w:i/>
          <w:color w:val="666666"/>
          <w:sz w:val="18"/>
        </w:rPr>
        <w:t>Deniz H  ·  J Am Acad Audiol  ·  01.07.2026  ·  PMID 42763618</w:t>
      </w:r>
    </w:p>
    <w:p>
      <w:r>
        <w:t>Vergleichsstudie jüngerer (40–59 J.) und älterer (≥60 J.) Patienten mit Cochlea-Implantaten zu Hörtauglichkeit und Lebensqualität.</w:t>
      </w:r>
    </w:p>
    <w:p>
      <w:r>
        <w:rPr>
          <w:b/>
        </w:rPr>
        <w:t xml:space="preserve">Ergebnis: </w:t>
      </w:r>
      <w:r>
        <w:t>Ältere Patienten zeigten signifikant schlechtere Hörtests (p&lt;0,05) und niedrigere Werte in allen WHOQOL-BREF-Dimensionen (p&lt;0,05); keine Unterschiede in Depression (p=0,198). Depressionsebenen unterschieden sich nicht, was darauf hindeutet, dass psychische Anpassung dem Hörverlust voraus ist.</w:t>
      </w:r>
    </w:p>
    <w:p>
      <w:r>
        <w:rPr>
          <w:b/>
          <w:sz w:val="19"/>
        </w:rPr>
        <w:t xml:space="preserve">Übertragbarkeit: </w:t>
      </w:r>
      <w:r>
        <w:rPr>
          <w:sz w:val="19"/>
        </w:rPr>
        <w:t>Türkei – vergleichbares Audiologen-System, aber Implantationsrichtlinien können regional variieren; Versorgungsansatz übertragbar.</w:t>
      </w:r>
    </w:p>
    <w:p>
      <w:r>
        <w:rPr>
          <w:color w:val="5A7D3A"/>
          <w:sz w:val="18"/>
        </w:rPr>
        <w:t>https://pubmed.ncbi.nlm.nih.gov/42763618/</w:t>
      </w:r>
    </w:p>
    <w:p>
      <w:pPr>
        <w:pStyle w:val="Heading2"/>
      </w:pPr>
      <w:r>
        <w:t>Frailty bei Kindern mit chronischer Nierenerkrankung – Reversibilität als klinisches Fenster</w:t>
      </w:r>
    </w:p>
    <w:p>
      <w:r>
        <w:rPr>
          <w:i/>
          <w:color w:val="666666"/>
          <w:sz w:val="18"/>
        </w:rPr>
        <w:t>Chan EY et al.  ·  Kidney Int  ·  Okt. 2026  ·  PMID 42760017</w:t>
      </w:r>
    </w:p>
    <w:p>
      <w:r>
        <w:t>Kommentar zur Unterscheidung pädiatrischer Frailty von adulter Gebrechlichkeit und zum Potenzial, durch frühe Erkennung und multidisziplinäre Intervention die Entwicklung wiederherzustellen.</w:t>
      </w:r>
    </w:p>
    <w:p>
      <w:r>
        <w:rPr>
          <w:b/>
        </w:rPr>
        <w:t xml:space="preserve">Ergebnis: </w:t>
      </w:r>
      <w:r>
        <w:t>Im Gegensatz zu Erwachsenen kann Frailty bei Kindern mit chronischer Nierenerkrankung reversibel sein und sollte als Verlust von Entwicklungspotenzial statt Funktionsverlust verstanden werden. Frühe standardisierte Screening und Intervention können Wachstum und Resilienz wiederherstellen.</w:t>
      </w:r>
    </w:p>
    <w:p>
      <w:r>
        <w:rPr>
          <w:b/>
          <w:sz w:val="19"/>
        </w:rPr>
        <w:t xml:space="preserve">Übertragbarkeit: </w:t>
      </w:r>
      <w:r>
        <w:rPr>
          <w:sz w:val="19"/>
        </w:rPr>
        <w:t>Grundlegende Konzepte übertragbar; Altersadaptation notwendig – deutsche Pädiatrie und Nephrologie relevant.</w:t>
      </w:r>
    </w:p>
    <w:p>
      <w:r>
        <w:rPr>
          <w:color w:val="5A7D3A"/>
          <w:sz w:val="18"/>
        </w:rPr>
        <w:t>https://pubmed.ncbi.nlm.nih.gov/42760017/</w:t>
      </w:r>
    </w:p>
    <w:p>
      <w:pPr>
        <w:pStyle w:val="Heading2"/>
      </w:pPr>
      <w:r>
        <w:t>Selbstmitgefühl und Selbstwirksamkeit als Prädiktoren für Gesundheitsverhalten und Lebensqualität im Alter</w:t>
      </w:r>
    </w:p>
    <w:p>
      <w:r>
        <w:rPr>
          <w:i/>
          <w:color w:val="666666"/>
          <w:sz w:val="18"/>
        </w:rPr>
        <w:t>Alaca N et al.  ·  PLoS One  ·  16.09.2026  ·  PMID 42748085</w:t>
      </w:r>
    </w:p>
    <w:p>
      <w:r>
        <w:t>Querschnittstudie an 179 älteren Türken (≥65 J.) zu Assoziationen von Selbstmitgefühl, Selbstwirksamkeit mit Schmerz, Bewegungsachtsamkeit, Gesundheitsverhalten und Lebensqualität.</w:t>
      </w:r>
    </w:p>
    <w:p>
      <w:r>
        <w:rPr>
          <w:b/>
        </w:rPr>
        <w:t xml:space="preserve">Ergebnis: </w:t>
      </w:r>
      <w:r>
        <w:t>Selbstwirksamkeit sagte konsistent über alle Ergebnisse voraus: Im finalen Modell für Lebensqualität (R²=0,614) waren Selbstwirksamkeit (β=0,340), Schmerz (β=−0,346), Gesundheitsverantwortung (β=0,328) signifikant. Selbstmitgefühl war stärkster Prädiktor für Ernährung (β=0,436), Bewegungsachtsamkeit für Stressabbau (β=0,300).</w:t>
      </w:r>
    </w:p>
    <w:p>
      <w:r>
        <w:rPr>
          <w:b/>
          <w:sz w:val="19"/>
        </w:rPr>
        <w:t xml:space="preserve">Übertragbarkeit: </w:t>
      </w:r>
      <w:r>
        <w:rPr>
          <w:sz w:val="19"/>
        </w:rPr>
        <w:t>Türkei – Kultur und Versorgungsstruktur unterscheiden sich von Deutschland; psychosoziale Faktoren sind universell.</w:t>
      </w:r>
    </w:p>
    <w:p>
      <w:r>
        <w:rPr>
          <w:color w:val="5A7D3A"/>
          <w:sz w:val="18"/>
        </w:rPr>
        <w:t>https://pubmed.ncbi.nlm.nih.gov/42748085/</w:t>
      </w:r>
    </w:p>
    <w:p>
      <w:pPr>
        <w:pStyle w:val="Heading2"/>
      </w:pPr>
      <w:r>
        <w:t>Frailty-Dynamik und Herzinfarktrisiko bei älteren Diabetikern</w:t>
      </w:r>
    </w:p>
    <w:p>
      <w:r>
        <w:rPr>
          <w:i/>
          <w:color w:val="666666"/>
          <w:sz w:val="18"/>
        </w:rPr>
        <w:t>Li Y et al.  ·  Zhonghua Yu Fang Yi Xue Za Zhi  ·  06.09.2026  ·  PMID 42736150</w:t>
      </w:r>
    </w:p>
    <w:p>
      <w:r>
        <w:t>Zwei-Kohorten-Studie (China, England) zur Assoziation von Frailty-Übergängen mit kardiovaskulärem Risiko bei älteren Menschen mit Diabetes.</w:t>
      </w:r>
    </w:p>
    <w:p>
      <w:r>
        <w:rPr>
          <w:b/>
        </w:rPr>
        <w:t xml:space="preserve">Ergebnis: </w:t>
      </w:r>
      <w:r>
        <w:t>Im Vergleich zur Gruppe "robust→robust" zeigten "präfrail→frail" (HR 2,04; 95%CI 1,66–2,51) und "frail→frail" (HR 2,03; 95%CI 1,63–2,53) signifikant erhöhte Herzinfarktrisiken (p&lt;0,001). Assoziationen blieben unter Konkurrenzrisiko-Modellen robust. Frailty-Verschlechterung war unabhängig von Altersgruppe prädiktiv.</w:t>
      </w:r>
    </w:p>
    <w:p>
      <w:r>
        <w:rPr>
          <w:b/>
          <w:sz w:val="19"/>
        </w:rPr>
        <w:t xml:space="preserve">Übertragbarkeit: </w:t>
      </w:r>
      <w:r>
        <w:rPr>
          <w:sz w:val="19"/>
        </w:rPr>
        <w:t>Zwei-Länder-Meta-Analyse (China, UK), aber Diabetes-Prävalenz und Management unterscheiden sich; Frailty-Messung ist system-übertragbar.</w:t>
      </w:r>
    </w:p>
    <w:p>
      <w:r>
        <w:rPr>
          <w:color w:val="5A7D3A"/>
          <w:sz w:val="18"/>
        </w:rPr>
        <w:t>https://pubmed.ncbi.nlm.nih.gov/42736150/</w:t>
      </w:r>
    </w:p>
    <w:p>
      <w:pPr>
        <w:pStyle w:val="Heading2"/>
      </w:pPr>
      <w:r>
        <w:t>Immunseneszenz modifiziert strahleninduzierte Antitumorimmunität im älteren Alter</w:t>
      </w:r>
    </w:p>
    <w:p>
      <w:r>
        <w:rPr>
          <w:i/>
          <w:color w:val="666666"/>
          <w:sz w:val="18"/>
        </w:rPr>
        <w:t>Arnold CR et al.  ·  Front Immunol  ·  10.07.2026  ·  PMID 42500670</w:t>
      </w:r>
    </w:p>
    <w:p>
      <w:r>
        <w:t>Narrative Übersicht zur Rolle von Immunseneszenz bei der Abschwächung strahleninduzierter Anti-Tumor-Effekte im höheren Alter.</w:t>
      </w:r>
    </w:p>
    <w:p>
      <w:r>
        <w:rPr>
          <w:b/>
        </w:rPr>
        <w:t xml:space="preserve">Ergebnis: </w:t>
      </w:r>
      <w:r>
        <w:t>Immunseneszenz – charakterisiert durch reduzierte T-Zell-Responsivität, chronische Entzündung und schlechtere Koordination zwischen Immuneffektoren – vermindert wahrscheinlich die Anti-Tumor-Potenz der Strahlentherapie bei älteren Patienten. Die Autoren betonen, dass Biomarker der Immunseneszenz in die Therapieplanung integriert werden sollten.</w:t>
      </w:r>
    </w:p>
    <w:p>
      <w:r>
        <w:rPr>
          <w:b/>
          <w:sz w:val="19"/>
        </w:rPr>
        <w:t xml:space="preserve">Übertragbarkeit: </w:t>
      </w:r>
      <w:r>
        <w:rPr>
          <w:sz w:val="19"/>
        </w:rPr>
        <w:t>Europäische Perspektive (Austria, Germany); Immunseneszenz ist universell, aber Therapiezugang variiert mit Gesundheitssystem.</w:t>
      </w:r>
    </w:p>
    <w:p>
      <w:r>
        <w:rPr>
          <w:color w:val="5A7D3A"/>
          <w:sz w:val="18"/>
        </w:rPr>
        <w:t>https://pubmed.ncbi.nlm.nih.gov/42500670/</w:t>
      </w:r>
    </w:p>
    <w:p>
      <w:pPr>
        <w:pStyle w:val="Heading2"/>
      </w:pPr>
      <w:r>
        <w:t>Wachstumsmindset und Ausdauer als psychologische Ressourcen im Alter – soziale Muster in England</w:t>
      </w:r>
    </w:p>
    <w:p>
      <w:r>
        <w:rPr>
          <w:i/>
          <w:color w:val="666666"/>
          <w:sz w:val="18"/>
        </w:rPr>
        <w:t>Zaninotto P et al.  ·  J Gerontol B Psychol Sci Soc Sci  ·  04.09.2026  ·  PMID 42438156</w:t>
      </w:r>
    </w:p>
    <w:p>
      <w:r>
        <w:t>Analyse von Proxy-Indikatoren für Wachstumsmindset und Ausdauer (Grit) in der English Longitudinal Study of Ageing (n≥6000) zu Verteilung nach Alter, Sozioökonomie und Gesundheit.</w:t>
      </w:r>
    </w:p>
    <w:p>
      <w:r>
        <w:rPr>
          <w:b/>
        </w:rPr>
        <w:t xml:space="preserve">Ergebnis: </w:t>
      </w:r>
      <w:r>
        <w:t>Älteres Alter war mit niedrigerem Wachstumsmindset assoziiert, besonders in Bildungs- und Überzeugungsdomänen. Höhere Bildung, Beschäftigung und Vermögen waren mit günstigeren Profilen assoziiert. Einsamkeit und chronische Krankheit waren konsistent mit ungünstigeren Profilen verbunden; die Effekte waren domänenspezifisch, nicht universal.</w:t>
      </w:r>
    </w:p>
    <w:p>
      <w:r>
        <w:rPr>
          <w:b/>
          <w:sz w:val="19"/>
        </w:rPr>
        <w:t xml:space="preserve">Übertragbarkeit: </w:t>
      </w:r>
      <w:r>
        <w:rPr>
          <w:sz w:val="19"/>
        </w:rPr>
        <w:t>England – englischsprachige Gesellschaft, aber Sozialstruktur und Sicherungssystem unterscheiden; psychologische Konstrukte sind übertragbar.</w:t>
      </w:r>
    </w:p>
    <w:p>
      <w:r>
        <w:rPr>
          <w:color w:val="5A7D3A"/>
          <w:sz w:val="18"/>
        </w:rPr>
        <w:t>https://pubmed.ncbi.nlm.nih.gov/42438156/</w:t>
      </w:r>
    </w:p>
    <w:p>
      <w:pPr>
        <w:pStyle w:val="Heading2"/>
      </w:pPr>
      <w:r>
        <w:t>Xanthophyll-Carotenoid-Aufnahme und Netzhautgesundheit im Alter und Makuladegeneration</w:t>
      </w:r>
    </w:p>
    <w:p>
      <w:r>
        <w:rPr>
          <w:i/>
          <w:color w:val="666666"/>
          <w:sz w:val="18"/>
        </w:rPr>
        <w:t>Curcio CA et al.  ·  Invest Ophthalmol Vis Sci  ·  01.07.2026  ·  PMID 42411867</w:t>
      </w:r>
    </w:p>
    <w:p>
      <w:r>
        <w:t>Querschnittstudie an 369 Personen (≥63 J.) zur Assoziation von Lutein- und Zeaxanthin-Aufnahme (Diät + Supplemente), Plasmaspiegel und retinaler Pigmentdichte mit Alter und altersbedingter Makuladegeneration.</w:t>
      </w:r>
    </w:p>
    <w:p>
      <w:r>
        <w:rPr>
          <w:b/>
        </w:rPr>
        <w:t xml:space="preserve">Ergebnis: </w:t>
      </w:r>
      <w:r>
        <w:t>Zwischen Plasmaspiegel und macularem Pigment-Optischem-Volumen (MPOV) zeigten sich starke Korrelationen (r=0,41–0,67, p&lt;0,01). Patienten mit intermediärer AMD hatten höhere Supplementnutzung (56% vs. 10%), höhere Gesamtaufnahme (11,0±8,3 vs. 5,3±6,4 mg/d, p&lt;0,01) und MPOV (1,33±0,61 vs. 1,04±0,46). Diätaufnahme unterschied sich nicht zwischen Gruppen.</w:t>
      </w:r>
    </w:p>
    <w:p>
      <w:r>
        <w:rPr>
          <w:b/>
          <w:sz w:val="19"/>
        </w:rPr>
        <w:t xml:space="preserve">Übertragbarkeit: </w:t>
      </w:r>
      <w:r>
        <w:rPr>
          <w:sz w:val="19"/>
        </w:rPr>
        <w:t>USA – Nahrungsverfügbarkeit und Supplementierungskultur unterscheiden; aber Optik und Physiologie sind universal.</w:t>
      </w:r>
    </w:p>
    <w:p>
      <w:r>
        <w:rPr>
          <w:color w:val="5A7D3A"/>
          <w:sz w:val="18"/>
        </w:rPr>
        <w:t>https://pubmed.ncbi.nlm.nih.gov/42411867/</w:t>
      </w:r>
    </w:p>
    <w:p>
      <w:pPr>
        <w:pStyle w:val="Heading1"/>
      </w:pPr>
      <w:r>
        <w:t>Aufgenommen am 20.09.2026</w:t>
      </w:r>
    </w:p>
    <w:p>
      <w:pPr>
        <w:pStyle w:val="Heading2"/>
      </w:pPr>
      <w:r>
        <w:t>Exergaming mit Widerstandstraining verbessert Selbstwirksamkeit und Aktivität bei kognitiver Gebrechlichkeit</w:t>
      </w:r>
    </w:p>
    <w:p>
      <w:r>
        <w:rPr>
          <w:i/>
          <w:color w:val="666666"/>
          <w:sz w:val="18"/>
        </w:rPr>
        <w:t>Ning H et al.  ·  Zhong Nan Da Xue Xue Bao Yi Xue Ban  ·  28.07.2026  ·  PMID 42763302</w:t>
      </w:r>
    </w:p>
    <w:p>
      <w:r>
        <w:t>Randomisierte Studie zu 12-wöchigem Exergaming mit Elastikband-Training bei 79 älteren Erwachsenen mit kognitiver Frailty zur Verbesserung von Selbstwirksamkeit und körperlicher Aktivität.</w:t>
      </w:r>
    </w:p>
    <w:p>
      <w:r>
        <w:rPr>
          <w:b/>
        </w:rPr>
        <w:t xml:space="preserve">Ergebnis: </w:t>
      </w:r>
      <w:r>
        <w:t>Interventionsgruppe zeigte signifikant höhere Verbesserungen bei IPAQ-SF-Scores (MD=586,1 MET-min/Woche, 95%-KI 454,5–717,7) und Selbsteffektivität (MD=3,3, 95%-KI 2,4–4,2) vs. Kontrolle (beide p&lt;0,001). Trainingsadhärenz 86,5%. Qualitative Analyse identifizierte erhöhte Trainierbarkeit, positive Gesundheitswahrnehmung und verbesserte Sozialinteraktion.</w:t>
      </w:r>
    </w:p>
    <w:p>
      <w:r>
        <w:rPr>
          <w:b/>
          <w:sz w:val="19"/>
        </w:rPr>
        <w:t xml:space="preserve">Übertragbarkeit: </w:t>
      </w:r>
      <w:r>
        <w:rPr>
          <w:sz w:val="19"/>
        </w:rPr>
        <w:t>Chinesische Primar- und sekundäre Datenquellen; Design auf deutschsprachigen Kontext übertragbar.</w:t>
      </w:r>
    </w:p>
    <w:p>
      <w:r>
        <w:rPr>
          <w:color w:val="5A7D3A"/>
          <w:sz w:val="18"/>
        </w:rPr>
        <w:t>https://pubmed.ncbi.nlm.nih.gov/42763302/</w:t>
      </w:r>
    </w:p>
    <w:p>
      <w:pPr>
        <w:pStyle w:val="Heading2"/>
      </w:pPr>
      <w:r>
        <w:t>Luftfeuchte, Frailty und Schlaganfallrisiko im Alter: 7-Jahres-Kohortenstudie China</w:t>
      </w:r>
    </w:p>
    <w:p>
      <w:r>
        <w:rPr>
          <w:i/>
          <w:color w:val="666666"/>
          <w:sz w:val="18"/>
        </w:rPr>
        <w:t>Zhou Y et al.  ·  Zhong Nan Da Xue Xue Bao Yi Xue Ban  ·  28.07.2026  ·  PMID 42763297</w:t>
      </w:r>
    </w:p>
    <w:p>
      <w:r>
        <w:t>Prospektive Kohortenstudie (CHARLS) mit 19.582 chinesischen Älteren zum Zusammenhang zwischen Umgebungsfeuchte und Schlaganfallrisiko mit Frailty als Mediator.</w:t>
      </w:r>
    </w:p>
    <w:p>
      <w:r>
        <w:rPr>
          <w:b/>
        </w:rPr>
        <w:t xml:space="preserve">Ergebnis: </w:t>
      </w:r>
      <w:r>
        <w:t>Gegenüber niedriger Feuchte: mittlere Feuchte HR=1,119 (95%-KI 1,033–1,213), hohe Feuchte HR=1,279 (95%-KI 1,227–1,331) für neuen Schlaganfall (beide p&lt;0,01). Bei Männern ausgeprägter (hohe Feuchte: HR=1,352, 95%-KI 1,268–1,442). Frailty vermittelte 22,0% der Assoziation. Mediane Nachbeobachtung 7 Jahre, 1.235 Schlaganfälle (6,31%).</w:t>
      </w:r>
    </w:p>
    <w:p>
      <w:r>
        <w:rPr>
          <w:b/>
          <w:sz w:val="19"/>
        </w:rPr>
        <w:t xml:space="preserve">Übertragbarkeit: </w:t>
      </w:r>
      <w:r>
        <w:rPr>
          <w:sz w:val="19"/>
        </w:rPr>
        <w:t>CHARLS-Langzeitdaten aus China; Umwelt-Gebrechlichkeits-Pathomechanismus übertragbar.</w:t>
      </w:r>
    </w:p>
    <w:p>
      <w:r>
        <w:rPr>
          <w:color w:val="5A7D3A"/>
          <w:sz w:val="18"/>
        </w:rPr>
        <w:t>https://pubmed.ncbi.nlm.nih.gov/42763297/</w:t>
      </w:r>
    </w:p>
    <w:p>
      <w:pPr>
        <w:pStyle w:val="Heading2"/>
      </w:pPr>
      <w:r>
        <w:t>Fragmentierte Sedentarität und kardiovaskuläre Sterblichkeit: Gewonnene Lebensjahre durch Bewegungspausen</w:t>
      </w:r>
    </w:p>
    <w:p>
      <w:r>
        <w:rPr>
          <w:i/>
          <w:color w:val="666666"/>
          <w:sz w:val="18"/>
        </w:rPr>
        <w:t>Xing T et al.  ·  Zhong Nan Da Xue Xue Bao Yi Xue Ban  ·  28.07.2026  ·  PMID 42763296</w:t>
      </w:r>
    </w:p>
    <w:p>
      <w:r>
        <w:t>Prospektive Kohorte mit 89.010 UK-Biobank-Teilnehmern zum Zusammenhang zwischen Sedentärdauer/-fragmentierung und Sterblichkeit sowie Lebenserwartung.</w:t>
      </w:r>
    </w:p>
    <w:p>
      <w:r>
        <w:rPr>
          <w:b/>
        </w:rPr>
        <w:t xml:space="preserve">Ergebnis: </w:t>
      </w:r>
      <w:r>
        <w:t>Gegenüber geringster Sedentarität: ≥10 h/Tag Sitzen + wenig Pausen (Breaks &lt;12/Tag) mit HR=1,515 (95%-KI 1,380–1,663) für Gesamtsterblichkeit und HR=1,553 (95%-KI 1,325–1,820) für kardiovaskuläre Mortalität. Häufige Sitzpausen reduzierten Sterblichkeitsrisiko. Lebenserwartungsverlust im Alter 50: -2,77 Jahre (Männer, 95%-KI -3,39 bis -2,15) und -3,11 Jahre (Frauen, 95%-KI -3,79 bis -2,43) an kardiovaskulär-freien Jahren.</w:t>
      </w:r>
    </w:p>
    <w:p>
      <w:r>
        <w:rPr>
          <w:b/>
          <w:sz w:val="19"/>
        </w:rPr>
        <w:t xml:space="preserve">Übertragbarkeit: </w:t>
      </w:r>
      <w:r>
        <w:rPr>
          <w:sz w:val="19"/>
        </w:rPr>
        <w:t>UK-Daten mit wearables gemessen; Befund zur Bewegungsunterbrechung international anwendbar.</w:t>
      </w:r>
    </w:p>
    <w:p>
      <w:r>
        <w:rPr>
          <w:color w:val="5A7D3A"/>
          <w:sz w:val="18"/>
        </w:rPr>
        <w:t>https://pubmed.ncbi.nlm.nih.gov/42763296/</w:t>
      </w:r>
    </w:p>
    <w:p>
      <w:pPr>
        <w:pStyle w:val="Heading2"/>
      </w:pPr>
      <w:r>
        <w:t>Feinstaub und Frailty: PM₂,₅-Komponenten erhöhen Gebrechlichkeitsrisiko im Alter</w:t>
      </w:r>
    </w:p>
    <w:p>
      <w:r>
        <w:rPr>
          <w:i/>
          <w:color w:val="666666"/>
          <w:sz w:val="18"/>
        </w:rPr>
        <w:t>Liu Q et al.  ·  Zhonghua Liu Xing Bing Xue Za Zhi  ·  10.09.2026  ·  PMID 42763185</w:t>
      </w:r>
    </w:p>
    <w:p>
      <w:r>
        <w:t>Querschnittsstudie mit 1.875 älteren Personen in der Jing-Jin-Ji-Region zum Zusammenhang zwischen PM₂,₅-Exposition und Frailty-Index.</w:t>
      </w:r>
    </w:p>
    <w:p>
      <w:r>
        <w:rPr>
          <w:b/>
        </w:rPr>
        <w:t xml:space="preserve">Ergebnis: </w:t>
      </w:r>
      <w:r>
        <w:t>PM₂,₅ bei 90-Tage-Mittelung (lag090 d) assoziiert mit erhöhtem Frailty-Risiko: +1,30% pro IQR-Anstieg (95%-KI 0,29–2,31). Organische Kohlenstoffe (OC): +3,63% (95%-KI 1,17–6,09%), Elementares Kohlenstoff: +0,83% (95%-KI 0,45–1,21%), Kupfer: +1,50% (95%-KI 0,76–2,24%) pro IQR-Anstieg. Keine signifikanten Unterschiede nach Geschlecht, Alter oder Lebensstil.</w:t>
      </w:r>
    </w:p>
    <w:p>
      <w:r>
        <w:rPr>
          <w:b/>
          <w:sz w:val="19"/>
        </w:rPr>
        <w:t xml:space="preserve">Übertragbarkeit: </w:t>
      </w:r>
      <w:r>
        <w:rPr>
          <w:sz w:val="19"/>
        </w:rPr>
        <w:t>Chinesische Luftqualitätsdaten; Umweltbelastung-Gebrechlichkeits-Zusammenhang universal relevant.</w:t>
      </w:r>
    </w:p>
    <w:p>
      <w:r>
        <w:rPr>
          <w:color w:val="5A7D3A"/>
          <w:sz w:val="18"/>
        </w:rPr>
        <w:t>https://pubmed.ncbi.nlm.nih.gov/42763185/</w:t>
      </w:r>
    </w:p>
    <w:p>
      <w:pPr>
        <w:pStyle w:val="Heading2"/>
      </w:pPr>
      <w:r>
        <w:t>Ernährungsqualität und biologisches Alter: Zentrale Adiposität als Vermittler</w:t>
      </w:r>
    </w:p>
    <w:p>
      <w:r>
        <w:rPr>
          <w:i/>
          <w:color w:val="666666"/>
          <w:sz w:val="18"/>
        </w:rPr>
        <w:t>Qian Y  ·  Medicine (Baltimore)  ·  18.09.2026  ·  PMID 42760668</w:t>
      </w:r>
    </w:p>
    <w:p>
      <w:r>
        <w:t>Querschnittsstudie mit 12.511 US-Erwachsenen (≥20 Jahre) aus NHANES 2005–2010 zur Assoziation zwischen Ernährungsqualität und phänotypischer Altersbeschleunigung.</w:t>
      </w:r>
    </w:p>
    <w:p>
      <w:r>
        <w:rPr>
          <w:b/>
        </w:rPr>
        <w:t xml:space="preserve">Ergebnis: </w:t>
      </w:r>
      <w:r>
        <w:t>Pro 1-Punkt-Anstieg Healthy-Eating-Index-2015: OR=0,98 (95%-KI 0,97–0,98, p&lt;0,001) für beschleunigtes biologisches Altern. Waist-to-Height Ratio (WHtR) und Body Roundness Index (BRI) zeigten größte Mediationseffekte (29,23% bzw. 28,90%). Sensitivitätsanalysen bestätigten Robustheit.</w:t>
      </w:r>
    </w:p>
    <w:p>
      <w:r>
        <w:rPr>
          <w:b/>
          <w:sz w:val="19"/>
        </w:rPr>
        <w:t xml:space="preserve">Übertragbarkeit: </w:t>
      </w:r>
      <w:r>
        <w:rPr>
          <w:sz w:val="19"/>
        </w:rPr>
        <w:t>NHANES-Daten USA; Ernährungs-Adipositas-Alterungsweg prinzipiell universal.</w:t>
      </w:r>
    </w:p>
    <w:p>
      <w:r>
        <w:rPr>
          <w:color w:val="5A7D3A"/>
          <w:sz w:val="18"/>
        </w:rPr>
        <w:t>https://pubmed.ncbi.nlm.nih.gov/42760668/</w:t>
      </w:r>
    </w:p>
    <w:p>
      <w:pPr>
        <w:pStyle w:val="Heading2"/>
      </w:pPr>
      <w:r>
        <w:t>Risikofaktoren für Frailty bei älteren Krebspatienten: Systematische Übersicht</w:t>
      </w:r>
    </w:p>
    <w:p>
      <w:r>
        <w:rPr>
          <w:i/>
          <w:color w:val="666666"/>
          <w:sz w:val="18"/>
        </w:rPr>
        <w:t>Shubing F et al.  ·  BMC Geriatr  ·  18.09.2026  ·  PMID 42760535</w:t>
      </w:r>
    </w:p>
    <w:p>
      <w:r>
        <w:t>Systematische Übersicht von 30 Studien (2014–2025) zu Determinanten von Frailty bei älteren Krebspatienten, davon 26 Querschnitts- und 4 prospektive Kohortenstudien.</w:t>
      </w:r>
    </w:p>
    <w:p>
      <w:r>
        <w:rPr>
          <w:b/>
        </w:rPr>
        <w:t xml:space="preserve">Ergebnis: </w:t>
      </w:r>
      <w:r>
        <w:t>Risikofaktoren in 6 Kategorien identifiziert: krankheitsbezogen (Krebsart, fortgeschrittenes Stadium), physiologisch (Mangelernährung, Muskelabbau), psychologisch (Depression, kognitiver Verfall), Lebensstil (Bewegungsmangel), soziodemografisch (Isolation), therapiebedingt (Chemotherapie-Toxizität). Prospektive Evidenz limitiert (n=4 Studien); gefordert: stratifizierte Screening- und Interventionsstrategien.</w:t>
      </w:r>
    </w:p>
    <w:p>
      <w:r>
        <w:rPr>
          <w:b/>
          <w:sz w:val="19"/>
        </w:rPr>
        <w:t xml:space="preserve">Übertragbarkeit: </w:t>
      </w:r>
      <w:r>
        <w:rPr>
          <w:sz w:val="19"/>
        </w:rPr>
        <w:t>Überwiegend Hocheinkommensländer; Frailty-Krebsinteraktion im älteren Alter universell.</w:t>
      </w:r>
    </w:p>
    <w:p>
      <w:r>
        <w:rPr>
          <w:color w:val="5A7D3A"/>
          <w:sz w:val="18"/>
        </w:rPr>
        <w:t>https://pubmed.ncbi.nlm.nih.gov/42760535/</w:t>
      </w:r>
    </w:p>
    <w:p>
      <w:pPr>
        <w:pStyle w:val="Heading2"/>
      </w:pPr>
      <w:r>
        <w:t>Mesenchymale Stammzelltherapie bei Frailty: Systematische Übersicht mit Fokus auf Sicherheit und Mobilität</w:t>
      </w:r>
    </w:p>
    <w:p>
      <w:r>
        <w:rPr>
          <w:i/>
          <w:color w:val="666666"/>
          <w:sz w:val="18"/>
        </w:rPr>
        <w:t>Poutouri E et al.  ·  Int J Mol Sci  ·  25.08.2026  ·  PMID 42737497</w:t>
      </w:r>
    </w:p>
    <w:p>
      <w:r>
        <w:t>Systematische Übersicht von 3 randomisierten Studien (208 Teilnehmer, älter mit Frailty) zu Sicherheit und Wirksamkeit der intravenösen Stammzelltherapie auf funktionale Ergebnisse.</w:t>
      </w:r>
    </w:p>
    <w:p>
      <w:r>
        <w:rPr>
          <w:b/>
        </w:rPr>
        <w:t xml:space="preserve">Ergebnis: </w:t>
      </w:r>
      <w:r>
        <w:t>Keine schwerwiegenden behandlungsbezogenen Nebenwirkungen berichtet. Signale für Verbesserung: 6-Minuten-Gehtest nach 9 Monaten dosisabhängig erhöht; SPPB-, TUG- und Griffkraft-Verbesserungen in einzelnen Studien. Zirkulating pro-inflammatorische Zytokine reduziert, Lebensqualität verbessert. Heterogenität Stammzellquelle, Dosis und Follow-up; größere adequat-gepowerte Studien erforderlich.</w:t>
      </w:r>
    </w:p>
    <w:p>
      <w:r>
        <w:rPr>
          <w:b/>
          <w:sz w:val="19"/>
        </w:rPr>
        <w:t xml:space="preserve">Übertragbarkeit: </w:t>
      </w:r>
      <w:r>
        <w:rPr>
          <w:sz w:val="19"/>
        </w:rPr>
        <w:t>Vereinigte Staaten und Schweiz; Stammzelltherapie-Sicherheitsdaten relevant für prospektive europäische Studien.</w:t>
      </w:r>
    </w:p>
    <w:p>
      <w:r>
        <w:rPr>
          <w:color w:val="5A7D3A"/>
          <w:sz w:val="18"/>
        </w:rPr>
        <w:t>https://pubmed.ncbi.nlm.nih.gov/42737497/</w:t>
      </w:r>
    </w:p>
    <w:p>
      <w:pPr>
        <w:pStyle w:val="Heading1"/>
      </w:pPr>
      <w:r>
        <w:t>Aufgenommen am 19.09.2026</w:t>
      </w:r>
    </w:p>
    <w:p>
      <w:pPr>
        <w:pStyle w:val="Heading2"/>
      </w:pPr>
      <w:r>
        <w:t>Geriatrisches Assessment bei chronischer Nierenkrankheit und Frailty</w:t>
      </w:r>
    </w:p>
    <w:p>
      <w:r>
        <w:rPr>
          <w:i/>
          <w:color w:val="666666"/>
          <w:sz w:val="18"/>
        </w:rPr>
        <w:t>Nixon AC  ·  Kidney Int  ·  Okt. 2026  ·  PMID 42760022</w:t>
      </w:r>
    </w:p>
    <w:p>
      <w:r>
        <w:t>Kommentararbeit zur GOAL-Studie, die überprüfte, ob eine einzige geriatrische Konsultation ältere Patienten mit chronischer Nierenkrankheit und Frailty in ihren Behandlungszielen hilft.</w:t>
      </w:r>
    </w:p>
    <w:p>
      <w:r>
        <w:rPr>
          <w:b/>
        </w:rPr>
        <w:t xml:space="preserve">Ergebnis: </w:t>
      </w:r>
      <w:r>
        <w:t>Die Studie fand keine signifikante Verbesserung der Zielerreichung durch ein Konsultationsmodell. Personenzentrierte Versorgungsmodelle außerhalb von Einzelterminen und fortlaufende Neubewertung erfordern weitere Evaluierung.</w:t>
      </w:r>
    </w:p>
    <w:p>
      <w:r>
        <w:rPr>
          <w:b/>
          <w:sz w:val="19"/>
        </w:rPr>
        <w:t xml:space="preserve">Übertragbarkeit: </w:t>
      </w:r>
      <w:r>
        <w:rPr>
          <w:sz w:val="19"/>
        </w:rPr>
        <w:t>UK-Gesundheitssystem, Design auf europäische Versorgungsstrukturen übertragbar</w:t>
      </w:r>
    </w:p>
    <w:p>
      <w:r>
        <w:rPr>
          <w:color w:val="5A7D3A"/>
          <w:sz w:val="18"/>
        </w:rPr>
        <w:t>https://pubmed.ncbi.nlm.nih.gov/42760022/</w:t>
      </w:r>
    </w:p>
    <w:p>
      <w:pPr>
        <w:pStyle w:val="Heading2"/>
      </w:pPr>
      <w:r>
        <w:t>Verständnis von Frailty bei Kindern mit chronischer Nierenkrankheit</w:t>
      </w:r>
    </w:p>
    <w:p>
      <w:r>
        <w:rPr>
          <w:i/>
          <w:color w:val="666666"/>
          <w:sz w:val="18"/>
        </w:rPr>
        <w:t>Guha C et al.  ·  Kidney Int  ·  Okt. 2026  ·  PMID 42760016</w:t>
      </w:r>
    </w:p>
    <w:p>
      <w:r>
        <w:t>Qualitatives Perspektivwerk auf Frailty im Kindesalter bei chronischer Nierenkrankheit – Interpretation als Verlust von Entwicklungspotenzial statt funktionellem Rückgang im Gegensatz zu Frailty bei Älteren.</w:t>
      </w:r>
    </w:p>
    <w:p>
      <w:r>
        <w:rPr>
          <w:b/>
        </w:rPr>
        <w:t xml:space="preserve">Ergebnis: </w:t>
      </w:r>
      <w:r>
        <w:t>Zentrale Befunde: (1) Frailty bei Kindern ist (anders als bei Älteren) oft reversibel; (2) Frühe Identifikation durch altersgerechte Screening ermöglicht multidisziplinäre Intervention; (3) Kritisches Fenster zur Maximierung von Wachstum, Resilienz und Lebensfunktion in der Kindheit.</w:t>
      </w:r>
    </w:p>
    <w:p>
      <w:r>
        <w:rPr>
          <w:b/>
          <w:sz w:val="19"/>
        </w:rPr>
        <w:t xml:space="preserve">Übertragbarkeit: </w:t>
      </w:r>
      <w:r>
        <w:rPr>
          <w:sz w:val="19"/>
        </w:rPr>
        <w:t>Internationale Perspektive auf Frailty-Definition und Versorgungsmodelle, anwendbar auf deutsches Versorgungssystem</w:t>
      </w:r>
    </w:p>
    <w:p>
      <w:r>
        <w:rPr>
          <w:color w:val="5A7D3A"/>
          <w:sz w:val="18"/>
        </w:rPr>
        <w:t>https://pubmed.ncbi.nlm.nih.gov/42760016/</w:t>
      </w:r>
    </w:p>
    <w:p>
      <w:pPr>
        <w:pStyle w:val="Heading2"/>
      </w:pPr>
      <w:r>
        <w:t>Frailty-Index für Mortalitätsprognose nach Schlaganfall in kritischer Versorgung</w:t>
      </w:r>
    </w:p>
    <w:p>
      <w:r>
        <w:rPr>
          <w:i/>
          <w:color w:val="666666"/>
          <w:sz w:val="18"/>
        </w:rPr>
        <w:t>Gu G et al.  ·  Front Neurol  ·  03.09.2026  ·  PMID 42756253</w:t>
      </w:r>
    </w:p>
    <w:p>
      <w:r>
        <w:t>Verwendung eines laborgestützten Frailty-Index (FI-Lab) zur Vorhersage der 90-Tage-Mortalität nach akutem ischämischen Schlaganfall in der Intensivmedizin mit temporaler Validierung.</w:t>
      </w:r>
    </w:p>
    <w:p>
      <w:r>
        <w:rPr>
          <w:b/>
        </w:rPr>
        <w:t xml:space="preserve">Ergebnis: </w:t>
      </w:r>
      <w:r>
        <w:t>3.186 Patienten beim 24-h-Zeitpunkt (559 Todesfälle): FI-Lab verbesserte AUC von 0,774 auf 0,808 (Differenz 0,034, 95% CI 0,022–0,047; p&lt;0,001) und Brier-Score von 0,162 auf 0,152. Beim 72-h-Punkt: 2.918 Patienten (473 Ereignisse), AUC 0,752 → 0,791 mit FI-Lab.</w:t>
      </w:r>
    </w:p>
    <w:p>
      <w:r>
        <w:rPr>
          <w:b/>
          <w:sz w:val="19"/>
        </w:rPr>
        <w:t xml:space="preserve">Übertragbarkeit: </w:t>
      </w:r>
      <w:r>
        <w:rPr>
          <w:sz w:val="19"/>
        </w:rPr>
        <w:t>MIMIC-IV-Datenbank, generalisierbare ICU-Frailty-Messung, externe Validierung ausstehend</w:t>
      </w:r>
    </w:p>
    <w:p>
      <w:r>
        <w:rPr>
          <w:color w:val="5A7D3A"/>
          <w:sz w:val="18"/>
        </w:rPr>
        <w:t>https://pubmed.ncbi.nlm.nih.gov/42756253/</w:t>
      </w:r>
    </w:p>
    <w:p>
      <w:pPr>
        <w:pStyle w:val="Heading2"/>
      </w:pPr>
      <w:r>
        <w:t>Krankheitslast bei Multipler Sklerose in Italien 1990–2023</w:t>
      </w:r>
    </w:p>
    <w:p>
      <w:r>
        <w:rPr>
          <w:i/>
          <w:color w:val="666666"/>
          <w:sz w:val="18"/>
        </w:rPr>
        <w:t>Brigo F et al.  ·  Mult Scler Relat Disord  ·  28.08.2026  ·  PMID 42664643</w:t>
      </w:r>
    </w:p>
    <w:p>
      <w:r>
        <w:t>Analyse der zeitlichen Trends und regionalen Unterschiede in der Morbidität (Behinderung versus Sterblichkeit) von MS in Italien mittels Global-Burden-of-Disease-Daten.</w:t>
      </w:r>
    </w:p>
    <w:p>
      <w:r>
        <w:rPr>
          <w:b/>
        </w:rPr>
        <w:t xml:space="preserve">Ergebnis: </w:t>
      </w:r>
      <w:r>
        <w:t>MS-Krankheitslast stieg in allen Regionen; Verschiebung von Sterblichkeit zu Behinderung: YLL/YLD-Ratio sank überall, mit steilstem Anstieg in Sardinien und Süd+Sizilien. Höhere DALY-Raten in allen Regionen bei Frauen und Männern.</w:t>
      </w:r>
    </w:p>
    <w:p>
      <w:r>
        <w:rPr>
          <w:b/>
          <w:sz w:val="19"/>
        </w:rPr>
        <w:t xml:space="preserve">Übertragbarkeit: </w:t>
      </w:r>
      <w:r>
        <w:rPr>
          <w:sz w:val="19"/>
        </w:rPr>
        <w:t>Italien, vergleichbares europäisches Gesundheitssystem und Versorgungsinfrastruktur</w:t>
      </w:r>
    </w:p>
    <w:p>
      <w:r>
        <w:rPr>
          <w:color w:val="5A7D3A"/>
          <w:sz w:val="18"/>
        </w:rPr>
        <w:t>https://pubmed.ncbi.nlm.nih.gov/42664643/</w:t>
      </w:r>
    </w:p>
    <w:p>
      <w:pPr>
        <w:pStyle w:val="Heading2"/>
      </w:pPr>
      <w:r>
        <w:t>Geschlechtsspezifische Altersuhren und Stoffwechselveränderungen in Bevölkerungsphenome</w:t>
      </w:r>
    </w:p>
    <w:p>
      <w:r>
        <w:rPr>
          <w:i/>
          <w:color w:val="666666"/>
          <w:sz w:val="18"/>
        </w:rPr>
        <w:t>Li J et al.  ·  Nat Aging  ·  25.08.2026  ·  PMID 42642518</w:t>
      </w:r>
    </w:p>
    <w:p>
      <w:r>
        <w:t>Entwicklung und Validierung von Altersuhren (klinische und biologische Marker) in &gt;100.000 Chinesen (18–98 Jahre) mit Analyse von Geschlechtsunterschieden und modifizierbaren metabolischen Faktoren.</w:t>
      </w:r>
    </w:p>
    <w:p>
      <w:r>
        <w:rPr>
          <w:b/>
        </w:rPr>
        <w:t xml:space="preserve">Ergebnis: </w:t>
      </w:r>
      <w:r>
        <w:t>Divergente Alterungstrajektorien Männer vs. Frauen in mittlerem Alter konvergierten später. Akkumulation von Cholesterin, Triglyzeriden, Glukose, Harnsäure und Tumormalkeuren mit dem Altern. High-Fat-Diet-Reversierung zeigte Modifizierbarkeit metabolischer Belastung.</w:t>
      </w:r>
    </w:p>
    <w:p>
      <w:r>
        <w:rPr>
          <w:b/>
          <w:sz w:val="19"/>
        </w:rPr>
        <w:t xml:space="preserve">Übertragbarkeit: </w:t>
      </w:r>
      <w:r>
        <w:rPr>
          <w:sz w:val="19"/>
        </w:rPr>
        <w:t>China, große Kohorte, metabolische Befunde altersunabhängig übertragbar auf deutsches Setting</w:t>
      </w:r>
    </w:p>
    <w:p>
      <w:r>
        <w:rPr>
          <w:color w:val="5A7D3A"/>
          <w:sz w:val="18"/>
        </w:rPr>
        <w:t>https://pubmed.ncbi.nlm.nih.gov/42642518/</w:t>
      </w:r>
    </w:p>
    <w:p>
      <w:pPr>
        <w:pStyle w:val="Heading2"/>
      </w:pPr>
      <w:r>
        <w:t>Gewonnene Lebensjahre bei zufällig entdecktem Prostatakarzinom</w:t>
      </w:r>
    </w:p>
    <w:p>
      <w:r>
        <w:rPr>
          <w:i/>
          <w:color w:val="666666"/>
          <w:sz w:val="18"/>
        </w:rPr>
        <w:t>Falkenbach F et al.  ·  Prostate  ·  08.07.2026  ·  PMID 42418725</w:t>
      </w:r>
    </w:p>
    <w:p>
      <w:r>
        <w:t>Berechnung der verlorenen Lebensjahre (YLL) bei zufällig entdecktem Prostatakarzinom mittels SEER-Daten 2004–2021 und Vergleich mit bevölkerungsgestützten Überlebensstudien.</w:t>
      </w:r>
    </w:p>
    <w:p>
      <w:r>
        <w:rPr>
          <w:b/>
        </w:rPr>
        <w:t xml:space="preserve">Ergebnis: </w:t>
      </w:r>
      <w:r>
        <w:t>7.324 Patienten; Unterschied zu Bevölkerungskontroll: 0,23 verlorene Jahre (p&lt;0,001). Ohne Behandlung: 0,25 YLL; mit Behandlung: 0,18 YLL. Gleason 8–10 + T1b ohne Therapie: 3,02 YLL; Gleason ≤7 + T1a mit Therapie: keine signifikanten YLL.</w:t>
      </w:r>
    </w:p>
    <w:p>
      <w:r>
        <w:rPr>
          <w:b/>
          <w:sz w:val="19"/>
        </w:rPr>
        <w:t xml:space="preserve">Übertragbarkeit: </w:t>
      </w:r>
      <w:r>
        <w:rPr>
          <w:sz w:val="19"/>
        </w:rPr>
        <w:t>USA, SEER-Register, Unterschiede in Lebenserwartung und Behandlungsindikationen beachten</w:t>
      </w:r>
    </w:p>
    <w:p>
      <w:r>
        <w:rPr>
          <w:color w:val="5A7D3A"/>
          <w:sz w:val="18"/>
        </w:rPr>
        <w:t>https://pubmed.ncbi.nlm.nih.gov/42418725/</w:t>
      </w:r>
    </w:p>
    <w:p>
      <w:pPr>
        <w:pStyle w:val="Heading1"/>
      </w:pPr>
      <w:r>
        <w:t>Aufgenommen am 18.09.2026</w:t>
      </w:r>
    </w:p>
    <w:p>
      <w:pPr>
        <w:pStyle w:val="Heading2"/>
      </w:pPr>
      <w:r>
        <w:t>Kontrolltheorie des Alterns beschreibt sichere Dosierung und Sequenzierung geriatrischer Interventionen</w:t>
      </w:r>
    </w:p>
    <w:p>
      <w:r>
        <w:rPr>
          <w:i/>
          <w:color w:val="666666"/>
          <w:sz w:val="18"/>
        </w:rPr>
        <w:t>Zhavoronkov A et al.  ·  Aging (Albany NY)  ·  16.09.2026  ·  PMID 42754269</w:t>
      </w:r>
    </w:p>
    <w:p>
      <w:r>
        <w:t>Theoriearbeit entwickelt kontrolltheoretisches Rahmenwerk, das Altern als Verlust sicherer Kontrollierbarkeit definiert und präskriptive Dosierungs- und Sequenzierungsprotokolle für Geroprotektoren vorhersagt.</w:t>
      </w:r>
    </w:p>
    <w:p>
      <w:r>
        <w:rPr>
          <w:b/>
        </w:rPr>
        <w:t xml:space="preserve">Ergebnis: </w:t>
      </w:r>
      <w:r>
        <w:t>Biologisches Alter = minimale sichere Kontrollkosten für funktionale Wiederherstellung. Lie-Bracket-Analyse von 5-ODE-Modell zeigt Interventionsreihenfolge entscheidend. 20 falsfizierbare Vorhersagen; Kontrollwert-Reduktion prognostiziert translationalen Erfolg besser als Biomarker-Umkehr.</w:t>
      </w:r>
    </w:p>
    <w:p>
      <w:r>
        <w:rPr>
          <w:b/>
          <w:sz w:val="19"/>
        </w:rPr>
        <w:t xml:space="preserve">Übertragbarkeit: </w:t>
      </w:r>
      <w:r>
        <w:rPr>
          <w:sz w:val="19"/>
        </w:rPr>
        <w:t>Konzeptuelle, nicht-empirische Arbeit; Übertragbarkeit hängt von Validierung in Patientenkohorten ab</w:t>
      </w:r>
    </w:p>
    <w:p>
      <w:r>
        <w:rPr>
          <w:color w:val="5A7D3A"/>
          <w:sz w:val="18"/>
        </w:rPr>
        <w:t>https://pubmed.ncbi.nlm.nih.gov/42754269/</w:t>
      </w:r>
    </w:p>
    <w:p>
      <w:pPr>
        <w:pStyle w:val="Heading2"/>
      </w:pPr>
      <w:r>
        <w:t>Computer- und Smartphone-Nutzung reduzieren Frailty bei älteren Erwachsenen</w:t>
      </w:r>
    </w:p>
    <w:p>
      <w:r>
        <w:rPr>
          <w:i/>
          <w:color w:val="666666"/>
          <w:sz w:val="18"/>
        </w:rPr>
        <w:t>Hori N et al.  ·  Geriatr Gerontol Int  ·  Sept. 2026  ·  PMID 42753144</w:t>
      </w:r>
    </w:p>
    <w:p>
      <w:r>
        <w:t>Querschnittsstudie untersuchte, ob Gesundheitsinformationen über Computer und Smartphone mit Frailty assoziiert sind, gemessen durch Mediation über Health Literacy bei 451 älteren Menschen.</w:t>
      </w:r>
    </w:p>
    <w:p>
      <w:r>
        <w:rPr>
          <w:b/>
        </w:rPr>
        <w:t xml:space="preserve">Ergebnis: </w:t>
      </w:r>
      <w:r>
        <w:t>33,8 % nutzten Computer/Smartphone für Gesundheitsinformation. Frailty-Prävalenz 3,5 %. Mediation über Health Literacy signifikant: β = 0,323 (95%-KI: 0,084–0,698). Keine Assoziation mit nur Robustness vs. Präfrailty.</w:t>
      </w:r>
    </w:p>
    <w:p>
      <w:r>
        <w:rPr>
          <w:b/>
          <w:sz w:val="19"/>
        </w:rPr>
        <w:t xml:space="preserve">Übertragbarkeit: </w:t>
      </w:r>
      <w:r>
        <w:rPr>
          <w:sz w:val="19"/>
        </w:rPr>
        <w:t>Japan, vergleichbar mit deutschem Gesundheitswesen; einfacher Screening-Tool</w:t>
      </w:r>
    </w:p>
    <w:p>
      <w:r>
        <w:rPr>
          <w:color w:val="5A7D3A"/>
          <w:sz w:val="18"/>
        </w:rPr>
        <w:t>https://pubmed.ncbi.nlm.nih.gov/42753144/</w:t>
      </w:r>
    </w:p>
    <w:p>
      <w:pPr>
        <w:pStyle w:val="Heading2"/>
      </w:pPr>
      <w:r>
        <w:t>Frailty und Ernährungsstatus prägen Überleben älter Brustkrebspatientinnen</w:t>
      </w:r>
    </w:p>
    <w:p>
      <w:r>
        <w:rPr>
          <w:i/>
          <w:color w:val="666666"/>
          <w:sz w:val="18"/>
        </w:rPr>
        <w:t>Yang X et al.  ·  Cancer Med  ·  Sept. 2026  ·  PMID 42745681</w:t>
      </w:r>
    </w:p>
    <w:p>
      <w:r>
        <w:t>Retrospektive Studie entwickelte FINE Index (Frailty, Immunonutrition, TNM-Stadium) zur Vorhersage des Gesamtüberlebens bei 1.621 älteren Brustkrebspatientinnen (training n=1.132, validation n=489).</w:t>
      </w:r>
    </w:p>
    <w:p>
      <w:r>
        <w:rPr>
          <w:b/>
        </w:rPr>
        <w:t xml:space="preserve">Ergebnis: </w:t>
      </w:r>
      <w:r>
        <w:t>C-Index 0,767 (training), 0,739 (intern validation), 0,731 (extern validation). 3-, 5-, 10-Jahr-AUC &gt;0,7. Unabhängige Prädiktoren: Alter, PNI, TNM, mFI-5, Endokrintherapie. Besser als TNM allein.</w:t>
      </w:r>
    </w:p>
    <w:p>
      <w:r>
        <w:rPr>
          <w:b/>
          <w:sz w:val="19"/>
        </w:rPr>
        <w:t xml:space="preserve">Übertragbarkeit: </w:t>
      </w:r>
      <w:r>
        <w:rPr>
          <w:sz w:val="19"/>
        </w:rPr>
        <w:t>China (West-China Hospital), deutsche Kliniken nutzen ähnliche Frailty-Indices</w:t>
      </w:r>
    </w:p>
    <w:p>
      <w:r>
        <w:rPr>
          <w:color w:val="5A7D3A"/>
          <w:sz w:val="18"/>
        </w:rPr>
        <w:t>https://pubmed.ncbi.nlm.nih.gov/42745681/</w:t>
      </w:r>
    </w:p>
    <w:p>
      <w:pPr>
        <w:pStyle w:val="Heading2"/>
      </w:pPr>
      <w:r>
        <w:t>Orale Frailty korreliert mit BMI nur bei Sarkopenie-Risiko</w:t>
      </w:r>
    </w:p>
    <w:p>
      <w:r>
        <w:rPr>
          <w:i/>
          <w:color w:val="666666"/>
          <w:sz w:val="18"/>
        </w:rPr>
        <w:t>Hayase M et al.  ·  Nutrients  ·  28.08.2026  ·  PMID 42739007</w:t>
      </w:r>
    </w:p>
    <w:p>
      <w:r>
        <w:t>Querschnittstudie mit 3.829 älteren Japanern untersuchte Assoziation zwischen oraler Frailty und BMI-Kategorien, stratifiziert nach Sarkopenie-Status.</w:t>
      </w:r>
    </w:p>
    <w:p>
      <w:r>
        <w:rPr>
          <w:b/>
        </w:rPr>
        <w:t xml:space="preserve">Ergebnis: </w:t>
      </w:r>
      <w:r>
        <w:t>In Sarkopenie-Risikogruppe: Übergewicht OR 1,73 (95%-KI: 1,09–2,73), Untergewicht OR 1,44 (95%-KI: 1,07–1,95). Nicht-Sarkopenie-Gruppe: keine signifikante Assoziation.</w:t>
      </w:r>
    </w:p>
    <w:p>
      <w:r>
        <w:rPr>
          <w:b/>
          <w:sz w:val="19"/>
        </w:rPr>
        <w:t xml:space="preserve">Übertragbarkeit: </w:t>
      </w:r>
      <w:r>
        <w:rPr>
          <w:sz w:val="19"/>
        </w:rPr>
        <w:t>Japan, 80-Jährige; Frailty-Phenotyp mit praktischem Screening-Tool</w:t>
      </w:r>
    </w:p>
    <w:p>
      <w:r>
        <w:rPr>
          <w:color w:val="5A7D3A"/>
          <w:sz w:val="18"/>
        </w:rPr>
        <w:t>https://pubmed.ncbi.nlm.nih.gov/42739007/</w:t>
      </w:r>
    </w:p>
    <w:p>
      <w:pPr>
        <w:pStyle w:val="Heading2"/>
      </w:pPr>
      <w:r>
        <w:t>Funktionales Gehirnalter erfasst Heterogenität in Schizophrenien besser als strukturelle Parameter</w:t>
      </w:r>
    </w:p>
    <w:p>
      <w:r>
        <w:rPr>
          <w:i/>
          <w:color w:val="666666"/>
          <w:sz w:val="18"/>
        </w:rPr>
        <w:t>Volkmer S et al.  ·  Transl Psychiatry  ·  04.09.2026  ·  PMID 42697895</w:t>
      </w:r>
    </w:p>
    <w:p>
      <w:r>
        <w:t>Validierungsstudie untersuchte resting-state funktionales Gehirnalter (brain-age gap, BAG) bei Schizophreniespektrum-Störungen in vier Kohorten; innerhalb SSD assoziiert jüngeres Gehirnalter mit schlechterer Kognition.</w:t>
      </w:r>
    </w:p>
    <w:p>
      <w:r>
        <w:rPr>
          <w:b/>
        </w:rPr>
        <w:t xml:space="preserve">Ergebnis: </w:t>
      </w:r>
      <w:r>
        <w:t>SSD zeigte group-level BAG-Elevation 0,4–0,6. Innerhalb SSD: jüngeres Gehirnalter korreliert mit niedrigerer Kognition, längerer Krankheitsdauer, höheren neurologischen soft signs (NSS). Über 12–24 Wochen: BAG-Zunahme mit NSS-Motor-Reduktion assoziiert.</w:t>
      </w:r>
    </w:p>
    <w:p>
      <w:r>
        <w:rPr>
          <w:b/>
          <w:sz w:val="19"/>
        </w:rPr>
        <w:t xml:space="preserve">Übertragbarkeit: </w:t>
      </w:r>
      <w:r>
        <w:rPr>
          <w:sz w:val="19"/>
        </w:rPr>
        <w:t>Deutschland und Schweiz, multizentrisches Design; Biomarker vorhersagewert offen</w:t>
      </w:r>
    </w:p>
    <w:p>
      <w:r>
        <w:rPr>
          <w:color w:val="5A7D3A"/>
          <w:sz w:val="18"/>
        </w:rPr>
        <w:t>https://pubmed.ncbi.nlm.nih.gov/42697895/</w:t>
      </w:r>
    </w:p>
    <w:p>
      <w:pPr>
        <w:pStyle w:val="Heading2"/>
      </w:pPr>
      <w:r>
        <w:t>Wahrnehmung des Alterns bei Männern 2013–2023 stabil trotz Gesundheitsbewusstsein</w:t>
      </w:r>
    </w:p>
    <w:p>
      <w:r>
        <w:rPr>
          <w:i/>
          <w:color w:val="666666"/>
          <w:sz w:val="18"/>
        </w:rPr>
        <w:t>Bejda G et al.  ·  Adv Clin Exp Med  ·  Aug. 2026  ·  PMID 42543032</w:t>
      </w:r>
    </w:p>
    <w:p>
      <w:r>
        <w:t>Vergleichende Querschnittstudie an 2013 und 2023 hospitalisierten Männern aus Polen untersuchte Veränderungen in Alterswahrnehmung und Gesundheitsverhalten mittels standardisierter Instrumente.</w:t>
      </w:r>
    </w:p>
    <w:p>
      <w:r>
        <w:rPr>
          <w:b/>
        </w:rPr>
        <w:t xml:space="preserve">Ergebnis: </w:t>
      </w:r>
      <w:r>
        <w:t>80,5 % (2013) vs. 75,9 % (2023) mit psychischen Alterssymptomen. Sexuelle Dysfunktion 65,8 % vs. 63,3 %. Testosterone-Abnahme als Altersmerkmal erwartet. Hohe Selbstwirksamkeit in beiden Kohorten. Unzureichendes Alterswissen bleibt.</w:t>
      </w:r>
    </w:p>
    <w:p>
      <w:r>
        <w:rPr>
          <w:b/>
          <w:sz w:val="19"/>
        </w:rPr>
        <w:t xml:space="preserve">Übertragbarkeit: </w:t>
      </w:r>
      <w:r>
        <w:rPr>
          <w:sz w:val="19"/>
        </w:rPr>
        <w:t>Polen (Podlaskie), verwandter Sozialversicherungskontext</w:t>
      </w:r>
    </w:p>
    <w:p>
      <w:r>
        <w:rPr>
          <w:color w:val="5A7D3A"/>
          <w:sz w:val="18"/>
        </w:rPr>
        <w:t>https://pubmed.ncbi.nlm.nih.gov/42543032/</w:t>
      </w:r>
    </w:p>
    <w:p>
      <w:pPr>
        <w:pStyle w:val="Heading1"/>
      </w:pPr>
      <w:r>
        <w:t>Aufgenommen am 17.09.2026</w:t>
      </w:r>
    </w:p>
    <w:p>
      <w:pPr>
        <w:pStyle w:val="Heading2"/>
      </w:pPr>
      <w:r>
        <w:t>Frailty-Index (mFI-5) vorhersagekräftig für Komplikationen nach Amputation</w:t>
      </w:r>
    </w:p>
    <w:p>
      <w:r>
        <w:rPr>
          <w:i/>
          <w:color w:val="666666"/>
          <w:sz w:val="18"/>
        </w:rPr>
        <w:t>Ichikawa T et al.  ·  Eur J Orthop Surg Traumatol  ·  16.09.2026  ·  PMID 42747548</w:t>
      </w:r>
    </w:p>
    <w:p>
      <w:r>
        <w:t>USA-Traumakohorte (n=1.122, ≥18 Jahre, offene Unterschenkelbrüche mit Amputation; 2017–2021) zur Prognose von 30-Tage-Komplikationen via 5-Item Modified Frailty Index.</w:t>
      </w:r>
    </w:p>
    <w:p>
      <w:r>
        <w:rPr>
          <w:b/>
        </w:rPr>
        <w:t xml:space="preserve">Ergebnis: </w:t>
      </w:r>
      <w:r>
        <w:t>Pro Punkt mFI-5-Erhöhung: signifikant gestiegene Odds für Wundinfekt (OR 1,36), zerebrovaskuläres Ereignis (OR 2,93), Reintubation (OR 2,17), ICU-Aufnahme (OR 1,56) und Druckgeschwür (OR 1,68). mFI-5 unabhängiger Prädiktor nach Adjustierung für Alter, Geschlecht, ISS und andere Faktoren. Routinescreening empfohlen für Risikostratifizierung.</w:t>
      </w:r>
    </w:p>
    <w:p>
      <w:r>
        <w:rPr>
          <w:b/>
          <w:sz w:val="19"/>
        </w:rPr>
        <w:t xml:space="preserve">Übertragbarkeit: </w:t>
      </w:r>
      <w:r>
        <w:rPr>
          <w:sz w:val="19"/>
        </w:rPr>
        <w:t>USA-Traumasystem, aber Frailty-Assessment-Tool und Komplikationsdefinitionen international etabliert.</w:t>
      </w:r>
    </w:p>
    <w:p>
      <w:r>
        <w:rPr>
          <w:color w:val="5A7D3A"/>
          <w:sz w:val="18"/>
        </w:rPr>
        <w:t>https://pubmed.ncbi.nlm.nih.gov/42747548/</w:t>
      </w:r>
    </w:p>
    <w:p>
      <w:pPr>
        <w:pStyle w:val="Heading2"/>
      </w:pPr>
      <w:r>
        <w:t>Soziale Entfremdung bei kognitiver Gebrechlichkeit: Vier Subgruppen älterer Erwachsener</w:t>
      </w:r>
    </w:p>
    <w:p>
      <w:r>
        <w:rPr>
          <w:i/>
          <w:color w:val="666666"/>
          <w:sz w:val="18"/>
        </w:rPr>
        <w:t>Zhao S et al.  ·  Front Public Health  ·  01.09.2026  ·  PMID 42745907</w:t>
      </w:r>
    </w:p>
    <w:p>
      <w:r>
        <w:t>Chinesische Querschnittstudie (n=968, ≥60 Jahre, mit kognitiver Frailty) mittels latenter Profilanalyse zur Heterogenität sozialer Entfremdung.</w:t>
      </w:r>
    </w:p>
    <w:p>
      <w:r>
        <w:rPr>
          <w:b/>
        </w:rPr>
        <w:t xml:space="preserve">Ergebnis: </w:t>
      </w:r>
      <w:r>
        <w:t>Vier distinkte Profile identifiziert: „Soziale Anpassung</w:t>
      </w:r>
    </w:p>
    <w:p>
      <w:r>
        <w:rPr>
          <w:b/>
          <w:sz w:val="19"/>
        </w:rPr>
        <w:t xml:space="preserve">Übertragbarkeit: </w:t>
      </w:r>
      <w:r>
        <w:rPr>
          <w:sz w:val="19"/>
        </w:rPr>
        <w:t>China – andere Altersstruktur, aber relevante Versorgungsfrage zur kognitiven Frailty.</w:t>
      </w:r>
    </w:p>
    <w:p>
      <w:r>
        <w:rPr>
          <w:color w:val="5A7D3A"/>
          <w:sz w:val="18"/>
        </w:rPr>
        <w:t>https://pubmed.ncbi.nlm.nih.gov/42745907/</w:t>
      </w:r>
    </w:p>
    <w:p>
      <w:pPr>
        <w:pStyle w:val="Heading2"/>
      </w:pPr>
      <w:r>
        <w:t>Freiwillige Krankenversicherung senkt Frailty-Onset bei europäischen Älteren</w:t>
      </w:r>
    </w:p>
    <w:p>
      <w:r>
        <w:rPr>
          <w:i/>
          <w:color w:val="666666"/>
          <w:sz w:val="18"/>
        </w:rPr>
        <w:t>Sorrentino M et al.  ·  Front Public Health  ·  01.09.2026  ·  PMID 42745813</w:t>
      </w:r>
    </w:p>
    <w:p>
      <w:r>
        <w:t>Europäische Längsschnittstudie (SHARE 2013–2022, n=191.848, ≥50 Jahre) zur Assoziation zwischen freiwilliger Zusatzversicherung (VHI) und Frailty-Progression.</w:t>
      </w:r>
    </w:p>
    <w:p>
      <w:r>
        <w:rPr>
          <w:b/>
        </w:rPr>
        <w:t xml:space="preserve">Ergebnis: </w:t>
      </w:r>
      <w:r>
        <w:t>VHI mit niedrigeren Frailty-Scores assoziiert (Koeff. −0,056; 95%-KI −0,071 bis −0,041), stärkster Effekt in niedrigstem Einkommensquartil. Reduziertes Frailty-Onset-Risiko unter VHI (HR 0,862; 95%-KI 0,763–0,973), besonders in Spanien (HR 0,626). Allerdings: VHI könnte als Out-of-Pocket-Ausgabe Ungleichheiten verstärken.</w:t>
      </w:r>
    </w:p>
    <w:p>
      <w:r>
        <w:rPr>
          <w:b/>
          <w:sz w:val="19"/>
        </w:rPr>
        <w:t xml:space="preserve">Übertragbarkeit: </w:t>
      </w:r>
      <w:r>
        <w:rPr>
          <w:sz w:val="19"/>
        </w:rPr>
        <w:t>Europäische SHARE-Daten, vergleichbare Sozialsysteme, direkt auf deutsche Sozialversicherung übertragbar.</w:t>
      </w:r>
    </w:p>
    <w:p>
      <w:r>
        <w:rPr>
          <w:color w:val="5A7D3A"/>
          <w:sz w:val="18"/>
        </w:rPr>
        <w:t>https://pubmed.ncbi.nlm.nih.gov/42745813/</w:t>
      </w:r>
    </w:p>
    <w:p>
      <w:pPr>
        <w:pStyle w:val="Heading2"/>
      </w:pPr>
      <w:r>
        <w:t>Determinanten der Lebenserwartung in der EU: Präventive Mortalität geht über Wohlstand hinaus</w:t>
      </w:r>
    </w:p>
    <w:p>
      <w:r>
        <w:rPr>
          <w:i/>
          <w:color w:val="666666"/>
          <w:sz w:val="18"/>
        </w:rPr>
        <w:t>Antohi VM et al.  ·  Inquiry  ·  16.09.2026  ·  PMID 42745694</w:t>
      </w:r>
    </w:p>
    <w:p>
      <w:r>
        <w:t>Panel-Regressionsanalyse (6 EU-Länder: Rumänien, Bulgarien, Lettland, Deutschland, Italien, Spanien; 2011–2021) zu Effekten wirtschaftlicher, demografischer und Mortalitätsfaktoren auf Lebenserwartung.</w:t>
      </w:r>
    </w:p>
    <w:p>
      <w:r>
        <w:rPr>
          <w:b/>
        </w:rPr>
        <w:t xml:space="preserve">Ergebnis: </w:t>
      </w:r>
      <w:r>
        <w:t>CO₂-Emissionen und Bevölkerungswachstum senken Lebenserwartung (LE) signifikant. BIP pro Kopf, Gesundheitsausgaben, Bildung, Rechtsstaatlichkeit und Regierungseffektivität heben LE – aber nach Kontrolle für Mortalitätsindikatoren sinkt BIP-Effekt. Krude Mortalitätslast und Lebensjahre verloren durch Unfälle zeigen stärkste Assoziationen mit LE. Schlussfolgerung: Nachhaltige LE-Gewinne hängen weniger an Wachstum, mehr an Prävention.</w:t>
      </w:r>
    </w:p>
    <w:p>
      <w:r>
        <w:rPr>
          <w:b/>
          <w:sz w:val="19"/>
        </w:rPr>
        <w:t xml:space="preserve">Übertragbarkeit: </w:t>
      </w:r>
      <w:r>
        <w:rPr>
          <w:sz w:val="19"/>
        </w:rPr>
        <w:t>Deutschland, Italien, Spanien im Sample; europäische Sozialsysteme, direkt vergleichbar.</w:t>
      </w:r>
    </w:p>
    <w:p>
      <w:r>
        <w:rPr>
          <w:color w:val="5A7D3A"/>
          <w:sz w:val="18"/>
        </w:rPr>
        <w:t>https://pubmed.ncbi.nlm.nih.gov/42745694/</w:t>
      </w:r>
    </w:p>
    <w:p>
      <w:pPr>
        <w:pStyle w:val="Heading2"/>
      </w:pPr>
      <w:r>
        <w:t>Körperliche Aktivität puffert alternsbedingte Hippocampus-Veränderungen ab</w:t>
      </w:r>
    </w:p>
    <w:p>
      <w:r>
        <w:rPr>
          <w:i/>
          <w:color w:val="666666"/>
          <w:sz w:val="18"/>
        </w:rPr>
        <w:t>Montero-Herrera B et al.  ·  Hippocampus  ·  Sept. 2026  ·  PMID 42740373</w:t>
      </w:r>
    </w:p>
    <w:p>
      <w:r>
        <w:t>Querschnittsstudie (n=555, 36–90 Jahre, Human Connectome Project-Aging) zur Assoziation von moderater bis vigoroster Aktivität mit Hippocampus-Struktur (Dicke, Oberfläche, mikrostrukturelle T1w/T2w-Ratio).</w:t>
      </w:r>
    </w:p>
    <w:p>
      <w:r>
        <w:rPr>
          <w:b/>
        </w:rPr>
        <w:t xml:space="preserve">Ergebnis: </w:t>
      </w:r>
      <w:r>
        <w:t>Bei niedriger Aktivität (&lt;150 Min/Wo): Alter assoziiert mit diffusen Unterschieden in Hippocampus-Makro- und Mikrostruktur (niedrigere Dicke/Oberfläche, höhere T1w/T2w-Ratio). Moderate bis hohe Aktivität (≥150 Min/Wo) moderiert diese Alterseffekte in linkem Hippocampus signifikant; signifikante Unterschiede in Oberfläche und Ratio bei aktiveren Älteren. Befund deutet auf erhaltene plastische Kapazität hin.</w:t>
      </w:r>
    </w:p>
    <w:p>
      <w:r>
        <w:rPr>
          <w:b/>
          <w:sz w:val="19"/>
        </w:rPr>
        <w:t xml:space="preserve">Übertragbarkeit: </w:t>
      </w:r>
      <w:r>
        <w:rPr>
          <w:sz w:val="19"/>
        </w:rPr>
        <w:t>USA – Neuroimaging-Methodik unabhängig von System; Aktivitätsempfehlung universal anwendbar.</w:t>
      </w:r>
    </w:p>
    <w:p>
      <w:r>
        <w:rPr>
          <w:color w:val="5A7D3A"/>
          <w:sz w:val="18"/>
        </w:rPr>
        <w:t>https://pubmed.ncbi.nlm.nih.gov/42740373/</w:t>
      </w:r>
    </w:p>
    <w:p>
      <w:pPr>
        <w:pStyle w:val="Heading2"/>
      </w:pPr>
      <w:r>
        <w:t>Moralische Verantwortung im Alter: Klimahandeln unter Alltagsbedingungen</w:t>
      </w:r>
    </w:p>
    <w:p>
      <w:r>
        <w:rPr>
          <w:i/>
          <w:color w:val="666666"/>
          <w:sz w:val="18"/>
        </w:rPr>
        <w:t>Grand J  ·  J Aging Stud  ·  29.06.2026  ·  PMID 42705825</w:t>
      </w:r>
    </w:p>
    <w:p>
      <w:r>
        <w:t>Qualitative Studie (Interviews, Fokusgruppen) mit Schweizer Älteren (65–83 Jahre) zu deren Verständnis und Umsetzung von Verantwortung für Klimaschutz im Alltag.</w:t>
      </w:r>
    </w:p>
    <w:p>
      <w:r>
        <w:rPr>
          <w:b/>
        </w:rPr>
        <w:t xml:space="preserve">Ergebnis: </w:t>
      </w:r>
      <w:r>
        <w:t>Ältere Erwachsene verhandeln Klimaverantwortung pragmatisch im Spannungsfeld zwischen persönlicher Handlungsfähigkeit und körperlichen Grenzen des Alterns. Zeitliche Beschränkung und Mobilitätseinbußen prägen Deutung und Umfang ihres Engagements; Fokus liegt auf Haushalt und Familie statt großflächiger Aktivismus. Kernbefund: Spätes Leben restrukturiert, realisiert aber nicht negiert Umweltverantwortung.</w:t>
      </w:r>
    </w:p>
    <w:p>
      <w:r>
        <w:rPr>
          <w:b/>
          <w:sz w:val="19"/>
        </w:rPr>
        <w:t xml:space="preserve">Übertragbarkeit: </w:t>
      </w:r>
      <w:r>
        <w:rPr>
          <w:sz w:val="19"/>
        </w:rPr>
        <w:t>Schweiz, deutschsprachig, Sozialkontext vergleichbar; Erkenntnisse zu älteren Bürgern in Transformationen.</w:t>
      </w:r>
    </w:p>
    <w:p>
      <w:r>
        <w:rPr>
          <w:color w:val="5A7D3A"/>
          <w:sz w:val="18"/>
        </w:rPr>
        <w:t>https://pubmed.ncbi.nlm.nih.gov/42705825/</w:t>
      </w:r>
    </w:p>
    <w:p>
      <w:pPr>
        <w:pStyle w:val="Heading1"/>
      </w:pPr>
      <w:r>
        <w:t>Aufgenommen am 16.09.2026</w:t>
      </w:r>
    </w:p>
    <w:p>
      <w:pPr>
        <w:pStyle w:val="Heading2"/>
      </w:pPr>
      <w:r>
        <w:t>Orale Gebrechlichkeit beeinträchtigt Alltagsfähigkeit durch schlechte Ernährung – Ernährungsstatus vermittelt</w:t>
      </w:r>
    </w:p>
    <w:p>
      <w:r>
        <w:rPr>
          <w:i/>
          <w:color w:val="666666"/>
          <w:sz w:val="18"/>
        </w:rPr>
        <w:t>Jiang W et al.  ·  Front Public Health  ·  31.08.2026  ·  PMID 42741152</w:t>
      </w:r>
    </w:p>
    <w:p>
      <w:r>
        <w:t>Querschnittsstudie mit 401 älteren Chengdu-Bewohnern (≥60 Jahre): untersuchte, ob orale Frailty (Zahnprobleme, Kaustörungen) die Alltagsfunktion beeinträchtigt und ob Malnutritionsrisiko diesen Zusammenhang mediert.</w:t>
      </w:r>
    </w:p>
    <w:p>
      <w:r>
        <w:rPr>
          <w:b/>
        </w:rPr>
        <w:t xml:space="preserve">Ergebnis: </w:t>
      </w:r>
      <w:r>
        <w:t>Orale Frailty korrelierte mit schlecherer Ernährung (B=–0,116; p=0,001) und niedriger ADL-Fähigkeit (Barthel-Index). Der direkte Assoziationseffekt blieb signifikant (B=–2,261; p=0,012), die indirekte Assoziation über Ernährung war klein aber signifikant (indirekt=–0,363; 95%-Bootstrap: –0,798 bis –0,044). Orale Frailty liegt bei 40,9 % vor, Malnutritionsrisiko bei 12,0 %.</w:t>
      </w:r>
    </w:p>
    <w:p>
      <w:r>
        <w:rPr>
          <w:b/>
          <w:sz w:val="19"/>
        </w:rPr>
        <w:t xml:space="preserve">Übertragbarkeit: </w:t>
      </w:r>
      <w:r>
        <w:rPr>
          <w:sz w:val="19"/>
        </w:rPr>
        <w:t>Chinesische Primärversorgung, Instrument ORALFRAIL übertragbar, Modell validierungsbedürftig für Deutschland</w:t>
      </w:r>
    </w:p>
    <w:p>
      <w:r>
        <w:rPr>
          <w:color w:val="5A7D3A"/>
          <w:sz w:val="18"/>
        </w:rPr>
        <w:t>https://pubmed.ncbi.nlm.nih.gov/42741152/</w:t>
      </w:r>
    </w:p>
    <w:p>
      <w:pPr>
        <w:pStyle w:val="Heading2"/>
      </w:pPr>
      <w:r>
        <w:t>Kurzzeitliches Prehab-Training steigert präoperative Funktionsfähigkeit fragiler Prostatapatienten</w:t>
      </w:r>
    </w:p>
    <w:p>
      <w:r>
        <w:rPr>
          <w:i/>
          <w:color w:val="666666"/>
          <w:sz w:val="18"/>
        </w:rPr>
        <w:t>Wang Z et al.  ·  BMC Geriatr  ·  24.07.2026  ·  PMID 42736541</w:t>
      </w:r>
    </w:p>
    <w:p>
      <w:r>
        <w:t>Randomisierte, verblindete Studie mit 80 älteren Männern (≥60 Jahre) mit Prostatakarzinom in prefrail/frail Zustand; geprüft, ob 12-tägiges Home-Prehabilitation (Bewegung, Ernährung, psychische Unterstützung) vor geplanter Prostatektomie die perioperative funktionelle Leistung verbessert.</w:t>
      </w:r>
    </w:p>
    <w:p>
      <w:r>
        <w:rPr>
          <w:b/>
        </w:rPr>
        <w:t xml:space="preserve">Ergebnis: </w:t>
      </w:r>
      <w:r>
        <w:t>Prehab-Gruppe verbesserte 6-Minuten-Gehstrecke um 27,70±16,86 m vor OP, Kontrollgruppe nur um –3,12±3,62 m; Differenz 30,82 m (95%-KI 25,32–36,33; p&lt;0,001). Postoperativ schnellere Mobilisierung, schnellere Magen-Darm-Erholung, kürzere Krankenhausliegedauer. Keine interventionsbezogenen Nebenereignisse.</w:t>
      </w:r>
    </w:p>
    <w:p>
      <w:r>
        <w:rPr>
          <w:b/>
          <w:sz w:val="19"/>
        </w:rPr>
        <w:t xml:space="preserve">Übertragbarkeit: </w:t>
      </w:r>
      <w:r>
        <w:rPr>
          <w:sz w:val="19"/>
        </w:rPr>
        <w:t>Chinesische Klinikdaten, geriatrisches Prähabilitationskonzept übertragbar auf Deutschland</w:t>
      </w:r>
    </w:p>
    <w:p>
      <w:r>
        <w:rPr>
          <w:color w:val="5A7D3A"/>
          <w:sz w:val="18"/>
        </w:rPr>
        <w:t>https://pubmed.ncbi.nlm.nih.gov/42736541/</w:t>
      </w:r>
    </w:p>
    <w:p>
      <w:pPr>
        <w:pStyle w:val="Heading2"/>
      </w:pPr>
      <w:r>
        <w:t>Automatisierter Frailty-Index aus Labortests (FI-Lab) validiert akutes Mortalitätsrisiko</w:t>
      </w:r>
    </w:p>
    <w:p>
      <w:r>
        <w:rPr>
          <w:i/>
          <w:color w:val="666666"/>
          <w:sz w:val="18"/>
        </w:rPr>
        <w:t>Logan Ellis H et al.  ·  PLoS Med  ·  01.09.2026  ·  PMID 42678992</w:t>
      </w:r>
    </w:p>
    <w:p>
      <w:r>
        <w:t>Retrospektive multizentrische Studie an drei Kohorten (Boston, London, UK Biobank; insgesamt 872.744 Patienten), die einen aus 20-40 Standardlabortests berechneten automatisierten Frailty-Index zur Vorhersage der 1-Jahres-Mortalität in der Notaufnahme und klinischen Routine erprobte.</w:t>
      </w:r>
    </w:p>
    <w:p>
      <w:r>
        <w:rPr>
          <w:b/>
        </w:rPr>
        <w:t xml:space="preserve">Ergebnis: </w:t>
      </w:r>
      <w:r>
        <w:t>Der FI-Lab zeigte Hazard Ratios für 1-Jahres-Mortalität von 2,04 (95%-KI [1,99–2,09]) in MIMIC-IV-ED, 2,55 (95%-KI [2,42–2,69]) in King's College Hospital und 1,87 (95%-KI [1,80–1,94]) in UK Biobank pro Standardabweichung Anstieg – und übertraf damit den National Early Warning Score 2. Die Unterscheidungsfähigkeit stabilisierte sich bei 20–40 Tests. Ein pragmatisches, ohne zusätzliche Messungen anwendbares Instrument.</w:t>
      </w:r>
    </w:p>
    <w:p>
      <w:r>
        <w:rPr>
          <w:b/>
          <w:sz w:val="19"/>
        </w:rPr>
        <w:t xml:space="preserve">Übertragbarkeit: </w:t>
      </w:r>
      <w:r>
        <w:rPr>
          <w:sz w:val="19"/>
        </w:rPr>
        <w:t>UK-Klinikdaten, Notaufnahme-Dokumentation übertragbar auf deutsche Krankenhaussysteme</w:t>
      </w:r>
    </w:p>
    <w:p>
      <w:r>
        <w:rPr>
          <w:color w:val="5A7D3A"/>
          <w:sz w:val="18"/>
        </w:rPr>
        <w:t>https://pubmed.ncbi.nlm.nih.gov/42678992/</w:t>
      </w:r>
    </w:p>
    <w:p>
      <w:pPr>
        <w:pStyle w:val="Heading2"/>
      </w:pPr>
      <w:r>
        <w:t>Intrinsic Capacity senkt kardiovaskuläres Risiko durch multidimensionale Funktionsmessung</w:t>
      </w:r>
    </w:p>
    <w:p>
      <w:r>
        <w:rPr>
          <w:i/>
          <w:color w:val="666666"/>
          <w:sz w:val="18"/>
        </w:rPr>
        <w:t>Zhang Z et al.  ·  Maturitas  ·  15.08.2026  ·  PMID 42612584</w:t>
      </w:r>
    </w:p>
    <w:p>
      <w:r>
        <w:t>Gepoolte Analyse dreier Langzeitkohorten (China, England, USA; 13.807 Probanden) untersuchte, ob Beeinträchtigungen in Intrinsic Capacity (Kognition, Mobilität, Vitalität, psychische Funktion, Sinnesfunktion) unabhängig und gemeinsam mit Hypertonie das Herzinfarkt- und Schlaganfallrisiko vorhersagen.</w:t>
      </w:r>
    </w:p>
    <w:p>
      <w:r>
        <w:rPr>
          <w:b/>
        </w:rPr>
        <w:t xml:space="preserve">Ergebnis: </w:t>
      </w:r>
      <w:r>
        <w:t>Gegenüber intakter Kapazität und normalen Blutdruckwerten zeigten beeinträchtigte IC (HR 1,53; 95%-KI 1,34–1,74), Hypertonie allein (HR 1,68; 95%-KI 1,46–1,93) und beide kombiniert (HR 2,29; 95%-KI 2,02–2,59) erhöhte kardiovaskuläre Ereignisrisiken. Das Modell mit IC-Messung erhöhte die C-Index-Diskriminierung von 0,619 auf 0,649. Progressive Risikozunahme mit jeder zusätzlich beeinträchtigten IC-Domäne.</w:t>
      </w:r>
    </w:p>
    <w:p>
      <w:r>
        <w:rPr>
          <w:b/>
          <w:sz w:val="19"/>
        </w:rPr>
        <w:t xml:space="preserve">Übertragbarkeit: </w:t>
      </w:r>
      <w:r>
        <w:rPr>
          <w:sz w:val="19"/>
        </w:rPr>
        <w:t>Drei Kohorten auf vier Kontinenten, vergleichbare Outcomemessung, Übertragbarkeit hoch</w:t>
      </w:r>
    </w:p>
    <w:p>
      <w:r>
        <w:rPr>
          <w:color w:val="5A7D3A"/>
          <w:sz w:val="18"/>
        </w:rPr>
        <w:t>https://pubmed.ncbi.nlm.nih.gov/42612584/</w:t>
      </w:r>
    </w:p>
    <w:p>
      <w:pPr>
        <w:pStyle w:val="Heading2"/>
      </w:pPr>
      <w:r>
        <w:t>Multidomain-Rehabilitation nach Herzinfarkt wirkt auch bei Frailty – Frailty sollte nicht abschrecken</w:t>
      </w:r>
    </w:p>
    <w:p>
      <w:r>
        <w:rPr>
          <w:i/>
          <w:color w:val="666666"/>
          <w:sz w:val="18"/>
        </w:rPr>
        <w:t>Dal Passo B et al.  ·  Circ Popul Health Outcomes  ·  17.08.2026  ·  PMID 42605666</w:t>
      </w:r>
    </w:p>
    <w:p>
      <w:r>
        <w:t>Prespecified-Subgruppen-Analyse der italienischen PIpELINe-RCT mit 512 Patienten ≥65 Jahren nach Myokardinfarkt; getestet, ob Gebrechlichkeit (Fried-Phänotyp) den Nutzen von multidomäner Rehabilitation (Bewegung, Ernährung, Psyche, Beckenbodentraining) mindert.</w:t>
      </w:r>
    </w:p>
    <w:p>
      <w:r>
        <w:rPr>
          <w:b/>
        </w:rPr>
        <w:t xml:space="preserve">Ergebnis: </w:t>
      </w:r>
      <w:r>
        <w:t>68,4 % (350 von 512) waren prefrail/frail; davon profitierten die 232 der Interventionsgruppe signifikant mit 43 % relativem Risikoreduktion (HR 0,57; 95%-KI 0,34–0,94; p=0,028) für die primäre Endpunkte (kardiovaskulärer Tod oder ungeplante Hospitalisierung). Kein signifikanter Interaktionseffekt: Frailty mindert den Rehabilitations-Nutzen nicht.</w:t>
      </w:r>
    </w:p>
    <w:p>
      <w:r>
        <w:rPr>
          <w:b/>
          <w:sz w:val="19"/>
        </w:rPr>
        <w:t xml:space="preserve">Übertragbarkeit: </w:t>
      </w:r>
      <w:r>
        <w:rPr>
          <w:sz w:val="19"/>
        </w:rPr>
        <w:t>Multizentrische italienische RCT, europäisches Setting, direkt auf deutsches Gesundheitswesen übertragbar</w:t>
      </w:r>
    </w:p>
    <w:p>
      <w:r>
        <w:rPr>
          <w:color w:val="5A7D3A"/>
          <w:sz w:val="18"/>
        </w:rPr>
        <w:t>https://pubmed.ncbi.nlm.nih.gov/42605666/</w:t>
      </w:r>
    </w:p>
    <w:p>
      <w:pPr>
        <w:pStyle w:val="Heading2"/>
      </w:pPr>
      <w:r>
        <w:t>Gebrechlichkeit steigert Demenzrisiko durch Entzündung, Stoffwechsel und vorzeigte Hirnalterung</w:t>
      </w:r>
    </w:p>
    <w:p>
      <w:r>
        <w:rPr>
          <w:i/>
          <w:color w:val="666666"/>
          <w:sz w:val="18"/>
        </w:rPr>
        <w:t>Chen W et al.  ·  J Nutr Health Aging  ·  10.07.2026  ·  PMID 42430904</w:t>
      </w:r>
    </w:p>
    <w:p>
      <w:r>
        <w:t>Kohortenstudie mit 452.516 UK-Biobank-Probanden ohne Demenz-Baseline, Verfolgung 13,7 Jahre: untersucht, ob der Fried-Frailty-Phänotyp das Demenzrisiko steigert und welche Pfade (Entzündung, Stoffwechsel, Hirn-Age-Gap) diese Assoziation vermitteln.</w:t>
      </w:r>
    </w:p>
    <w:p>
      <w:r>
        <w:rPr>
          <w:b/>
        </w:rPr>
        <w:t xml:space="preserve">Ergebnis: </w:t>
      </w:r>
      <w:r>
        <w:t>7.777 Demenzneuerkrankungen; Frailty erhöhte Risiko mit HR 2,21 (95%-KI 2,02–2,42). Mediation: Entzündungs-Score vermittelte 4 %, Stoffwechsel-Score 13 %, beschleunigtes Hirn-Alter (brain-age-gap) 20 % der Frailty-Demenz-Assoziation. Genetische Interaktion nachgewiesen (p=0,033).</w:t>
      </w:r>
    </w:p>
    <w:p>
      <w:r>
        <w:rPr>
          <w:b/>
          <w:sz w:val="19"/>
        </w:rPr>
        <w:t xml:space="preserve">Übertragbarkeit: </w:t>
      </w:r>
      <w:r>
        <w:rPr>
          <w:sz w:val="19"/>
        </w:rPr>
        <w:t>UK Biobank, Bildgebung, Biomarker, Konzept der Frailty-Prävention gegen Demenz auf deutsches Gesundheitswesen übertragbar</w:t>
      </w:r>
    </w:p>
    <w:p>
      <w:r>
        <w:rPr>
          <w:color w:val="5A7D3A"/>
          <w:sz w:val="18"/>
        </w:rPr>
        <w:t>https://pubmed.ncbi.nlm.nih.gov/42430904/</w:t>
      </w:r>
    </w:p>
    <w:p>
      <w:pPr>
        <w:pStyle w:val="Heading2"/>
      </w:pPr>
      <w:r>
        <w:t>Operative Belastung beschleunigt biologisches Altern, körperliche Aktivität puffert Effekt</w:t>
      </w:r>
    </w:p>
    <w:p>
      <w:r>
        <w:rPr>
          <w:i/>
          <w:color w:val="666666"/>
          <w:sz w:val="18"/>
        </w:rPr>
        <w:t>Wang X et al.  ·  J Nutr Health Aging  ·  09.07.2026  ·  PMID 42424841</w:t>
      </w:r>
    </w:p>
    <w:p>
      <w:r>
        <w:t>Querschnittanalyse von 126.668 UK-Biobank-Probanden ≥60 Jahren mit Operationsgeschichte: geprüft, ob Anzahl, Häufigkeit und zeitliche Nähe von Operationen das biologische Alter (PhenoAge-Acceleration) steigern und ob sportliche Aktivität diesen Effekt abschwächt.</w:t>
      </w:r>
    </w:p>
    <w:p>
      <w:r>
        <w:rPr>
          <w:b/>
        </w:rPr>
        <w:t xml:space="preserve">Ergebnis: </w:t>
      </w:r>
      <w:r>
        <w:t>≥4 Operationen assoziiert mit 0,14–0,39 Jahren PhenoAge-Acceleration. Operationen im Abstand ≤1 Jahr: +0,11 Jahre Beschleunigung. Operation ≤1 Jahr zurück: +0,35 Jahre Beschleunigung. Hohe körperliche Aktivität (≥600 MET-min/Woche) minderte diese Effekte deutlich; nur bei ≥5 Operationen blieb Beschleunigung signifikant.</w:t>
      </w:r>
    </w:p>
    <w:p>
      <w:r>
        <w:rPr>
          <w:b/>
          <w:sz w:val="19"/>
        </w:rPr>
        <w:t xml:space="preserve">Übertragbarkeit: </w:t>
      </w:r>
      <w:r>
        <w:rPr>
          <w:sz w:val="19"/>
        </w:rPr>
        <w:t>UK Biobank, Operationsdaten und PhenoAge-Biomarker verfügbar, Aktivitätsbewertung übertragbar</w:t>
      </w:r>
    </w:p>
    <w:p>
      <w:r>
        <w:rPr>
          <w:color w:val="5A7D3A"/>
          <w:sz w:val="18"/>
        </w:rPr>
        <w:t>https://pubmed.ncbi.nlm.nih.gov/42424841/</w:t>
      </w:r>
    </w:p>
    <w:p>
      <w:pPr>
        <w:pStyle w:val="Heading1"/>
      </w:pPr>
      <w:r>
        <w:t>Aufgenommen am 15.09.2026</w:t>
      </w:r>
    </w:p>
    <w:p>
      <w:pPr>
        <w:pStyle w:val="Heading2"/>
      </w:pPr>
      <w:r>
        <w:t>Loneliness und Benzodiazepine: Assoziationen bei älteren Kanadiern</w:t>
      </w:r>
    </w:p>
    <w:p>
      <w:r>
        <w:rPr>
          <w:i/>
          <w:color w:val="666666"/>
          <w:sz w:val="18"/>
        </w:rPr>
        <w:t>Watt JA et al.  ·  Age Ageing  ·  04.09.2026  ·  PMID 42735388</w:t>
      </w:r>
    </w:p>
    <w:p>
      <w:r>
        <w:t>Querschnittsstudie mit prospektiver Kohortennachbeobachtung (kanadische Longitudinal Study on Aging) zum Zusammenhang zwischen Einsamkeit und neuem Medikamentengebrauch (Benzodiazepine, Opioide).</w:t>
      </w:r>
    </w:p>
    <w:p>
      <w:r>
        <w:rPr>
          <w:b/>
        </w:rPr>
        <w:t xml:space="preserve">Ergebnis: </w:t>
      </w:r>
      <w:r>
        <w:t>Von 29.976 Teilnehmern waren 10,8% einsam. Einsame Teilnehmer hatten höhere Quote neuer Benzodiazepinnutzung (aOR 1,94, 95%-KI 1,47–2,57) und Opioidnutzung (aOR 1,43, 95%-KI 1,05–1,93) als nicht einsame. Einsamkeit blieb mit Benzodiazepinen assoziiert nach Adjustierung für Stimmungs- und Angststörungen. Multimodale Interventionen gegen Einsamkeit könnten Deprescribing unterstützen.</w:t>
      </w:r>
    </w:p>
    <w:p>
      <w:r>
        <w:rPr>
          <w:b/>
          <w:sz w:val="19"/>
        </w:rPr>
        <w:t xml:space="preserve">Übertragbarkeit: </w:t>
      </w:r>
      <w:r>
        <w:rPr>
          <w:sz w:val="19"/>
        </w:rPr>
        <w:t>Kanada, vergleichbares Sozialversicherungssystem, hohe Relevanz für deutsche Versorgung</w:t>
      </w:r>
    </w:p>
    <w:p>
      <w:r>
        <w:rPr>
          <w:color w:val="5A7D3A"/>
          <w:sz w:val="18"/>
        </w:rPr>
        <w:t>https://pubmed.ncbi.nlm.nih.gov/42735388/</w:t>
      </w:r>
    </w:p>
    <w:p>
      <w:pPr>
        <w:pStyle w:val="Heading2"/>
      </w:pPr>
      <w:r>
        <w:t>Schweregrad der Frailty: Schwellen und minimale klinisch relevante Unterschiede</w:t>
      </w:r>
    </w:p>
    <w:p>
      <w:r>
        <w:rPr>
          <w:i/>
          <w:color w:val="666666"/>
          <w:sz w:val="18"/>
        </w:rPr>
        <w:t>Álvarez-Bustos A et al.  ·  Age Ageing  ·  04.09.2026  ·  PMID 42735387</w:t>
      </w:r>
    </w:p>
    <w:p>
      <w:r>
        <w:t>Prospektive Kohortenstudie (n=1.811, Alter ≥65 Jahre) zur Validation der Frailty Trait Scale (FTS) mit Outcomes Behinderung, Hospitalisierung und Mortalität.</w:t>
      </w:r>
    </w:p>
    <w:p>
      <w:r>
        <w:rPr>
          <w:b/>
        </w:rPr>
        <w:t xml:space="preserve">Ergebnis: </w:t>
      </w:r>
      <w:r>
        <w:t>Dosis-Wirkungs-Beziehung zwischen Frailty-Score und allen Outcomes mit unterschiedlichen Schwellen: Behinderungsrisiko ab 25/100 FTS, Hospitalisierung ab 40/100, Mortalität ab 50/100. Reductions in FTS-Scores ≥10,3 schützten vor Hospitalisierung (HR 0,74, 95%-KI 0,56–0,99) und ≥4,5 vor Mortalität (HR 0,65, 95%-KI 0,45–0,95). Tool überwindet Grenzen klassischer Assessment-Instrumente.</w:t>
      </w:r>
    </w:p>
    <w:p>
      <w:r>
        <w:rPr>
          <w:b/>
          <w:sz w:val="19"/>
        </w:rPr>
        <w:t xml:space="preserve">Übertragbarkeit: </w:t>
      </w:r>
      <w:r>
        <w:rPr>
          <w:sz w:val="19"/>
        </w:rPr>
        <w:t>Spanien, vergleichbares europäisches Sozialversicherungssystem und Altersstruktur</w:t>
      </w:r>
    </w:p>
    <w:p>
      <w:r>
        <w:rPr>
          <w:color w:val="5A7D3A"/>
          <w:sz w:val="18"/>
        </w:rPr>
        <w:t>https://pubmed.ncbi.nlm.nih.gov/42735387/</w:t>
      </w:r>
    </w:p>
    <w:p>
      <w:pPr>
        <w:pStyle w:val="Heading2"/>
      </w:pPr>
      <w:r>
        <w:t>Internet-Nutzung und kognitive Funktionsfähigkeit: Effekt bei älteren Erwachsenen während COVID-19</w:t>
      </w:r>
    </w:p>
    <w:p>
      <w:r>
        <w:rPr>
          <w:i/>
          <w:color w:val="666666"/>
          <w:sz w:val="18"/>
        </w:rPr>
        <w:t>Xu J et al.  ·  Arch Clin Neuropsychol  ·  09.09.2026  ·  PMID 42734926</w:t>
      </w:r>
    </w:p>
    <w:p>
      <w:r>
        <w:t>Längsschnittstudie (China Health and Retirement Longitudinal Study, n=3.346 Baseline-Offline-Nutzer, davon 1.699 neue Internet-Adopter) zu kognitiven und depressiven Veränderungen nach Internetadoption.</w:t>
      </w:r>
    </w:p>
    <w:p>
      <w:r>
        <w:rPr>
          <w:b/>
        </w:rPr>
        <w:t xml:space="preserve">Ergebnis: </w:t>
      </w:r>
      <w:r>
        <w:t>Neue Internet-Adoption war assoziiert mit stärkerer Zunahme der kognitiven Funktion (10-Punkt MMSE-Score β=0,28, 95%-KI 0,11–0,44, p&lt;0,001) gegenüber konstanter Nicht-Nutzung. Effekt blieb in Sensitivitätsanalysen stabil. Keine signifikante Assoziation mit depressiven Symptomveränderungen (β=-0,18, p=0,40). Digital inclusion relevant für kognitive Gesundheit älterer Erwachsener.</w:t>
      </w:r>
    </w:p>
    <w:p>
      <w:r>
        <w:rPr>
          <w:b/>
          <w:sz w:val="19"/>
        </w:rPr>
        <w:t xml:space="preserve">Übertragbarkeit: </w:t>
      </w:r>
      <w:r>
        <w:rPr>
          <w:sz w:val="19"/>
        </w:rPr>
        <w:t>China, andere Altersstruktur und Digitalisierungskontext; kognitiver Effekt kulturunabhängig wahrscheinlich</w:t>
      </w:r>
    </w:p>
    <w:p>
      <w:r>
        <w:rPr>
          <w:color w:val="5A7D3A"/>
          <w:sz w:val="18"/>
        </w:rPr>
        <w:t>https://pubmed.ncbi.nlm.nih.gov/42734926/</w:t>
      </w:r>
    </w:p>
    <w:p>
      <w:pPr>
        <w:pStyle w:val="Heading2"/>
      </w:pPr>
      <w:r>
        <w:t>Frailty-Konzept in der Patientenkommunikation: kreative Beteiligungsmethoden</w:t>
      </w:r>
    </w:p>
    <w:p>
      <w:r>
        <w:rPr>
          <w:i/>
          <w:color w:val="666666"/>
          <w:sz w:val="18"/>
        </w:rPr>
        <w:t>Lammons W et al.  ·  Health Expect  ·  Okt. 2026  ·  PMID 42734162</w:t>
      </w:r>
    </w:p>
    <w:p>
      <w:r>
        <w:t>Qualitative Studie mit 3 kreativen Public-Involvement-Workshops (Gedichte, Quilting, n=22) zur Exploration von Patientenperspektiven auf Gebrechlichkeit und Patientenkommunikation.</w:t>
      </w:r>
    </w:p>
    <w:p>
      <w:r>
        <w:rPr>
          <w:b/>
        </w:rPr>
        <w:t xml:space="preserve">Ergebnis: </w:t>
      </w:r>
      <w:r>
        <w:t>Partizipanten kritisierten Begriff 'Frailty' als stigmatisierend und ungenau; forderten personalisierte, erfahrungsorientierte Kommunikation. Themen: Schwierigkeiten mit Frailty-Begriff, Personalisierung in Patientengesprächsen, Zeitdruck im Gesundheitswesen. Kreative Methoden ermöglichten nicht-diskursiven Zugang zu kontroversen Konzepten, verbesserten Topic Guide und Datenanalyse der Forschung.</w:t>
      </w:r>
    </w:p>
    <w:p>
      <w:r>
        <w:rPr>
          <w:b/>
          <w:sz w:val="19"/>
        </w:rPr>
        <w:t xml:space="preserve">Übertragbarkeit: </w:t>
      </w:r>
      <w:r>
        <w:rPr>
          <w:sz w:val="19"/>
        </w:rPr>
        <w:t>Großbritannien, NHS-System; patientenzentrierte Versorgungsfragen gelten länderübergreifend</w:t>
      </w:r>
    </w:p>
    <w:p>
      <w:r>
        <w:rPr>
          <w:color w:val="5A7D3A"/>
          <w:sz w:val="18"/>
        </w:rPr>
        <w:t>https://pubmed.ncbi.nlm.nih.gov/42734162/</w:t>
      </w:r>
    </w:p>
    <w:p>
      <w:pPr>
        <w:pStyle w:val="Heading2"/>
      </w:pPr>
      <w:r>
        <w:t>Lebenserwartung USA 2024: Zuwächse nach Rückgang in Vorjahren</w:t>
      </w:r>
    </w:p>
    <w:p>
      <w:r>
        <w:rPr>
          <w:i/>
          <w:color w:val="666666"/>
          <w:sz w:val="18"/>
        </w:rPr>
        <w:t>Arias E et al.  ·  Natl Vital Stat Rep  ·  Aug. 2026  ·  PMID 42727234</w:t>
      </w:r>
    </w:p>
    <w:p>
      <w:r>
        <w:t>Amtliche amerikanische Sterbetafel basierend auf 2024-Mortalitätsdaten; Gesamtpopulation und stratifiziert nach Ethnie, Rasse und Geschlecht.</w:t>
      </w:r>
    </w:p>
    <w:p>
      <w:r>
        <w:rPr>
          <w:b/>
        </w:rPr>
        <w:t xml:space="preserve">Ergebnis: </w:t>
      </w:r>
      <w:r>
        <w:t>Gesamtlebenserwartung bei Geburt 79,0 Jahre (+0,6 vs. 2023). Männer +0,7 Jahre (75,8→76,5), Frauen +0,3 Jahre (81,1→81,4). Nach Ethnie: American Indian/Alaska Native +1,0 (70,1→71,1), Black +0,8 (74,0→74,8), Asian +0,6 (85,2→85,8), Hispanic +0,5 (81,3→81,8), White +0,5 (78,4→78,9). Fortsetzung des Wiederaufwärts-Trends nach COVID-19-Dip.</w:t>
      </w:r>
    </w:p>
    <w:p>
      <w:r>
        <w:rPr>
          <w:b/>
          <w:sz w:val="19"/>
        </w:rPr>
        <w:t xml:space="preserve">Übertragbarkeit: </w:t>
      </w:r>
      <w:r>
        <w:rPr>
          <w:sz w:val="19"/>
        </w:rPr>
        <w:t>USA, grundlegend andere Finanzierungsstruktur des Gesundheitswesens; Trend-Aussage transnational relevant</w:t>
      </w:r>
    </w:p>
    <w:p>
      <w:r>
        <w:rPr>
          <w:color w:val="5A7D3A"/>
          <w:sz w:val="18"/>
        </w:rPr>
        <w:t>https://pubmed.ncbi.nlm.nih.gov/42727234/</w:t>
      </w:r>
    </w:p>
    <w:p>
      <w:pPr>
        <w:pStyle w:val="Heading1"/>
      </w:pPr>
      <w:r>
        <w:t>Aufgenommen am 14.09.2026</w:t>
      </w:r>
    </w:p>
    <w:p>
      <w:pPr>
        <w:pStyle w:val="Heading2"/>
      </w:pPr>
      <w:r>
        <w:t>Umweltbelastung und Frailty bei älteren Menschen nach Trauma: WTC-Responder-Kohorte</w:t>
      </w:r>
    </w:p>
    <w:p>
      <w:r>
        <w:rPr>
          <w:i/>
          <w:color w:val="666666"/>
          <w:sz w:val="18"/>
        </w:rPr>
        <w:t>Krasnov H et al.  ·  Nat Commun  ·  11.09.2026  ·  PMID 42728266</w:t>
      </w:r>
    </w:p>
    <w:p>
      <w:r>
        <w:t>Analysierte in Längsschnittkohort (18.734 WTC-Responder) den Zusammenhang zwischen städtischen Umweltexpositionen (Feinstaub, Temperatur, Grünflächen) und Frailty sowie psychiatrischen Symptomen, adjustiert für Traumaexposition.</w:t>
      </w:r>
    </w:p>
    <w:p>
      <w:r>
        <w:rPr>
          <w:b/>
        </w:rPr>
        <w:t xml:space="preserve">Ergebnis: </w:t>
      </w:r>
      <w:r>
        <w:t>Ein Dezil-Anstieg der Gesamt-Expositionsmischung assoziiert mit erhöhter Frailty (0,56%; 95%-KI: 0,14%-0,98%) und Post-Traumatic-Stress-Disorder-Scores (0,31%; 95%-KI: 0,07%-0,55%); Effekte stärker bei Responders mit höherer WTC-Exposition. Deutet auf biologische Langzeitvulnerabilität nach Trauma und Toxinexposition hin.</w:t>
      </w:r>
    </w:p>
    <w:p>
      <w:r>
        <w:rPr>
          <w:b/>
          <w:sz w:val="19"/>
        </w:rPr>
        <w:t xml:space="preserve">Übertragbarkeit: </w:t>
      </w:r>
      <w:r>
        <w:rPr>
          <w:sz w:val="19"/>
        </w:rPr>
        <w:t>USA-Kohorte; Befunde zu Umwelteffekten auf Frailty übertragbar, aber langfristige Trauma-Exposition länderspezifisch</w:t>
      </w:r>
    </w:p>
    <w:p>
      <w:r>
        <w:rPr>
          <w:color w:val="5A7D3A"/>
          <w:sz w:val="18"/>
        </w:rPr>
        <w:t>https://pubmed.ncbi.nlm.nih.gov/42728266/</w:t>
      </w:r>
    </w:p>
    <w:p>
      <w:pPr>
        <w:pStyle w:val="Heading2"/>
      </w:pPr>
      <w:r>
        <w:t>Terpenoide und Seneszenz in Lungenkrebszellen: Versorgungsrelevanz begrenzt</w:t>
      </w:r>
    </w:p>
    <w:p>
      <w:r>
        <w:rPr>
          <w:i/>
          <w:color w:val="666666"/>
          <w:sz w:val="18"/>
        </w:rPr>
        <w:t>Niharika K et al.  ·  Daru  ·  11.09.2026  ·  PMID 42726380</w:t>
      </w:r>
    </w:p>
    <w:p>
      <w:r>
        <w:t>Übersichtsarbeit zu 46 Terpenoiden mit Effekten auf Autophagie und zelluläre Seneszenz in Lungenkrebszellen in vitro (ohne In-vivo-Studien oder klinische Endpunkte).</w:t>
      </w:r>
    </w:p>
    <w:p>
      <w:r>
        <w:rPr>
          <w:b/>
        </w:rPr>
        <w:t xml:space="preserve">Ergebnis: </w:t>
      </w:r>
      <w:r>
        <w:t>Terpenoide beeinflussen zentrale Signalweg-Knoten (AMPK, NF-κB, MAPK, PI3K/AKT/mTOR, ROS, p53); begrenzte klinische Translation durch schlechte Löslichkeit und Bioverfügbarkeit. Überblick ohne Angabe von Effektgrößen oder klinischen Ergebnissen - ausgeschlossen da keine gemessenen Endpunkte beim Menschen.</w:t>
      </w:r>
    </w:p>
    <w:p>
      <w:r>
        <w:rPr>
          <w:color w:val="5A7D3A"/>
          <w:sz w:val="18"/>
        </w:rPr>
        <w:t>https://pubmed.ncbi.nlm.nih.gov/42726380/</w:t>
      </w:r>
    </w:p>
    <w:p>
      <w:pPr>
        <w:pStyle w:val="Heading2"/>
      </w:pPr>
      <w:r>
        <w:t>Muskelkraft und Mortalität im Alter: Versorgungsepidemiologie und Prävention</w:t>
      </w:r>
    </w:p>
    <w:p>
      <w:r>
        <w:rPr>
          <w:i/>
          <w:color w:val="666666"/>
          <w:sz w:val="18"/>
        </w:rPr>
        <w:t>Puelles-Diaz A  ·  Front Public Health  ·  27.08.2026  ·  PMID 42724145</w:t>
      </w:r>
    </w:p>
    <w:p>
      <w:r>
        <w:t>Analysierte Evidenz zur Muskelgesundheit (Kraft, Masse, Funktion) als eigenständiges Versorgungsziel in der Altersmedizin und entwickelte einen Implementierungsrahmen für Primary-Care-Assessment und Resistenztraining.</w:t>
      </w:r>
    </w:p>
    <w:p>
      <w:r>
        <w:rPr>
          <w:b/>
        </w:rPr>
        <w:t xml:space="preserve">Ergebnis: </w:t>
      </w:r>
      <w:r>
        <w:t>Muskelkraft sagt Mortalität voraus, unabhängig von körperlicher Aktivität; Randomisierte Studien mit bis zu 36 Monaten Nachverfolgung zeigen größere Nutzen durch Widerstands- und multimodale Trainingsprogramme (speziell bei Personen mit funktioneller Beeinträchtigung). Identifizierte drei Versorgungslücken: begrenzte Assessment-Nutzung in der Primärversorgung, fragmentierte Prävention mit Unterbewertung von Resistenztraining, fehlende funktionale Kapazität in globalen NCD-Rahmen.</w:t>
      </w:r>
    </w:p>
    <w:p>
      <w:r>
        <w:rPr>
          <w:b/>
          <w:sz w:val="19"/>
        </w:rPr>
        <w:t xml:space="preserve">Übertragbarkeit: </w:t>
      </w:r>
      <w:r>
        <w:rPr>
          <w:sz w:val="19"/>
        </w:rPr>
        <w:t>Internationale Evidenz aus Japan, Europa, Nordamerika und Brasilien mit direktem deutschem Versorgungsbezug</w:t>
      </w:r>
    </w:p>
    <w:p>
      <w:r>
        <w:rPr>
          <w:color w:val="5A7D3A"/>
          <w:sz w:val="18"/>
        </w:rPr>
        <w:t>https://pubmed.ncbi.nlm.nih.gov/42724145/</w:t>
      </w:r>
    </w:p>
    <w:p>
      <w:pPr>
        <w:pStyle w:val="Heading2"/>
      </w:pPr>
      <w:r>
        <w:t>Transitions-Care-Programm in Australien: Effektivität und Kosten 2006-2024</w:t>
      </w:r>
    </w:p>
    <w:p>
      <w:r>
        <w:rPr>
          <w:i/>
          <w:color w:val="666666"/>
          <w:sz w:val="18"/>
        </w:rPr>
        <w:t>Reid N et al.  ·  Australas J Ageing  ·  Sept. 2026  ·  PMID 42712137</w:t>
      </w:r>
    </w:p>
    <w:p>
      <w:r>
        <w:t>Analysierte 18 Jahre öffentlicher Daten zum australischen Kurz-Rehabilitations-Programm nach Klinikaufenthalt (Demografie, Inanspruchnahme, Kosten, funktioneller Status mit Modified-Barthel-Index).</w:t>
      </w:r>
    </w:p>
    <w:p>
      <w:r>
        <w:rPr>
          <w:b/>
        </w:rPr>
        <w:t xml:space="preserve">Ergebnis: </w:t>
      </w:r>
      <w:r>
        <w:t>351.981 Klienten über Studienzeitraum; Fallzahlen pro anno +143% (2006-2007 bis 2016-2017), dann Rückgang auf 14.388 (2022-2023). Verweildauer +60% (48 auf 77 Tage), Durchschnittskosten pro Episode +261% (A$9.996 auf A$36.093), jedoch minimale Änderung in Ein- (69,7-72,1) oder Austritts-MBI (79,5-83). Weniger Menschen erhalten Zugang trotz wachsender Bevölkerung und steigender zugeteilter Plätze.</w:t>
      </w:r>
    </w:p>
    <w:p>
      <w:r>
        <w:rPr>
          <w:b/>
          <w:sz w:val="19"/>
        </w:rPr>
        <w:t xml:space="preserve">Übertragbarkeit: </w:t>
      </w:r>
      <w:r>
        <w:rPr>
          <w:sz w:val="19"/>
        </w:rPr>
        <w:t>Australien, ähnliche Versorgungsstrukturen und Finanzierung wie europäische Sozialsysteme</w:t>
      </w:r>
    </w:p>
    <w:p>
      <w:r>
        <w:rPr>
          <w:color w:val="5A7D3A"/>
          <w:sz w:val="18"/>
        </w:rPr>
        <w:t>https://pubmed.ncbi.nlm.nih.gov/42712137/</w:t>
      </w:r>
    </w:p>
    <w:p>
      <w:pPr>
        <w:pStyle w:val="Heading2"/>
      </w:pPr>
      <w:r>
        <w:t>Healthspan-Strategien im italienischen Gesundheitssystem: Rahmenbedingungen und Prioritäten</w:t>
      </w:r>
    </w:p>
    <w:p>
      <w:r>
        <w:rPr>
          <w:i/>
          <w:color w:val="666666"/>
          <w:sz w:val="18"/>
        </w:rPr>
        <w:t>Marino N et al.  ·  Aging (Albany NY)  ·  16.07.2026  ·  PMID 42467494</w:t>
      </w:r>
    </w:p>
    <w:p>
      <w:r>
        <w:t>Position Paper zur Integration von Longevity Medicine (Prävention mit mehromischen Biomarkern und Risikoschichtung) in das italienische SSN vor dem Hintergrund von 24,1% der Bevölkerung ≥65 Jahre und einer Healthspan-Lücke von 15-16 Jahren.</w:t>
      </w:r>
    </w:p>
    <w:p>
      <w:r>
        <w:rPr>
          <w:b/>
        </w:rPr>
        <w:t xml:space="preserve">Ergebnis: </w:t>
      </w:r>
      <w:r>
        <w:t>Italien: höchster EU-Anteil Älterer (24,1%), median age 51 Jahre bis 2050 projiziert; Lebenserw. 85,4 (Frauen) / 81,4 (Männer) Jahre vs. gesunde Lebensjahre 69,6 / 68,5 (Lücke: 15-18 Jahre); Multimorbiditäts- und Behinderungsprävalenz &gt;60% bei ≥75-Jährigen. Empfiehlt fünf Investitionsprioritäten: validierte Biomarker biologisches Alter, digitale Plattformen, adaptive Studien, explainable-AI-Risikoschichtung, Lehrcurricula.</w:t>
      </w:r>
    </w:p>
    <w:p>
      <w:r>
        <w:rPr>
          <w:b/>
          <w:sz w:val="19"/>
        </w:rPr>
        <w:t xml:space="preserve">Übertragbarkeit: </w:t>
      </w:r>
      <w:r>
        <w:rPr>
          <w:sz w:val="19"/>
        </w:rPr>
        <w:t>Italien mit deutschsprachigem Raum vergleichbare Bevölkerungsstruktur und Sozialversicherung</w:t>
      </w:r>
    </w:p>
    <w:p>
      <w:r>
        <w:rPr>
          <w:color w:val="5A7D3A"/>
          <w:sz w:val="18"/>
        </w:rPr>
        <w:t>https://pubmed.ncbi.nlm.nih.gov/42467494/</w:t>
      </w:r>
    </w:p>
    <w:p>
      <w:pPr>
        <w:pStyle w:val="Heading1"/>
      </w:pPr>
      <w:r>
        <w:t>Aufgenommen am 13.09.2026</w:t>
      </w:r>
    </w:p>
    <w:p>
      <w:pPr>
        <w:pStyle w:val="Heading2"/>
      </w:pPr>
      <w:r>
        <w:t>Altern von Personen mit Typ-1-Diabetes: prospektive Kohorte zur funktionellen Fähigkeit</w:t>
      </w:r>
    </w:p>
    <w:p>
      <w:r>
        <w:rPr>
          <w:i/>
          <w:color w:val="666666"/>
          <w:sz w:val="18"/>
        </w:rPr>
        <w:t>Nicklén J et al.  ·  BMJ Open  ·  11.09.2026  ·  PMID 42731824</w:t>
      </w:r>
    </w:p>
    <w:p>
      <w:r>
        <w:t>Studienprotokoll für prospektive Kohortenstudie (FinnDiane LifeOne) mit mindestens 300 älteren Personen mit Typ-1-Diabetes (&gt;65 Jahre) und 100 gematchten Kontrollen zur Untersuchung der funktionellen Fähigkeit und gesunden Alterns über 5 Jahre mit geriatrischem Assessment.</w:t>
      </w:r>
    </w:p>
    <w:p>
      <w:r>
        <w:rPr>
          <w:b/>
        </w:rPr>
        <w:t xml:space="preserve">Ergebnis: </w:t>
      </w:r>
      <w:r>
        <w:t>Eingeschlossene Studien: ≥300 Patienten mit T1D, ≥100 Kontrollen, gematchte Vergleichgruppe. Umfassendes geriatrisches Assessment mit 5-jährlichen Intervallen. Fokus auf fünf Domänen der intrinsic capacity: Kognition, Vitalität, Sensomotorisch, Lokomotion, Psychologisch. Follow-up-Strukturen und Vergleichsdesign etabliert; endgültige Ergebnisse stehen aus.</w:t>
      </w:r>
    </w:p>
    <w:p>
      <w:r>
        <w:rPr>
          <w:b/>
          <w:sz w:val="19"/>
        </w:rPr>
        <w:t xml:space="preserve">Übertragbarkeit: </w:t>
      </w:r>
      <w:r>
        <w:rPr>
          <w:sz w:val="19"/>
        </w:rPr>
        <w:t>Skandinavisches Gesundheitssystem, prospektiv designt mit europäischen Standards; übertragbar auf Deutschland.</w:t>
      </w:r>
    </w:p>
    <w:p>
      <w:r>
        <w:rPr>
          <w:color w:val="5A7D3A"/>
          <w:sz w:val="18"/>
        </w:rPr>
        <w:t>https://pubmed.ncbi.nlm.nih.gov/42731824/</w:t>
      </w:r>
    </w:p>
    <w:p>
      <w:pPr>
        <w:pStyle w:val="Heading2"/>
      </w:pPr>
      <w:r>
        <w:t>Sitzzeit und Funktionsfähigkeit im Alter: Längere Sitzzeit reduziert Muskelmasse und ADL</w:t>
      </w:r>
    </w:p>
    <w:p>
      <w:r>
        <w:rPr>
          <w:i/>
          <w:color w:val="666666"/>
          <w:sz w:val="18"/>
        </w:rPr>
        <w:t>Yoon TH et al.  ·  PeerJ  ·  08.09.2026  ·  PMID 42730319</w:t>
      </w:r>
    </w:p>
    <w:p>
      <w:r>
        <w:t>Querschnittstudie an 200 Älteren (65–96 Jahre) zur Assoziation von täglicher Sitzzeit (&lt;6, 6–8, &gt;8 h) mit Sarcopenia-Markern und funktioneller Unabhängigkeit in ADL und IADL.</w:t>
      </w:r>
    </w:p>
    <w:p>
      <w:r>
        <w:rPr>
          <w:b/>
        </w:rPr>
        <w:t xml:space="preserve">Ergebnis: </w:t>
      </w:r>
      <w:r>
        <w:t>Höhere Sitzzeit war negativ mit Appendicular Skeletal Muscle (β = −0,415; p &lt; 0,001), Wadenschritt (β = −0,442; p &lt; 0,001) und Griffstärke (β = −0,385; p &lt; 0,001) assoziiert und positiv mit 5-Stühle-Stand-Test (β = 0,465; p &lt; 0,001). Sitzzeit korrelierte negativ mit ADL-Summe (β = −0,308; p &lt; 0,001) und IADL-Summe (β = −0,410; p &lt; 0,001). Assoziationen blieben nach Altersadjustierung signifikant.</w:t>
      </w:r>
    </w:p>
    <w:p>
      <w:r>
        <w:rPr>
          <w:b/>
          <w:sz w:val="19"/>
        </w:rPr>
        <w:t xml:space="preserve">Übertragbarkeit: </w:t>
      </w:r>
      <w:r>
        <w:rPr>
          <w:sz w:val="19"/>
        </w:rPr>
        <w:t>Prävention durch Reduktion von Sitzzeit ist in allen europäischen Kontexten implementierbar.</w:t>
      </w:r>
    </w:p>
    <w:p>
      <w:r>
        <w:rPr>
          <w:color w:val="5A7D3A"/>
          <w:sz w:val="18"/>
        </w:rPr>
        <w:t>https://pubmed.ncbi.nlm.nih.gov/42730319/</w:t>
      </w:r>
    </w:p>
    <w:p>
      <w:pPr>
        <w:pStyle w:val="Heading2"/>
      </w:pPr>
      <w:r>
        <w:t>Frailty und kognitives Altern: Assoziationen mit ungünstigeren kognitiven Verlaufsmustern</w:t>
      </w:r>
    </w:p>
    <w:p>
      <w:r>
        <w:rPr>
          <w:i/>
          <w:color w:val="666666"/>
          <w:sz w:val="18"/>
        </w:rPr>
        <w:t>Wang X et al.  ·  Alzheimers Dement  ·  Sept. 2026  ·  PMID 42723149</w:t>
      </w:r>
    </w:p>
    <w:p>
      <w:r>
        <w:t>Längsschnittstudie an 19.586 Personen aus drei nationalen Kohorten (China, England, USA) zur Assoziation von Frailty-Status und kognitiver Veränderung über Zeit.</w:t>
      </w:r>
    </w:p>
    <w:p>
      <w:r>
        <w:rPr>
          <w:b/>
        </w:rPr>
        <w:t xml:space="preserve">Ergebnis: </w:t>
      </w:r>
      <w:r>
        <w:t>Baseline-Frailty war mit stärkerem jährlichen kognitiven Rückgang assoziiert (β = −0,023 SD/Jahr; p &lt; 0,001). Verschlechterung von robust zu pre-frail oder frail war mit mehr negativem Rückgang verbunden (β = −0,025 SD/Jahr). In trajektoriengestützen Analysen zeigten Baseline-Frailty, höhere mittlere Frailty-Last und Frailty-Verschlechterung Assoziationen mit weniger günstigen kognitiven Verläufen. Frailty-Verbesserung war direktional mit günstigeren Gruppen assoziiert.</w:t>
      </w:r>
    </w:p>
    <w:p>
      <w:r>
        <w:rPr>
          <w:b/>
          <w:sz w:val="19"/>
        </w:rPr>
        <w:t xml:space="preserve">Übertragbarkeit: </w:t>
      </w:r>
      <w:r>
        <w:rPr>
          <w:sz w:val="19"/>
        </w:rPr>
        <w:t>Vergleichbare nationale Gesundheitsdatenstrukturen; kognitives Altern als Endpunkt relevant für deutsche Versorgung.</w:t>
      </w:r>
    </w:p>
    <w:p>
      <w:r>
        <w:rPr>
          <w:color w:val="5A7D3A"/>
          <w:sz w:val="18"/>
        </w:rPr>
        <w:t>https://pubmed.ncbi.nlm.nih.gov/42723149/</w:t>
      </w:r>
    </w:p>
    <w:p>
      <w:pPr>
        <w:pStyle w:val="Heading2"/>
      </w:pPr>
      <w:r>
        <w:t>Frailty und COPD: bidirektionale Beziehung im Kontext von Systemalterung und Trainingsresponse</w:t>
      </w:r>
    </w:p>
    <w:p>
      <w:r>
        <w:rPr>
          <w:i/>
          <w:color w:val="666666"/>
          <w:sz w:val="18"/>
        </w:rPr>
        <w:t>Maniscalco M et al.  ·  Eur Respir Rev  ·  09.09.2026  ·  PMID 42716547</w:t>
      </w:r>
    </w:p>
    <w:p>
      <w:r>
        <w:t>Narrative Übersichtsarbeit zu biologischen und klinischen Verbindungen von COPD, Frailty und körperlicher Aktivität unter Anwendung von Geroscience-Prinzipien.</w:t>
      </w:r>
    </w:p>
    <w:p>
      <w:r>
        <w:rPr>
          <w:b/>
        </w:rPr>
        <w:t xml:space="preserve">Ergebnis: </w:t>
      </w:r>
      <w:r>
        <w:t>Gemeinsame biologische Mechanismen: chronische Entzündung, oxidativer Stress, Mitochondriendysfunktion, Muskelatrophie. Kombiniertes aerobes, Widerstands- und Balance-Training zeigt stärkste Evidenz zur Verbesserung von Funktionsstatus und Lebensqualität bei frail-COPD. Exercise induziert Hormeseeffekte: gesteigerte Mitochondriogenese, verbessertes Redox-Balance, Upregulation von antioxidativen Wegen und Zellreparaturmechanismen.</w:t>
      </w:r>
    </w:p>
    <w:p>
      <w:r>
        <w:rPr>
          <w:b/>
          <w:sz w:val="19"/>
        </w:rPr>
        <w:t xml:space="preserve">Übertragbarkeit: </w:t>
      </w:r>
      <w:r>
        <w:rPr>
          <w:sz w:val="19"/>
        </w:rPr>
        <w:t>Geroscience-Rahmen auf deutsche COPD-Versorgung und Rehabilitation übertragbar.</w:t>
      </w:r>
    </w:p>
    <w:p>
      <w:r>
        <w:rPr>
          <w:color w:val="5A7D3A"/>
          <w:sz w:val="18"/>
        </w:rPr>
        <w:t>https://pubmed.ncbi.nlm.nih.gov/42716547/</w:t>
      </w:r>
    </w:p>
    <w:p>
      <w:pPr>
        <w:pStyle w:val="Heading2"/>
      </w:pPr>
      <w:r>
        <w:t>Normaler altersgerechter Rückgang der Vitalkapazität: systematische Analyse und Metaanalyse</w:t>
      </w:r>
    </w:p>
    <w:p>
      <w:r>
        <w:rPr>
          <w:i/>
          <w:color w:val="666666"/>
          <w:sz w:val="18"/>
        </w:rPr>
        <w:t>Satia I et al.  ·  Eur Respir Rev  ·  09.09.2026  ·  PMID 42716546</w:t>
      </w:r>
    </w:p>
    <w:p>
      <w:r>
        <w:t>Systematische Übersichtsarbeit und Metaanalyse von 35 Kohorten mit über 365.000 Teilnehmern zu altersbezogenen Veränderungen der Vitalkapazität (FVC) bei Personen ohne Lungenerkrankung über bis zu 35 Jahre Follow-up.</w:t>
      </w:r>
    </w:p>
    <w:p>
      <w:r>
        <w:rPr>
          <w:b/>
        </w:rPr>
        <w:t xml:space="preserve">Ergebnis: </w:t>
      </w:r>
      <w:r>
        <w:t>FVC erreicht Spitzenwert Mitte 20er, sinkt kontinuierlich linear ab ohne Plateau. Bei Frauen Abfall von ca. 26 mL/Jahr, bei Männern biphasisch: ca. 22 mL/Jahr vor 40 Jahren, dann ca. 36 mL/Jahr. Durchschnittlicher altersgerechter Rückgang 20–30 mL pro Jahr. Diese normativen Trajektorien sind essentiell zur Differenzierung gesunden Alterns von pathologischem Rückgang.</w:t>
      </w:r>
    </w:p>
    <w:p>
      <w:r>
        <w:rPr>
          <w:b/>
          <w:sz w:val="19"/>
        </w:rPr>
        <w:t xml:space="preserve">Übertragbarkeit: </w:t>
      </w:r>
      <w:r>
        <w:rPr>
          <w:sz w:val="19"/>
        </w:rPr>
        <w:t>Deutschland und europäische Spirometriestandards; Benchmark ist grundlegend für klinische Interpretation.</w:t>
      </w:r>
    </w:p>
    <w:p>
      <w:r>
        <w:rPr>
          <w:color w:val="5A7D3A"/>
          <w:sz w:val="18"/>
        </w:rPr>
        <w:t>https://pubmed.ncbi.nlm.nih.gov/42716546/</w:t>
      </w:r>
    </w:p>
    <w:p>
      <w:pPr>
        <w:pStyle w:val="Heading2"/>
      </w:pPr>
      <w:r>
        <w:t>Netzwerk-Analyse der Lebensqualität bei älteren Koreanern: Depression dominiert das frail-Netzwerk</w:t>
      </w:r>
    </w:p>
    <w:p>
      <w:r>
        <w:rPr>
          <w:i/>
          <w:color w:val="666666"/>
          <w:sz w:val="18"/>
        </w:rPr>
        <w:t>Kim S et al.  ·  Geriatr Gerontol Int  ·  Sept. 2026  ·  PMID 42716517</w:t>
      </w:r>
    </w:p>
    <w:p>
      <w:r>
        <w:t>Netzwerk-Analyse an 1.311 älteren Koreanern (≥65 Jahre) zur Struktur der gesundheitsbezogenen Lebensqualität (HRQoL) im Vergleich zwischen frail und non-frail-Gruppen.</w:t>
      </w:r>
    </w:p>
    <w:p>
      <w:r>
        <w:rPr>
          <w:b/>
        </w:rPr>
        <w:t xml:space="preserve">Ergebnis: </w:t>
      </w:r>
      <w:r>
        <w:t>Bei frail-Gruppe war Depression-Glück die stärkste Assoziation mit hoher Zentralität bei Arbeit, Depression, Glück und Schlaf. Bei non-frail-Gruppe dominierten physikalisch-soziale Domänen (Treppensteigen-Schmerz stärkster Link, zentral: Arbeit, Treppensteigen, Schmerz). Arbeit zeigte konsistent hohe Zentralität in beiden Gruppen, was Rollenpartizipation als Hebel für HRQoL-Verbesserung unterstreicht.</w:t>
      </w:r>
    </w:p>
    <w:p>
      <w:r>
        <w:rPr>
          <w:b/>
          <w:sz w:val="19"/>
        </w:rPr>
        <w:t xml:space="preserve">Übertragbarkeit: </w:t>
      </w:r>
      <w:r>
        <w:rPr>
          <w:sz w:val="19"/>
        </w:rPr>
        <w:t>Strukturelle Vergleichbarkeit der Frailty-Definitionen mit europäischen Standards gegeben.</w:t>
      </w:r>
    </w:p>
    <w:p>
      <w:r>
        <w:rPr>
          <w:color w:val="5A7D3A"/>
          <w:sz w:val="18"/>
        </w:rPr>
        <w:t>https://pubmed.ncbi.nlm.nih.gov/42716517/</w:t>
      </w:r>
    </w:p>
    <w:p>
      <w:pPr>
        <w:pStyle w:val="Heading2"/>
      </w:pPr>
      <w:r>
        <w:t>Hereditäre hämorrhagische Teleangiektasie reduziert die Lebenserwartung um 7,5 Jahre</w:t>
      </w:r>
    </w:p>
    <w:p>
      <w:r>
        <w:rPr>
          <w:i/>
          <w:color w:val="666666"/>
          <w:sz w:val="18"/>
        </w:rPr>
        <w:t>Emanuelsson CA et al.  ·  J Intern Med  ·  06.07.2026  ·  PMID 42410718</w:t>
      </w:r>
    </w:p>
    <w:p>
      <w:r>
        <w:t>Schwedische populationsbasierte Registerstudie mit 393 HHT-Patienten und 1.965 alters- und geschlechtsgematchten Kontrollen zur Mortalität und Todesursachen über 17 Jahre Nachbeobachtung (2001–2018).</w:t>
      </w:r>
    </w:p>
    <w:p>
      <w:r>
        <w:rPr>
          <w:b/>
        </w:rPr>
        <w:t xml:space="preserve">Ergebnis: </w:t>
      </w:r>
      <w:r>
        <w:t>Lebenserwartung nach 30 Jahren bei HHT: 73,0 Jahre (68,0–77,2) vs. 80,5 Jahre (79,1–82,0) bei Kontrollen; Differenz 7,5 Jahre. Häufigere Todesursachen bei HHT: ischämische Herzerkrankung, arterielle Erkrankungen und Leberkrankheiten signifikant erhöht. HHT-Prävalenz: 9,3 pro 100.000 über 12 Jahre; mögliche Unterdiagnose bei milderen Symptomen.</w:t>
      </w:r>
    </w:p>
    <w:p>
      <w:r>
        <w:rPr>
          <w:b/>
          <w:sz w:val="19"/>
        </w:rPr>
        <w:t xml:space="preserve">Übertragbarkeit: </w:t>
      </w:r>
      <w:r>
        <w:rPr>
          <w:sz w:val="19"/>
        </w:rPr>
        <w:t>Skandinavisches Register mit Deutschland vergleichbar; Versorgungsplanning für rare diseases relevant.</w:t>
      </w:r>
    </w:p>
    <w:p>
      <w:r>
        <w:rPr>
          <w:color w:val="5A7D3A"/>
          <w:sz w:val="18"/>
        </w:rPr>
        <w:t>https://pubmed.ncbi.nlm.nih.gov/42410718/</w:t>
      </w:r>
    </w:p>
    <w:p>
      <w:pPr>
        <w:pStyle w:val="Heading1"/>
      </w:pPr>
      <w:r>
        <w:t>Aufgenommen am 12.09.2026</w:t>
      </w:r>
    </w:p>
    <w:p>
      <w:pPr>
        <w:pStyle w:val="Heading2"/>
      </w:pPr>
      <w:r>
        <w:t>Multimorbidität im hohen Alter: Krankheitsansammlung verlangsamt sich, Komplexität nimmt zu</w:t>
      </w:r>
    </w:p>
    <w:p>
      <w:r>
        <w:rPr>
          <w:i/>
          <w:color w:val="666666"/>
          <w:sz w:val="18"/>
        </w:rPr>
        <w:t>Zhang Y et al.  ·  Age Ageing  ·  04.09.2026  ·  PMID 42726903</w:t>
      </w:r>
    </w:p>
    <w:p>
      <w:r>
        <w:t>Schwedische Registeranalyse der Krankheitsansammlung bei 1920–1922 geborenen Personen von Alter 70 bis 100 Jahren.</w:t>
      </w:r>
    </w:p>
    <w:p>
      <w:r>
        <w:rPr>
          <w:b/>
        </w:rPr>
        <w:t xml:space="preserve">Ergebnis: </w:t>
      </w:r>
      <w:r>
        <w:t>Mit 90 Jahren durchschnittlich 3,9 Erkrankungen bei Männern und 3,5 bei Frauen; über die Hälfte der ≥95-Jährigen hatte ≥5 Erkrankungen. Krankheitsansammlung beschleunigte sich bis 80, stabilisierte sich 80–90, verlangsamte sich danach, aber Komplexität und Krankheitslast stiegen bis ins extreme Alter weiter. Kardiovaskuläre Erkrankungen dominierten durchgehend, Muskel- und Sinneserkrankungen wurden im hohen Alter wichtiger.</w:t>
      </w:r>
    </w:p>
    <w:p>
      <w:r>
        <w:rPr>
          <w:b/>
          <w:sz w:val="19"/>
        </w:rPr>
        <w:t xml:space="preserve">Übertragbarkeit: </w:t>
      </w:r>
      <w:r>
        <w:rPr>
          <w:sz w:val="19"/>
        </w:rPr>
        <w:t>Schweden, vergleichbare Lebenserwartung und Versorgungsstruktur</w:t>
      </w:r>
    </w:p>
    <w:p>
      <w:r>
        <w:rPr>
          <w:color w:val="5A7D3A"/>
          <w:sz w:val="18"/>
        </w:rPr>
        <w:t>https://pubmed.ncbi.nlm.nih.gov/42726903/</w:t>
      </w:r>
    </w:p>
    <w:p>
      <w:pPr>
        <w:pStyle w:val="Heading2"/>
      </w:pPr>
      <w:r>
        <w:t>Gebrechlichkeit bei Multimorbidität: Prävalenz und Risikofaktoren in der Gemeinde</w:t>
      </w:r>
    </w:p>
    <w:p>
      <w:r>
        <w:rPr>
          <w:i/>
          <w:color w:val="666666"/>
          <w:sz w:val="18"/>
        </w:rPr>
        <w:t>Feng S et al.  ·  Front Public Health  ·  27.08.2026  ·  PMID 42725090</w:t>
      </w:r>
    </w:p>
    <w:p>
      <w:r>
        <w:t>Querschnittsstudie bei 346 multimorbiden älteren Erwachsenen (≥60 Jahre) in fünf Gemeinden Chinas zur Prävalenz und unabhängigen Risikofaktoren für Gebrechlichkeit (Frailty).</w:t>
      </w:r>
    </w:p>
    <w:p>
      <w:r>
        <w:rPr>
          <w:b/>
        </w:rPr>
        <w:t xml:space="preserve">Ergebnis: </w:t>
      </w:r>
      <w:r>
        <w:t>52,9% (183/346) waren gebrechlich. Unabhängige Faktoren: Alter 70–80 Jahre (OR 2,64, 95%-KI 1,03–6,79), ≥80 Jahre (OR 4,92, 1,87–12,96); Krankenhausaufnahme wegen akuter Ereignisse im vergangenen Jahr (OR 1,84, 1,04–3,27); Landbewohner vs. städtisch (OR 0,34, 0,19–0,60). Normale Ernährung (OR 0,23, 0,16–0,50) und volle Aktivitätsunabhängigkeit (OR 0,21, 0,06–0,79) waren protektiv. Familienbetreuung vs. Selbstpflege (OR 0,39, 0,16–0,95) reduzierte Frailty-Risiko.</w:t>
      </w:r>
    </w:p>
    <w:p>
      <w:r>
        <w:rPr>
          <w:b/>
          <w:sz w:val="19"/>
        </w:rPr>
        <w:t xml:space="preserve">Übertragbarkeit: </w:t>
      </w:r>
      <w:r>
        <w:rPr>
          <w:sz w:val="19"/>
        </w:rPr>
        <w:t>China, andere Gesundheitsinfrastruktur; Screening-Muster teilweise übertragbar</w:t>
      </w:r>
    </w:p>
    <w:p>
      <w:r>
        <w:rPr>
          <w:color w:val="5A7D3A"/>
          <w:sz w:val="18"/>
        </w:rPr>
        <w:t>https://pubmed.ncbi.nlm.nih.gov/42725090/</w:t>
      </w:r>
    </w:p>
    <w:p>
      <w:pPr>
        <w:pStyle w:val="Heading2"/>
      </w:pPr>
      <w:r>
        <w:t>Präoperative Gebrechlichkeit und postoperative Komplikationen bei Hüftfrakturchirurgie</w:t>
      </w:r>
    </w:p>
    <w:p>
      <w:r>
        <w:rPr>
          <w:i/>
          <w:color w:val="666666"/>
          <w:sz w:val="18"/>
        </w:rPr>
        <w:t>Yonekura H et al.  ·  Geriatr Gerontol Int  ·  Sept. 2026  ·  PMID 42723340</w:t>
      </w:r>
    </w:p>
    <w:p>
      <w:r>
        <w:t>Analyse von 29.684 älteren Patienten (≥65 Jahre) in Japan mit Hüftfrakturoperationen (2005–2021) zu Assoziationen zwischen präoperativem Frailty-Risiko-Score und postoperativen Komplikationen mittels Krankenhausregister.</w:t>
      </w:r>
    </w:p>
    <w:p>
      <w:r>
        <w:rPr>
          <w:b/>
        </w:rPr>
        <w:t xml:space="preserve">Ergebnis: </w:t>
      </w:r>
      <w:r>
        <w:t>59,5% (17.656) waren gebrechlich (Hospital Frailty Risk Score ≥5). Präoperative Gebrechlichkeit nicht mit akutem Nierenversagen assoziiert (OR 0,97, KI 0,83–1,14; p=0,72) oder Major Adverse Kidney Events (OR 1,07, 0,80–1,44; p=0,65), aber signifikant mit Lungenkomplikationen (OR 1,68, 1,39–2,02; p&lt;0,001), postoperativem Delir (OR 1,35, 1,13–1,62; p&lt;0,001), höherer Transfusionsrate und längerer Krankenhausdauer assoziiert.</w:t>
      </w:r>
    </w:p>
    <w:p>
      <w:r>
        <w:rPr>
          <w:b/>
          <w:sz w:val="19"/>
        </w:rPr>
        <w:t xml:space="preserve">Übertragbarkeit: </w:t>
      </w:r>
      <w:r>
        <w:rPr>
          <w:sz w:val="19"/>
        </w:rPr>
        <w:t>Japan, vergleichbare Finanzierung, Operationsindikationen ähnlich zu Deutschland</w:t>
      </w:r>
    </w:p>
    <w:p>
      <w:r>
        <w:rPr>
          <w:color w:val="5A7D3A"/>
          <w:sz w:val="18"/>
        </w:rPr>
        <w:t>https://pubmed.ncbi.nlm.nih.gov/42723340/</w:t>
      </w:r>
    </w:p>
    <w:p>
      <w:pPr>
        <w:pStyle w:val="Heading2"/>
      </w:pPr>
      <w:r>
        <w:t>Gebrechlichkeit am Lebensende: wer hat Anspruch auf assistierten Freitod?</w:t>
      </w:r>
    </w:p>
    <w:p>
      <w:r>
        <w:rPr>
          <w:i/>
          <w:color w:val="666666"/>
          <w:sz w:val="18"/>
        </w:rPr>
        <w:t>Squeri T et al.  ·  Age Ageing  ·  04.09.2026  ·  PMID 42709408</w:t>
      </w:r>
    </w:p>
    <w:p>
      <w:r>
        <w:t>Vergleichende Analyse der Häufigkeit und rechtlichen Zulässigkeit von Gebrechlichkeit (Frailty) als Indikation für assistierten Freitod in Jurisdiktionen mit reguliertem Zugang.</w:t>
      </w:r>
    </w:p>
    <w:p>
      <w:r>
        <w:rPr>
          <w:b/>
        </w:rPr>
        <w:t xml:space="preserve">Ergebnis: </w:t>
      </w:r>
      <w:r>
        <w:t>Nur Kanada und Niederlande berichten die Häufigkeit: 9,07% der Freitode in Kanada 2023 waren mit Gebrechlichkeit assoziiert (als Hauptdiagnose oder Komorbidität), in den Niederlanden 3,85% mit multiplen geriatrischen Syndromen. 11 Jurisdiktionen: Gebrechlichkeit wahrscheinlich nicht zulässig; 6: schwere Gebrechlichkeit erfüllt Kriterien; 14: unklar. Erhebliches Reporting-Defizit und regulatorische Mehrdeutigkeit.</w:t>
      </w:r>
    </w:p>
    <w:p>
      <w:r>
        <w:rPr>
          <w:b/>
          <w:sz w:val="19"/>
        </w:rPr>
        <w:t xml:space="preserve">Übertragbarkeit: </w:t>
      </w:r>
      <w:r>
        <w:rPr>
          <w:sz w:val="19"/>
        </w:rPr>
        <w:t>Internationale Perspektive, begrenzte Relevanz für deutsches Recht</w:t>
      </w:r>
    </w:p>
    <w:p>
      <w:r>
        <w:rPr>
          <w:color w:val="5A7D3A"/>
          <w:sz w:val="18"/>
        </w:rPr>
        <w:t>https://pubmed.ncbi.nlm.nih.gov/42709408/</w:t>
      </w:r>
    </w:p>
    <w:p>
      <w:pPr>
        <w:pStyle w:val="Heading2"/>
      </w:pPr>
      <w:r>
        <w:t>Kognitive Alterung als sozial strukturierter Prozess: Lebenskurs, Ungleichheit und institutionelle Kontexte</w:t>
      </w:r>
    </w:p>
    <w:p>
      <w:r>
        <w:rPr>
          <w:i/>
          <w:color w:val="666666"/>
          <w:sz w:val="18"/>
        </w:rPr>
        <w:t>Bertogg A et al.  ·  Soc Sci Med  ·  01.08.2026  ·  PMID 42561791</w:t>
      </w:r>
    </w:p>
    <w:p>
      <w:r>
        <w:t>Editorial zu Spezialausgabe, die kognitives Altern als von Lebenslauf, sozialen Ungleichheiten und Institutionen geprägte Prozesse konzeptualisiert; Synthese länderübergreifender Studien aus Europa, Nordamerika, Lateinamerika und Asien.</w:t>
      </w:r>
    </w:p>
    <w:p>
      <w:r>
        <w:rPr>
          <w:b/>
        </w:rPr>
        <w:t xml:space="preserve">Ergebnis: </w:t>
      </w:r>
      <w:r>
        <w:t>Längsschnittstudien, Register, qualitative Interviews und ethnographische Arbeiten dokumentieren bleibende Einflüsse von Kindheitsbedingungen, Bildung, Berufslaufbahn, Familie, sozialer Partizipation, Nachbarschaft und Wohlfahrtsregimen auf späte kognitive Leistung. Ungleichheiten nach Geschlecht, Ethnie, Migrationshintergrund und Ort prägen kognitives Altern über die Lebensspanne. Infrastruktur, Gesundheitssysteme und politisch-ökonomische Veränderungen beeinflussen kognitive Reserven.</w:t>
      </w:r>
    </w:p>
    <w:p>
      <w:r>
        <w:rPr>
          <w:b/>
          <w:sz w:val="19"/>
        </w:rPr>
        <w:t xml:space="preserve">Übertragbarkeit: </w:t>
      </w:r>
      <w:r>
        <w:rPr>
          <w:sz w:val="19"/>
        </w:rPr>
        <w:t>Europäische und deutschsprachige Beiträge, vergleichbare Wohlfahrtssysteme</w:t>
      </w:r>
    </w:p>
    <w:p>
      <w:r>
        <w:rPr>
          <w:color w:val="5A7D3A"/>
          <w:sz w:val="18"/>
        </w:rPr>
        <w:t>https://pubmed.ncbi.nlm.nih.gov/42561791/</w:t>
      </w:r>
    </w:p>
    <w:p>
      <w:pPr>
        <w:pStyle w:val="Heading2"/>
      </w:pPr>
      <w:r>
        <w:t>Berufswahl Geriatrie: persönliche Zuneigung und Spezialisierungsanreize bei Medizinern</w:t>
      </w:r>
    </w:p>
    <w:p>
      <w:r>
        <w:rPr>
          <w:i/>
          <w:color w:val="666666"/>
          <w:sz w:val="18"/>
        </w:rPr>
        <w:t>Martín ML et al.  ·  Eur Geriatr Med  ·  11.07.2026  ·  PMID 42435263</w:t>
      </w:r>
    </w:p>
    <w:p>
      <w:r>
        <w:t>Qualitative Befragung (N=129) spanischer Medizinresidenten zu Faktoren, die die Wahl der Geriatrie beeinflussen, und Einfluss geriatrischer Schulung während des Studiums.</w:t>
      </w:r>
    </w:p>
    <w:p>
      <w:r>
        <w:rPr>
          <w:b/>
        </w:rPr>
        <w:t xml:space="preserve">Ergebnis: </w:t>
      </w:r>
      <w:r>
        <w:t>89% bereits mit Fachgebiet vertraut; 46% hatten theoretische und praktische geriatrische Schulung während des Studiums erhalten. Häufigste Faktoren: Affinität zu älteren Menschen (95%), Patientenkommunikation und Familie (90%), multidisziplinäres Arbeiten (86%), klinische Komplexität (84%), Multimorbidität (82%). Mit vollständiger geriatrischer Schulung 75% vs. 54% (p=0,02) erwogen Geriatrie als Fachgebiet; klinische Komplexität war signifikant wichtiger unter denen mit vollständiger Schulung (92% vs. 77%, p=0,027).</w:t>
      </w:r>
    </w:p>
    <w:p>
      <w:r>
        <w:rPr>
          <w:b/>
          <w:sz w:val="19"/>
        </w:rPr>
        <w:t xml:space="preserve">Übertragbarkeit: </w:t>
      </w:r>
      <w:r>
        <w:rPr>
          <w:sz w:val="19"/>
        </w:rPr>
        <w:t>Spanien, europäische Gesundheitspolitik, Ärztenachwuchs vergleichbar</w:t>
      </w:r>
    </w:p>
    <w:p>
      <w:r>
        <w:rPr>
          <w:color w:val="5A7D3A"/>
          <w:sz w:val="18"/>
        </w:rPr>
        <w:t>https://pubmed.ncbi.nlm.nih.gov/42435263/</w:t>
      </w:r>
    </w:p>
    <w:p>
      <w:pPr>
        <w:pStyle w:val="Heading1"/>
      </w:pPr>
      <w:r>
        <w:t>Aufgenommen am 11.09.2026</w:t>
      </w:r>
    </w:p>
    <w:p>
      <w:pPr>
        <w:pStyle w:val="Heading2"/>
      </w:pPr>
      <w:r>
        <w:t>Gesunde Arbeitsjahre: Länder- und individuelle Faktoren in multinationaler Kohorte</w:t>
      </w:r>
    </w:p>
    <w:p>
      <w:r>
        <w:rPr>
          <w:i/>
          <w:color w:val="666666"/>
          <w:sz w:val="18"/>
        </w:rPr>
        <w:t>Zhu J et al.  ·  PLoS Med  ·  10.09.2026  ·  PMID 42721193</w:t>
      </w:r>
    </w:p>
    <w:p>
      <w:r>
        <w:t>Multinational prospektive Kohortenstudie mit 79.833 Männern und 95.485 Frauen ≥50 Jahren aus 28 Ländern zu Einflussfaktoren auf die Anzahl gesunder, berufstätiger Lebensjahre.</w:t>
      </w:r>
    </w:p>
    <w:p>
      <w:r>
        <w:rPr>
          <w:b/>
        </w:rPr>
        <w:t xml:space="preserve">Ergebnis: </w:t>
      </w:r>
      <w:r>
        <w:t>Mit 50 Jahren: durchschnittliche Gesamtlebenserwartung 33,59 Jahre, davon 10,98 Jahre in Gesundheit und Erwerbstätigkeit (HWLE). Frauen: 9,82 Jahre HWLE, Männer: 12,36 Jahre. Verheiratung, höhere Bildung, gesunde Lebensstile verlängern HWLE. Schlaganfall reduziert HWLE um 5,49 Jahre. Länderebene: höhere Gesundheitsausgaben, höheres BIP pro Kopf, bessere Governance und flexible Arbeitsbedingungen assoziiert mit längerer HWLE. Höhere Ungleichheit (Gini-Index) und politische Instabilität reduzieren HWLE.</w:t>
      </w:r>
    </w:p>
    <w:p>
      <w:r>
        <w:rPr>
          <w:b/>
          <w:sz w:val="19"/>
        </w:rPr>
        <w:t xml:space="preserve">Übertragbarkeit: </w:t>
      </w:r>
      <w:r>
        <w:rPr>
          <w:sz w:val="19"/>
        </w:rPr>
        <w:t>Länderübergreifend, einzelne europäische Länder eingeschlossen, zeigt Wirksamkeit von Prävention und Arbeitsbedingungen</w:t>
      </w:r>
    </w:p>
    <w:p>
      <w:r>
        <w:rPr>
          <w:color w:val="5A7D3A"/>
          <w:sz w:val="18"/>
        </w:rPr>
        <w:t>https://pubmed.ncbi.nlm.nih.gov/42721193/</w:t>
      </w:r>
    </w:p>
    <w:p>
      <w:pPr>
        <w:pStyle w:val="Heading2"/>
      </w:pPr>
      <w:r>
        <w:t>Biologisches Altern und Osteoarthritis-Risiko: Kohortenstudie UK Biobank</w:t>
      </w:r>
    </w:p>
    <w:p>
      <w:r>
        <w:rPr>
          <w:i/>
          <w:color w:val="666666"/>
          <w:sz w:val="18"/>
        </w:rPr>
        <w:t>Liu S et al.  ·  Int J Rheum Dis  ·  Sept. 2026  ·  PMID 42687813</w:t>
      </w:r>
    </w:p>
    <w:p>
      <w:r>
        <w:t>Querschnitts- und Längsschnittanalyse an 332.261 UK-Biobank-Teilnehmern zu Assoziation zwischen biologischem Altern (gemessen durch PhenoAge und KDMAge) und Osteoarthritis-Inzidenz.</w:t>
      </w:r>
    </w:p>
    <w:p>
      <w:r>
        <w:rPr>
          <w:b/>
        </w:rPr>
        <w:t xml:space="preserve">Ergebnis: </w:t>
      </w:r>
      <w:r>
        <w:t>55,4 % der Kohorte zeigten jüngeres biologisches Alter (PhenoAge Acceleration). Im Querschnitt: höhere Odds für OA bei beschleunigtem biologischen Altern (OR 1,12 für PhenoAge, 95 % CI 1,09–1,14; OR 1,05 für KDMAge, 95 % CI 1,03–1,08). Längsschnittlich (Follow-up): PhenoAge-Beschleunigung erhöhte OA-Risiko (HR 1,12, 95 % CI 1,10–1,15). KDMAge zeigte keine signifikante Längsassoziaton. Effekt stärker bei &gt;60 Jahren. Biologische Altersbeschleunigung ist vom OA-Polygenic-Risk-Score unabhängig.</w:t>
      </w:r>
    </w:p>
    <w:p>
      <w:r>
        <w:rPr>
          <w:b/>
          <w:sz w:val="19"/>
        </w:rPr>
        <w:t xml:space="preserve">Übertragbarkeit: </w:t>
      </w:r>
      <w:r>
        <w:rPr>
          <w:sz w:val="19"/>
        </w:rPr>
        <w:t>UK Biobank, vergleichbares englisches Sozialversicherungssystem, biomarkergestützte Risikovorhersage</w:t>
      </w:r>
    </w:p>
    <w:p>
      <w:r>
        <w:rPr>
          <w:color w:val="5A7D3A"/>
          <w:sz w:val="18"/>
        </w:rPr>
        <w:t>https://pubmed.ncbi.nlm.nih.gov/42687813/</w:t>
      </w:r>
    </w:p>
    <w:p>
      <w:pPr>
        <w:pStyle w:val="Heading2"/>
      </w:pPr>
      <w:r>
        <w:t>Hochaltrige in Deutschland: Demografie, regionale Ungleichheiten und Gesundheit</w:t>
      </w:r>
    </w:p>
    <w:p>
      <w:r>
        <w:rPr>
          <w:i/>
          <w:color w:val="666666"/>
          <w:sz w:val="18"/>
        </w:rPr>
        <w:t>Wolter B et al.  ·  Bundesgesundheitsblatt Gesundheitsforschung Gesundheitsschutz  ·  18.08.2026  ·  PMID 42611051</w:t>
      </w:r>
    </w:p>
    <w:p>
      <w:r>
        <w:t>Deutschlandweite Beschreibung der Demografie, Lebenslage und Gesundheit von über 80-Jährigen auf Basis der repräsentativen Studien Gesundheit 65+ und D80+.</w:t>
      </w:r>
    </w:p>
    <w:p>
      <w:r>
        <w:rPr>
          <w:b/>
        </w:rPr>
        <w:t xml:space="preserve">Ergebnis: </w:t>
      </w:r>
      <w:r>
        <w:t>Etwa ein Viertel der Hochaltrigen hat starke funktionale Einschränkungen (beide Datensätze konsistent). Männer zeigen bessere Alltagsfunktionalität als Frauen. Ein Drittel ist beim Gehen &gt;1 km, ein Sechstel beim Treppensteigen stark beeinträchtigt. Schwere Sehverluste bei 10 %, Hörverluste bei 27 %. Harninkontinenz betrifft 40 % (Frauen häufiger). 43 % sind pre-frail, 8,6 % frail. Funktionale Einschränkungen sind besonders bei Frauen und Niedrigeinkommen ausgeprägt.</w:t>
      </w:r>
    </w:p>
    <w:p>
      <w:r>
        <w:rPr>
          <w:b/>
          <w:sz w:val="19"/>
        </w:rPr>
        <w:t xml:space="preserve">Übertragbarkeit: </w:t>
      </w:r>
      <w:r>
        <w:rPr>
          <w:sz w:val="19"/>
        </w:rPr>
        <w:t>Deutsche Daten aus RKI und ceres, direkt anwendbar</w:t>
      </w:r>
    </w:p>
    <w:p>
      <w:r>
        <w:rPr>
          <w:color w:val="5A7D3A"/>
          <w:sz w:val="18"/>
        </w:rPr>
        <w:t>https://pubmed.ncbi.nlm.nih.gov/42611051/</w:t>
      </w:r>
    </w:p>
    <w:p>
      <w:pPr>
        <w:pStyle w:val="Heading2"/>
      </w:pPr>
      <w:r>
        <w:t>Präventive Hausbesuche zur Gesundheitsförderung älterer Menschen</w:t>
      </w:r>
    </w:p>
    <w:p>
      <w:r>
        <w:rPr>
          <w:i/>
          <w:color w:val="666666"/>
          <w:sz w:val="18"/>
        </w:rPr>
        <w:t>Blotenberg B et al.  ·  Bundesgesundheitsblatt Gesundheitsforschung Gesundheitsschutz  ·  13.08.2026  ·  PMID 42593520</w:t>
      </w:r>
    </w:p>
    <w:p>
      <w:r>
        <w:t>Diskussionsbeitrag zu Konzeption, Effektivität und Finanzierungserfordernissen präventiver Hausbesuche als niedrigschwellige Versorgungsform in Deutschland.</w:t>
      </w:r>
    </w:p>
    <w:p>
      <w:r>
        <w:rPr>
          <w:b/>
        </w:rPr>
        <w:t xml:space="preserve">Ergebnis: </w:t>
      </w:r>
      <w:r>
        <w:t>In Deutschland wachsende Zahl von Projekten mit unterschiedlichen Konzepten. PHB können Sturzrisiken, soziale Isolation und Ernährungsmängel früh erkennen und Versorgungskompetenz stärken. Zentrale Herausforderung: Langzeitfinanzierung und Verstetigung bislang projektförmig organisierter Angebote. Forderung: Bessere Verankerung in gesetzlicher Kranken- und Pflegeversicherung.</w:t>
      </w:r>
    </w:p>
    <w:p>
      <w:r>
        <w:rPr>
          <w:b/>
          <w:sz w:val="19"/>
        </w:rPr>
        <w:t xml:space="preserve">Übertragbarkeit: </w:t>
      </w:r>
      <w:r>
        <w:rPr>
          <w:sz w:val="19"/>
        </w:rPr>
        <w:t>Deutsche Gesundheitslandschaft, unmittelbar relevant für Finanzierungsdiskurs</w:t>
      </w:r>
    </w:p>
    <w:p>
      <w:r>
        <w:rPr>
          <w:color w:val="5A7D3A"/>
          <w:sz w:val="18"/>
        </w:rPr>
        <w:t>https://pubmed.ncbi.nlm.nih.gov/42593520/</w:t>
      </w:r>
    </w:p>
    <w:p>
      <w:pPr>
        <w:pStyle w:val="Heading2"/>
      </w:pPr>
      <w:r>
        <w:t>Körperliche Funktionsfähigkeit und Frailty im sehr hohen Alter</w:t>
      </w:r>
    </w:p>
    <w:p>
      <w:r>
        <w:rPr>
          <w:i/>
          <w:color w:val="666666"/>
          <w:sz w:val="18"/>
        </w:rPr>
        <w:t>Nowossadeck S et al.  ·  Bundesgesundheitsblatt Gesundheitsforschung Gesundheitsschutz  ·  11.08.2026  ·  PMID 42579141</w:t>
      </w:r>
    </w:p>
    <w:p>
      <w:r>
        <w:t>Analyse von Funktionsfähigkeit und Frailty bei über 80-Jährigen in deutschen Privathaushalten mit GALI und spezifischen Funktionsindikatoren.</w:t>
      </w:r>
    </w:p>
    <w:p>
      <w:r>
        <w:rPr>
          <w:b/>
        </w:rPr>
        <w:t xml:space="preserve">Ergebnis: </w:t>
      </w:r>
      <w:r>
        <w:t>Ein Viertel hat schwere funktionale Einschränkungen (GALI). Mobilität: 33 % bei &gt;1 km Gehstrecke, 17 % beim Treppensteigen stark begrenzt. Sensorische Defizite: 10 % Sehstörungen, 27 % Hörstörungen. Harninkontinenz 40 %. Robustheit 49 %, Pre-Frailty 43 %, Frailty 8,6 %. Geschlechts- und teilweise einkommensspezifische Unterschiede vorhanden.</w:t>
      </w:r>
    </w:p>
    <w:p>
      <w:r>
        <w:rPr>
          <w:b/>
          <w:sz w:val="19"/>
        </w:rPr>
        <w:t xml:space="preserve">Übertragbarkeit: </w:t>
      </w:r>
      <w:r>
        <w:rPr>
          <w:sz w:val="19"/>
        </w:rPr>
        <w:t>Deutsche Alternssurvey (DEAS) und Gesundheit 65+, direkt auf deutsches System übertragbar</w:t>
      </w:r>
    </w:p>
    <w:p>
      <w:r>
        <w:rPr>
          <w:color w:val="5A7D3A"/>
          <w:sz w:val="18"/>
        </w:rPr>
        <w:t>https://pubmed.ncbi.nlm.nih.gov/42579141/</w:t>
      </w:r>
    </w:p>
    <w:p>
      <w:pPr>
        <w:pStyle w:val="Heading2"/>
      </w:pPr>
      <w:r>
        <w:t>Genexpression in Mikroglia über die Lebensspanne: nichtlineare Muster und AD-Implikationen</w:t>
      </w:r>
    </w:p>
    <w:p>
      <w:r>
        <w:rPr>
          <w:i/>
          <w:color w:val="666666"/>
          <w:sz w:val="18"/>
        </w:rPr>
        <w:t>Muedano-Sosa A et al.  ·  Exp Gerontol  ·  01.10.2026  ·  PMID 42551772</w:t>
      </w:r>
    </w:p>
    <w:p>
      <w:r>
        <w:t>In-silico-Transkriptomanalyse öffentlicher Datensätze zur Charakterisierung von Genexpressions-Trajektorien während physiologischen und pathologischen Alterns von Mikroglia.</w:t>
      </w:r>
    </w:p>
    <w:p>
      <w:r>
        <w:rPr>
          <w:b/>
        </w:rPr>
        <w:t xml:space="preserve">Ergebnis: </w:t>
      </w:r>
      <w:r>
        <w:t>Physiologisches Alter der Mikroglia zeigt nichtlineare, spiegelsymmetrische Expressionsmuster bei Genen der Mitochondrienfunktion, lysosomalen Degradation und Immunantwort. Dieses Muster ist in humanen Daten konserviert. Bei pathologischem Altern (APP/PS1 transgene Mäuse) wird dieses adaptive Muster gestört – anhaltende Entzündungs- und Mitochondriendysfunktion. Mittleres Alter könnte kritischer Übergangspunkt sein, bevor Neuroinflammation einsetzt. Gene, die in transgenen Mäusen dysreguliert sind, zeigen ähnliche Trends in AD-Patienten.</w:t>
      </w:r>
    </w:p>
    <w:p>
      <w:r>
        <w:rPr>
          <w:b/>
          <w:sz w:val="19"/>
        </w:rPr>
        <w:t xml:space="preserve">Übertragbarkeit: </w:t>
      </w:r>
      <w:r>
        <w:rPr>
          <w:sz w:val="19"/>
        </w:rPr>
        <w:t>Mausmodelle und humane Daten, grundlagenwissenschaftlich; translational zu AD</w:t>
      </w:r>
    </w:p>
    <w:p>
      <w:r>
        <w:rPr>
          <w:color w:val="5A7D3A"/>
          <w:sz w:val="18"/>
        </w:rPr>
        <w:t>https://pubmed.ncbi.nlm.nih.gov/42551772/</w:t>
      </w:r>
    </w:p>
    <w:p>
      <w:pPr>
        <w:pStyle w:val="Heading1"/>
      </w:pPr>
      <w:r>
        <w:t>Aufgenommen am 10.09.2026</w:t>
      </w:r>
    </w:p>
    <w:p>
      <w:pPr>
        <w:pStyle w:val="Heading2"/>
      </w:pPr>
      <w:r>
        <w:t>Altersgerechte Umgebungen reduzieren Motoric-Cognitive-Risk-Syndrom</w:t>
      </w:r>
    </w:p>
    <w:p>
      <w:r>
        <w:rPr>
          <w:i/>
          <w:color w:val="666666"/>
          <w:sz w:val="18"/>
        </w:rPr>
        <w:t>Zhang H et al.  ·  Alzheimers Dement  ·  Sept. 2026  ·  PMID 42712112</w:t>
      </w:r>
    </w:p>
    <w:p>
      <w:r>
        <w:t>Prospektive Kohortenstudie aus den USA, die den Zusammenhang zwischen altersgerechten Lebensumgebungen und Inzidenz des Motoric Cognitive Risk Syndrome (Prädemenzsyndrom) untersucht.</w:t>
      </w:r>
    </w:p>
    <w:p>
      <w:r>
        <w:rPr>
          <w:b/>
        </w:rPr>
        <w:t xml:space="preserve">Ergebnis: </w:t>
      </w:r>
      <w:r>
        <w:t>Über 4 Jahre Nachbeobachtung: 801 Neuerkrankungen bei 7.608 älteren Erwachsenen (Durchschnittsalter 76,8 Jahre). Mit höherem altersgerechten Umgebungsscore geringeres MCR-Risiko (Q3: HR 0,75; 95%-KI 0,61–0,91; Q4: HR 0,62; 95%-KI 0,50–0,78); Dosis-Wirkungs-Beziehung nachgewiesen (HR 0,96 pro Punkt; p&lt;0,01).</w:t>
      </w:r>
    </w:p>
    <w:p>
      <w:r>
        <w:rPr>
          <w:b/>
          <w:sz w:val="19"/>
        </w:rPr>
        <w:t xml:space="preserve">Übertragbarkeit: </w:t>
      </w:r>
      <w:r>
        <w:rPr>
          <w:sz w:val="19"/>
        </w:rPr>
        <w:t>USA-Daten – Umweltgestaltung ist länderübergreifend adaptierbar, Outcome-Messung jedoch populationsspezifisch.</w:t>
      </w:r>
    </w:p>
    <w:p>
      <w:r>
        <w:rPr>
          <w:color w:val="5A7D3A"/>
          <w:sz w:val="18"/>
        </w:rPr>
        <w:t>https://pubmed.ncbi.nlm.nih.gov/42712112/</w:t>
      </w:r>
    </w:p>
    <w:p>
      <w:pPr>
        <w:pStyle w:val="Heading2"/>
      </w:pPr>
      <w:r>
        <w:t>Mundgesundheit und Gebrechlichkeit bei Krebspatienten: Metaanalyse</w:t>
      </w:r>
    </w:p>
    <w:p>
      <w:r>
        <w:rPr>
          <w:i/>
          <w:color w:val="666666"/>
          <w:sz w:val="18"/>
        </w:rPr>
        <w:t>Liu W et al.  ·  Front Public Health  ·  24.08.2026  ·  PMID 42707137</w:t>
      </w:r>
    </w:p>
    <w:p>
      <w:r>
        <w:t>Systematische Übersicht und Metaanalyse von 13 Studien (n=3.524) zur Prävalenz und Einflussfaktoren von Mundgebrechlichkeit (oral frailty) bei Krebspatienten.</w:t>
      </w:r>
    </w:p>
    <w:p>
      <w:r>
        <w:rPr>
          <w:b/>
        </w:rPr>
        <w:t xml:space="preserve">Ergebnis: </w:t>
      </w:r>
      <w:r>
        <w:t>Mundgebrechlichkeit-Prävalenz 52 % (95%-KI: 46–59 %). Signifikante Assoziationen mit: Zahnersatz (OR 15,09; KI 6,78–33,58), schlechter Mundgesundheit (OR 4,70; KI 2,13–10,39), körperlicher Frailty (OR 3,63; KI 2,40–5,50), Rauchen (OR 3,53; KI 2,34–5,31), Mangelernährung (OR 3,40; KI 2,01–5,75), Xerostomie (OR 3,46; KI 2,11–5,68) und Radiotherapie (OR 2,62; KI 1,67–4,11).</w:t>
      </w:r>
    </w:p>
    <w:p>
      <w:r>
        <w:rPr>
          <w:b/>
          <w:sz w:val="19"/>
        </w:rPr>
        <w:t xml:space="preserve">Übertragbarkeit: </w:t>
      </w:r>
      <w:r>
        <w:rPr>
          <w:sz w:val="19"/>
        </w:rPr>
        <w:t>Internationale Metaanalyse – risikofaktoren geriatrierelevant, aber Mundhygiene-Standards regional unterschiedlich.</w:t>
      </w:r>
    </w:p>
    <w:p>
      <w:r>
        <w:rPr>
          <w:color w:val="5A7D3A"/>
          <w:sz w:val="18"/>
        </w:rPr>
        <w:t>https://pubmed.ncbi.nlm.nih.gov/42707137/</w:t>
      </w:r>
    </w:p>
    <w:p>
      <w:pPr>
        <w:pStyle w:val="Heading2"/>
      </w:pPr>
      <w:r>
        <w:t>Demenzkonversion bei milder kognitiver Beeinträchtigung: Inzidenzraten in Brasilien</w:t>
      </w:r>
    </w:p>
    <w:p>
      <w:r>
        <w:rPr>
          <w:i/>
          <w:color w:val="666666"/>
          <w:sz w:val="18"/>
        </w:rPr>
        <w:t>Engelmann GTO et al.  ·  Alzheimers Dement  ·  Sept. 2026  ·  PMID 42706593</w:t>
      </w:r>
    </w:p>
    <w:p>
      <w:r>
        <w:t>15-Jahres-Kohortenstudie der kognitiven Entwicklung brasilianischer Älterer, die Übergangsraten von milder kognitiver Beeinträchtigung zu Demenz vom Alzheimer-Typ quantifiziert.</w:t>
      </w:r>
    </w:p>
    <w:p>
      <w:r>
        <w:rPr>
          <w:b/>
        </w:rPr>
        <w:t xml:space="preserve">Ergebnis: </w:t>
      </w:r>
      <w:r>
        <w:t>Jährliche Demenzkonversionsrate in der MCI-Gruppe 10,72 pro 100 Personenjahre (95%-KI: 8,54–13,29 %); kumulative Inzidenz nach 3 Jahren 29,85 % (95%-KI: 22,74–36,96 %), unter Berücksichtigung von Sterblichkeit als konkurrierende Ereignis. Die Studie belegt rasche Progression in Ländern mit mittlerem und niedrigem Einkommen.</w:t>
      </w:r>
    </w:p>
    <w:p>
      <w:r>
        <w:rPr>
          <w:b/>
          <w:sz w:val="19"/>
        </w:rPr>
        <w:t xml:space="preserve">Übertragbarkeit: </w:t>
      </w:r>
      <w:r>
        <w:rPr>
          <w:sz w:val="19"/>
        </w:rPr>
        <w:t>Brasilien - Daten für Länder mit niedrigerer Lebenserwartung; Übertragbarkeit auf Deutschland begrenzt.</w:t>
      </w:r>
    </w:p>
    <w:p>
      <w:r>
        <w:rPr>
          <w:color w:val="5A7D3A"/>
          <w:sz w:val="18"/>
        </w:rPr>
        <w:t>https://pubmed.ncbi.nlm.nih.gov/42706593/</w:t>
      </w:r>
    </w:p>
    <w:p>
      <w:pPr>
        <w:pStyle w:val="Heading2"/>
      </w:pPr>
      <w:r>
        <w:t>Lifestyle und Telomerlänge bei psychischen Erkrankungen</w:t>
      </w:r>
    </w:p>
    <w:p>
      <w:r>
        <w:rPr>
          <w:i/>
          <w:color w:val="666666"/>
          <w:sz w:val="18"/>
        </w:rPr>
        <w:t>Mlakar V et al.  ·  Transl Psychiatry  ·  02.09.2026  ·  PMID 42706234</w:t>
      </w:r>
    </w:p>
    <w:p>
      <w:r>
        <w:t>Querschnittstudie, die den Zusammenhang zwischen Lebensstilfaktoren und biologischem Alterungsmarker (Telomerlänge) bei 410 Personen mit schweren psychischen Störungen untersucht.</w:t>
      </w:r>
    </w:p>
    <w:p>
      <w:r>
        <w:rPr>
          <w:b/>
        </w:rPr>
        <w:t xml:space="preserve">Ergebnis: </w:t>
      </w:r>
      <w:r>
        <w:t>Personen mit ungesundem Lebensstil hatten kürzere Telomere als solche mit gesundem Lebensstil (Cohens d = 0,58, F = 8,62, p = 0,004). Mit zunehmender Anzahl ungesunder Verhaltensweisen kürzere Telomere (F = 2,69, p = 0,02, adjustiert für Alter, Geschlecht, Ethnizität, Trauma, Medikation, Bildung, Diagnose). Gesunder Lebensstil assoziiert mit etwa 6 Jahren niedrigerem biologischem Alter.</w:t>
      </w:r>
    </w:p>
    <w:p>
      <w:r>
        <w:rPr>
          <w:b/>
          <w:sz w:val="19"/>
        </w:rPr>
        <w:t xml:space="preserve">Übertragbarkeit: </w:t>
      </w:r>
      <w:r>
        <w:rPr>
          <w:sz w:val="19"/>
        </w:rPr>
        <w:t>Norwegen-England – psychische Grundpopulation, methodisch solid; Übertragbarkeit auf deutsches Versorgungssystem moderat.</w:t>
      </w:r>
    </w:p>
    <w:p>
      <w:r>
        <w:rPr>
          <w:color w:val="5A7D3A"/>
          <w:sz w:val="18"/>
        </w:rPr>
        <w:t>https://pubmed.ncbi.nlm.nih.gov/42706234/</w:t>
      </w:r>
    </w:p>
    <w:p>
      <w:pPr>
        <w:pStyle w:val="Heading2"/>
      </w:pPr>
      <w:r>
        <w:t>Perspektivenübernahme reduziert Altersstereotypen bei Onlineinterventionen</w:t>
      </w:r>
    </w:p>
    <w:p>
      <w:r>
        <w:rPr>
          <w:i/>
          <w:color w:val="666666"/>
          <w:sz w:val="18"/>
        </w:rPr>
        <w:t>Stecker L et al.  ·  J Aging Stud  ·  08.08.2026  ·  PMID 42705830</w:t>
      </w:r>
    </w:p>
    <w:p>
      <w:r>
        <w:t>Experimentelle Studie, welche von drei Kurzzeitinterventionen gegen Altersdiskriminierung und Hassrede im Internet die Wirksamkeit vergleicht.</w:t>
      </w:r>
    </w:p>
    <w:p>
      <w:r>
        <w:rPr>
          <w:b/>
        </w:rPr>
        <w:t xml:space="preserve">Ergebnis: </w:t>
      </w:r>
      <w:r>
        <w:t>Perspektivenübernahme war die einzige Intervention, die explizite Stereotype signifikant reduzierte (zwischen den Gruppen gemessen mit IAT und Likert-Skalen); implizite Ageism-Verzerrung wurde durch keine der drei kurzen Interventionen verschoben. Altersangst moderierte die Effektivität nicht, sagte aber explizite Altersdiskriminierung voraus.</w:t>
      </w:r>
    </w:p>
    <w:p>
      <w:r>
        <w:rPr>
          <w:b/>
          <w:sz w:val="19"/>
        </w:rPr>
        <w:t xml:space="preserve">Übertragbarkeit: </w:t>
      </w:r>
      <w:r>
        <w:rPr>
          <w:sz w:val="19"/>
        </w:rPr>
        <w:t>Deutschland - universitäre Stichprobe, aber Onlineformat länderübergreifend einsetzbar.</w:t>
      </w:r>
    </w:p>
    <w:p>
      <w:r>
        <w:rPr>
          <w:color w:val="5A7D3A"/>
          <w:sz w:val="18"/>
        </w:rPr>
        <w:t>https://pubmed.ncbi.nlm.nih.gov/42705830/</w:t>
      </w:r>
    </w:p>
    <w:p>
      <w:pPr>
        <w:pStyle w:val="Heading2"/>
      </w:pPr>
      <w:r>
        <w:t>Schichtarbeit, biologische Altersbeschleunigung und Sterblichkeit</w:t>
      </w:r>
    </w:p>
    <w:p>
      <w:r>
        <w:rPr>
          <w:i/>
          <w:color w:val="666666"/>
          <w:sz w:val="18"/>
        </w:rPr>
        <w:t>Wang R et al.  ·  Int Arch Occup Environ Health  ·  06.09.2026  ·  PMID 42701914</w:t>
      </w:r>
    </w:p>
    <w:p>
      <w:r>
        <w:t>Prospektive Kohortenstudie von 7.548 US-Erwachsenen mit Mortality-Follow-up, die Assoziationen zwischen Schichtarbeit und All-cause-Mortalität sowie die Rolle biologischer Altersbeschleunigung untersucht.</w:t>
      </w:r>
    </w:p>
    <w:p>
      <w:r>
        <w:rPr>
          <w:b/>
        </w:rPr>
        <w:t xml:space="preserve">Ergebnis: </w:t>
      </w:r>
      <w:r>
        <w:t>Schichtarbeit assoziiert mit erhöhter Gesamtsterblichkeit (HR 1,52; 95%-KI 1,09–2,13). Schichtarbeiter zeigten stärkere PhenoAge-Beschleunigung (β = 0,39 Jahre). PhenoAge-Beschleunigung statistisch verantwortlich für 6,18 % der Assoziation zwischen Schichtarbeit und Sterblichkeit (kausale Mediation nicht inferierbar).</w:t>
      </w:r>
    </w:p>
    <w:p>
      <w:r>
        <w:rPr>
          <w:b/>
          <w:sz w:val="19"/>
        </w:rPr>
        <w:t xml:space="preserve">Übertragbarkeit: </w:t>
      </w:r>
      <w:r>
        <w:rPr>
          <w:sz w:val="19"/>
        </w:rPr>
        <w:t>USA-NHANES-Daten – Schichtarbeit-Definition international vergleichbar, aber Arbeitsmarkt und Sozialversicherung unterscheiden sich erheblich.</w:t>
      </w:r>
    </w:p>
    <w:p>
      <w:r>
        <w:rPr>
          <w:color w:val="5A7D3A"/>
          <w:sz w:val="18"/>
        </w:rPr>
        <w:t>https://pubmed.ncbi.nlm.nih.gov/42701914/</w:t>
      </w:r>
    </w:p>
    <w:p>
      <w:pPr>
        <w:pStyle w:val="Heading1"/>
      </w:pPr>
      <w:r>
        <w:t>Aufgenommen am 09.09.2026</w:t>
      </w:r>
    </w:p>
    <w:p>
      <w:pPr>
        <w:pStyle w:val="Heading2"/>
      </w:pPr>
      <w:r>
        <w:t>Sozioökonomische Ungleichheiten in der Lebenserwartung nach Diagnose: Dänemark 64 Erkrankungen</w:t>
      </w:r>
    </w:p>
    <w:p>
      <w:r>
        <w:rPr>
          <w:i/>
          <w:color w:val="666666"/>
          <w:sz w:val="18"/>
        </w:rPr>
        <w:t>Pallesen AVJ et al.  ·  Eur J Public Health  ·  04.08.2026  ·  PMID 42709676</w:t>
      </w:r>
    </w:p>
    <w:p>
      <w:r>
        <w:t>Bevölkerungsregister-Studie (4,4 Mio. Dänen) mit Multistate-Modellen zur Abbildung von Bildungs- und Einkommensungleichheiten in der Lebenserwartung nach Diagnose von 64 nichtübertragbaren Erkrankungen.</w:t>
      </w:r>
    </w:p>
    <w:p>
      <w:r>
        <w:rPr>
          <w:b/>
        </w:rPr>
        <w:t xml:space="preserve">Ergebnis: </w:t>
      </w:r>
      <w:r>
        <w:t>Bildungs- und Einkommensungleichheiten in der Lebenserwartung nach Diagnosestellung waren konsistent über alle 64 Erkrankungen hinweg vorhanden. Beispiel Leberzirrhose: Hochgebildete 50-Jährige mit Diagnose lebten 17 Jahre (Frauen) bzw. 13 Jahre (Männer) länger als Niedriggebildete (14 bzw. 10 Jahre). Befund zeigt universelles Muster: Sozioökonomische Position beeinflusst Krankheitsverlauf und Mortalität unabhängig von der Erkrankung.</w:t>
      </w:r>
    </w:p>
    <w:p>
      <w:r>
        <w:rPr>
          <w:b/>
          <w:sz w:val="19"/>
        </w:rPr>
        <w:t xml:space="preserve">Übertragbarkeit: </w:t>
      </w:r>
      <w:r>
        <w:rPr>
          <w:sz w:val="19"/>
        </w:rPr>
        <w:t>Dänische Vollpopulationsdaten, Sozialversicherungssystem vergleichbar mit Deutschland.</w:t>
      </w:r>
    </w:p>
    <w:p>
      <w:r>
        <w:rPr>
          <w:color w:val="5A7D3A"/>
          <w:sz w:val="18"/>
        </w:rPr>
        <w:t>https://pubmed.ncbi.nlm.nih.gov/42709676/</w:t>
      </w:r>
    </w:p>
    <w:p>
      <w:pPr>
        <w:pStyle w:val="Heading2"/>
      </w:pPr>
      <w:r>
        <w:t>Allostatic Load vorhersagt Frailty-Entwicklung: 12-Jahres-Längsschnittstudie</w:t>
      </w:r>
    </w:p>
    <w:p>
      <w:r>
        <w:rPr>
          <w:i/>
          <w:color w:val="666666"/>
          <w:sz w:val="18"/>
        </w:rPr>
        <w:t>Arkesteijn M et al.  ·  Stress Health  ·  Okt. 2026  ·  PMID 42708507</w:t>
      </w:r>
    </w:p>
    <w:p>
      <w:r>
        <w:t>English Longitudinal Survey on Ageing (ELSA): 3248 Personen 50–89 Jahre über 12 Jahre; Analyse, ob Allostatic Load (Multimarkerbiomarker chronischen Stresses) die Neuonset von Prä-Frailty oder Frailty vorhersagt.</w:t>
      </w:r>
    </w:p>
    <w:p>
      <w:r>
        <w:rPr>
          <w:b/>
        </w:rPr>
        <w:t xml:space="preserve">Ergebnis: </w:t>
      </w:r>
      <w:r>
        <w:t>Erhöhte Allostatic Load war signifikanter Prädiktor für Onset von Prä-Frailty und Frailty (Hazard Ratio nicht in Abstract beziffert). Soziale Unterstützung modifizierte diesen Effekt modifizierbar. Alter und Geschlecht interagierten nicht mit Allostatic Load und Frailty-Vorhersage. Allostatic Load könnte als Screening-Instrument für Frailty-Risiko bei aktuell nicht-frailem Individuen dienen.</w:t>
      </w:r>
    </w:p>
    <w:p>
      <w:r>
        <w:rPr>
          <w:b/>
          <w:sz w:val="19"/>
        </w:rPr>
        <w:t xml:space="preserve">Übertragbarkeit: </w:t>
      </w:r>
      <w:r>
        <w:rPr>
          <w:sz w:val="19"/>
        </w:rPr>
        <w:t>Großbritannien, NHS-System, nationale Surveydaten vergleichbar mit deutschem Setting.</w:t>
      </w:r>
    </w:p>
    <w:p>
      <w:r>
        <w:rPr>
          <w:color w:val="5A7D3A"/>
          <w:sz w:val="18"/>
        </w:rPr>
        <w:t>https://pubmed.ncbi.nlm.nih.gov/42708507/</w:t>
      </w:r>
    </w:p>
    <w:p>
      <w:pPr>
        <w:pStyle w:val="Heading2"/>
      </w:pPr>
      <w:r>
        <w:t>Zivilgesellschaftliche Beteiligung älterer Menschen und wahrgenommene Gesundheit</w:t>
      </w:r>
    </w:p>
    <w:p>
      <w:r>
        <w:rPr>
          <w:i/>
          <w:color w:val="666666"/>
          <w:sz w:val="18"/>
        </w:rPr>
        <w:t>Cantore M et al.  ·  Front Public Health  ·  24.08.2026  ·  PMID 42707366</w:t>
      </w:r>
    </w:p>
    <w:p>
      <w:r>
        <w:t>Qualitative Studie (Italien, 2025): 12 ältere Erwachsene (≥70 Jahre) zu Erfahrungen mit zivilgesellschaftlicher und politischer Partizipation und deren Auswirkungen auf Gesundheit und Wohlbefinden.</w:t>
      </w:r>
    </w:p>
    <w:p>
      <w:r>
        <w:rPr>
          <w:b/>
        </w:rPr>
        <w:t xml:space="preserve">Ergebnis: </w:t>
      </w:r>
      <w:r>
        <w:t>Freiwilliges Engagement fördert körperliche Mobilität, Handlungsfähigkeit und Selbstwirksamkeit. Politische Partizipation wirkt kognitiv stimulierend, führt aber häufig zu emotionaler Erschöpfung, Entfremdung und Frustration. Intergenerationale Lernprozesse und Dialog gelten als zentral für nachhaltiges Engagement. Befund belegt, dass emotionale Belastung durch politische Enttäuschung zu beachten ist.</w:t>
      </w:r>
    </w:p>
    <w:p>
      <w:r>
        <w:rPr>
          <w:b/>
          <w:sz w:val="19"/>
        </w:rPr>
        <w:t xml:space="preserve">Übertragbarkeit: </w:t>
      </w:r>
      <w:r>
        <w:rPr>
          <w:sz w:val="19"/>
        </w:rPr>
        <w:t>Italien, Südeuropa; Gesundheitssystem und zivilgesellschaftliche Strukturen unterscheiden sich von Deutschland.</w:t>
      </w:r>
    </w:p>
    <w:p>
      <w:r>
        <w:rPr>
          <w:color w:val="5A7D3A"/>
          <w:sz w:val="18"/>
        </w:rPr>
        <w:t>https://pubmed.ncbi.nlm.nih.gov/42707366/</w:t>
      </w:r>
    </w:p>
    <w:p>
      <w:pPr>
        <w:pStyle w:val="Heading2"/>
      </w:pPr>
      <w:r>
        <w:t>Altern ohne Verwandte: Transnigration, Sehnsucht und Desillusionierung</w:t>
      </w:r>
    </w:p>
    <w:p>
      <w:r>
        <w:rPr>
          <w:i/>
          <w:color w:val="666666"/>
          <w:sz w:val="18"/>
        </w:rPr>
        <w:t>Mishra J et al.  ·  J Aging Stud  ·  26.06.2026  ·  PMID 42705826</w:t>
      </w:r>
    </w:p>
    <w:p>
      <w:r>
        <w:t>Ethnografische Studie in Patiala (Nordindien) mit älteren Erwachsenen: Erfahrungen mit transnationaler Migration ihrer Familienangehörigen und deren Auswirkungen auf Wahrnehmung von Sorge, Zugehörigkeit und Familienrekonfiguration im Alter.</w:t>
      </w:r>
    </w:p>
    <w:p>
      <w:r>
        <w:rPr>
          <w:b/>
        </w:rPr>
        <w:t xml:space="preserve">Ergebnis: </w:t>
      </w:r>
      <w:r>
        <w:t>Ältere Ermöglichen Emigration ihrer Kinder durch Ressourcen-Pooling; erleben aber Abwesenheit emigrierter Kinder in paradoxer Liminalität. Zunehmende Desillusionierung mit Staat (Arbeitslosigkeit, Agrarkrise, Korruption), komplexe Beziehungen zu internen Migranten aus anderen Bundesstaaten. Migration produziert mehrschichtige affektive, soziale und politische Verflechtungen, die Alterserfahrung prägen.</w:t>
      </w:r>
    </w:p>
    <w:p>
      <w:r>
        <w:rPr>
          <w:b/>
          <w:sz w:val="19"/>
        </w:rPr>
        <w:t xml:space="preserve">Übertragbarkeit: </w:t>
      </w:r>
      <w:r>
        <w:rPr>
          <w:sz w:val="19"/>
        </w:rPr>
        <w:t>Indien, nicht übertragbar; dokumentiert Mechanismen familiärer und sozialer Strukturen beim Altern unter Migrationsdruck.</w:t>
      </w:r>
    </w:p>
    <w:p>
      <w:r>
        <w:rPr>
          <w:color w:val="5A7D3A"/>
          <w:sz w:val="18"/>
        </w:rPr>
        <w:t>https://pubmed.ncbi.nlm.nih.gov/42705826/</w:t>
      </w:r>
    </w:p>
    <w:p>
      <w:pPr>
        <w:pStyle w:val="Heading2"/>
      </w:pPr>
      <w:r>
        <w:t>Kognitives Frailty bei hospitalisierten älteren Patienten mit Herzinsuffizienz</w:t>
      </w:r>
    </w:p>
    <w:p>
      <w:r>
        <w:rPr>
          <w:i/>
          <w:color w:val="666666"/>
          <w:sz w:val="18"/>
        </w:rPr>
        <w:t>Mou Y et al.  ·  Front Public Health  ·  21.08.2026  ·  PMID 42698449</w:t>
      </w:r>
    </w:p>
    <w:p>
      <w:r>
        <w:t>Systematischer Review (8 Querschnittsstudien, 20 Modelle zur Identifikation von kognitiver Frailty bei hospitalisierten älteren Patienten mit chronischer Herzinsuffizienz in China).</w:t>
      </w:r>
    </w:p>
    <w:p>
      <w:r>
        <w:rPr>
          <w:b/>
        </w:rPr>
        <w:t xml:space="preserve">Ergebnis: </w:t>
      </w:r>
      <w:r>
        <w:t>Alle Modelle waren Screening-/Diagnosemodelle für prävalentes kognitives Frailty (nicht prognostisch). Externe Validierung zeigte AUC 0,770–0,852. Häufigste Prädiktoren: Alter, NYHA-Klassifikation, Depression, Ernährungsstatus und Schlaf-Faktoren. Alle Studien mit hohem Bias-Risiko; Modelle nicht reif für klinische Routineentscheidungen. Prospektive Modellentwicklung, Multicenter-Validierung und klinische Effektivitätsanalysen erforderlich.</w:t>
      </w:r>
    </w:p>
    <w:p>
      <w:r>
        <w:rPr>
          <w:b/>
          <w:sz w:val="19"/>
        </w:rPr>
        <w:t xml:space="preserve">Übertragbarkeit: </w:t>
      </w:r>
      <w:r>
        <w:rPr>
          <w:sz w:val="19"/>
        </w:rPr>
        <w:t>China, andere Strukturen; Befund zeigt, welche Faktoren kognitives Frailty bestimmen – relevant für deutsches geriatrisches Assessment.</w:t>
      </w:r>
    </w:p>
    <w:p>
      <w:r>
        <w:rPr>
          <w:color w:val="5A7D3A"/>
          <w:sz w:val="18"/>
        </w:rPr>
        <w:t>https://pubmed.ncbi.nlm.nih.gov/42698449/</w:t>
      </w:r>
    </w:p>
    <w:p>
      <w:pPr>
        <w:pStyle w:val="Heading2"/>
      </w:pPr>
      <w:r>
        <w:t>SFRP2 und FSTL1 regulieren DHT-induzierte Seneszenz in Haarfollikeln</w:t>
      </w:r>
    </w:p>
    <w:p>
      <w:r>
        <w:rPr>
          <w:i/>
          <w:color w:val="666666"/>
          <w:sz w:val="18"/>
        </w:rPr>
        <w:t>Huang Y et al.  ·  Aging Cell  ·  Sept. 2026  ·  PMID 42698274</w:t>
      </w:r>
    </w:p>
    <w:p>
      <w:r>
        <w:t>Mechanistische Studie zu androgenetischer Alopezie (AGA): Knock-down-Experimente und Mausmodell zur Rolle der SFRP2-FSTL1-Achse bei DHT-induzierten mitochondrialen Dysfunktionen und Seneszenz von Dermalapilla-Zellen.</w:t>
      </w:r>
    </w:p>
    <w:p>
      <w:r>
        <w:rPr>
          <w:b/>
        </w:rPr>
        <w:t xml:space="preserve">Ergebnis: </w:t>
      </w:r>
      <w:r>
        <w:t>SFRP2 hochexprimiert in AGA-Dermalapilla-Zellen. SFRP2-Knockdown verbesserte Haaregeneration und Follikel-Morphologie in vivo, förderte DPC-Proliferation/Migration in vitro. SFRP2 beeinflusst FSTL1-Proteinstabilität. Knockdown von FSTL1 hob negative Effekte von SFRP2-Überexpression auf. SFRP2-FSTL1-Achse als neuer therapeutischer Ansatzpunkt für AGA-Verlangsamung identifiziert.</w:t>
      </w:r>
    </w:p>
    <w:p>
      <w:r>
        <w:rPr>
          <w:b/>
          <w:sz w:val="19"/>
        </w:rPr>
        <w:t xml:space="preserve">Übertragbarkeit: </w:t>
      </w:r>
      <w:r>
        <w:rPr>
          <w:sz w:val="19"/>
        </w:rPr>
        <w:t>Grundlagenforschung mit klinischem Ansatz (AGA-Behandlung); zelluläre Seneszenz-Mechanismen relevant für Aging-Verständnis.</w:t>
      </w:r>
    </w:p>
    <w:p>
      <w:r>
        <w:rPr>
          <w:color w:val="5A7D3A"/>
          <w:sz w:val="18"/>
        </w:rPr>
        <w:t>https://pubmed.ncbi.nlm.nih.gov/42698274/</w:t>
      </w:r>
    </w:p>
    <w:p>
      <w:pPr>
        <w:pStyle w:val="Heading2"/>
      </w:pPr>
      <w:r>
        <w:t>Körperliche Aktivität moderiert psychische Belastung im Alter unterschiedlich</w:t>
      </w:r>
    </w:p>
    <w:p>
      <w:r>
        <w:rPr>
          <w:i/>
          <w:color w:val="666666"/>
          <w:sz w:val="18"/>
        </w:rPr>
        <w:t>Järvensivu L et al.  ·  J Psychiatr Res  ·  07.08.2026  ·  PMID 42585821</w:t>
      </w:r>
    </w:p>
    <w:p>
      <w:r>
        <w:t>Finnische Kohortenstudie (Helsinki Health Study 2017–2022): Zwei Altersgruppen (19–39 Jahre und 55–75 Jahre) zur Assoziation zwischen Intensität der Freizeit-Bewegungsaktivität und psychischer Belastung nach 5 Jahren.</w:t>
      </w:r>
    </w:p>
    <w:p>
      <w:r>
        <w:rPr>
          <w:b/>
        </w:rPr>
        <w:t xml:space="preserve">Ergebnis: </w:t>
      </w:r>
      <w:r>
        <w:t>Höhere moderate Aktivität assoziiert mit weniger psychischer Belastung nur in der älteren Kohorte (β = −0,163; p &lt; 0,001). Vigorous Activity zeigte altersunabhängig protektive Wirkung (β = −0,053 für beide; p &lt; 0,001). Effekt blieb nach Anpassung für Soziodemografika und Gesundheitsfaktoren signifikant.</w:t>
      </w:r>
    </w:p>
    <w:p>
      <w:r>
        <w:rPr>
          <w:b/>
          <w:sz w:val="19"/>
        </w:rPr>
        <w:t xml:space="preserve">Übertragbarkeit: </w:t>
      </w:r>
      <w:r>
        <w:rPr>
          <w:sz w:val="19"/>
        </w:rPr>
        <w:t>Finnland, skandinavisches Versicherungssystem, vergleichbare Erfassungsstandards.</w:t>
      </w:r>
    </w:p>
    <w:p>
      <w:r>
        <w:rPr>
          <w:color w:val="5A7D3A"/>
          <w:sz w:val="18"/>
        </w:rPr>
        <w:t>https://pubmed.ncbi.nlm.nih.gov/42585821/</w:t>
      </w:r>
    </w:p>
    <w:p>
      <w:pPr>
        <w:pStyle w:val="Heading1"/>
      </w:pPr>
      <w:r>
        <w:t>Aufgenommen am 08.09.2026</w:t>
      </w:r>
    </w:p>
    <w:p>
      <w:pPr>
        <w:pStyle w:val="Heading2"/>
      </w:pPr>
      <w:r>
        <w:t>Langzeitpflege für Ältere in Südostasien: Verfügbarkeit, Qualität und Lücken</w:t>
      </w:r>
    </w:p>
    <w:p>
      <w:r>
        <w:rPr>
          <w:i/>
          <w:color w:val="666666"/>
          <w:sz w:val="18"/>
        </w:rPr>
        <w:t>Sasaki Y et al.  ·  Geriatr Gerontol Int  ·  Sept. 2026  ·  PMID 42705630</w:t>
      </w:r>
    </w:p>
    <w:p>
      <w:r>
        <w:t>Mixed-Methods-Studie (Sekundärdaten zu UHC, demografische Trends, Expertinneninterviews, 7 Evaluationsdomänen) zur Organisation und Qualität der Langzeitpflege in Kambodscha, Thailand, Philippinen, Malaysia und Myanmar während des demographischen Wandels.</w:t>
      </w:r>
    </w:p>
    <w:p>
      <w:r>
        <w:rPr>
          <w:b/>
        </w:rPr>
        <w:t xml:space="preserve">Ergebnis: </w:t>
      </w:r>
      <w:r>
        <w:t>Positive Assoziation zwischen UHC-Fortschritt und Altersstruktur. Langzeitpflege-Organisation und -Versorgung variieren stark; Heimbasierte Pflege dominiert, Verfügbarkeit und Integration öffentlicher Dienste inkonsistent. Demenzbetreuung weitgehend unerkannt, haushaltszentriert. Informations- und Kommunikationstechnologien minimal/absent. Thailand zeigt Fortschritt bei Rehabilitations-UHC-Verknüpfung, aber Personalengpässe und Zugangsbarrieren. Präventivversorgung, einschließlich Frailty-Prävention, unterentwickelt.</w:t>
      </w:r>
    </w:p>
    <w:p>
      <w:r>
        <w:rPr>
          <w:b/>
          <w:sz w:val="19"/>
        </w:rPr>
        <w:t xml:space="preserve">Übertragbarkeit: </w:t>
      </w:r>
      <w:r>
        <w:rPr>
          <w:sz w:val="19"/>
        </w:rPr>
        <w:t>Südostasien, unterschiedliche Finanzierungssysteme und Entwicklungslagen; Befunde zeigen regionale Unterschiede, Übertragung auf Deutschland begrenzt, aber Policy-Implikationen relevant</w:t>
      </w:r>
    </w:p>
    <w:p>
      <w:r>
        <w:rPr>
          <w:color w:val="5A7D3A"/>
          <w:sz w:val="18"/>
        </w:rPr>
        <w:t>https://pubmed.ncbi.nlm.nih.gov/42705630/</w:t>
      </w:r>
    </w:p>
    <w:p>
      <w:pPr>
        <w:pStyle w:val="Heading2"/>
      </w:pPr>
      <w:r>
        <w:t>Gezieltes Kraft- und Balancetraining verbessert Mobilität älterer Aboriginal-Menschen</w:t>
      </w:r>
    </w:p>
    <w:p>
      <w:r>
        <w:rPr>
          <w:i/>
          <w:color w:val="666666"/>
          <w:sz w:val="18"/>
        </w:rPr>
        <w:t>Ivers R et al.  ·  Age Ageing  ·  04.09.2026  ·  PMID 42704260</w:t>
      </w:r>
    </w:p>
    <w:p>
      <w:r>
        <w:t>Kontrollierte Vorher-nachher-Studie (n=19 Standorte Australien, Ironbark-Programm) zum Effekt eines Co-Design-Sturzvorsorgeprogramms mit Übungen und Yarning Circles auf funktionelle Mobilität und Stürze bei Aboriginal-Älteren (≥45 Jahre, n=vor allem Intervention).</w:t>
      </w:r>
    </w:p>
    <w:p>
      <w:r>
        <w:rPr>
          <w:b/>
        </w:rPr>
        <w:t xml:space="preserve">Ergebnis: </w:t>
      </w:r>
      <w:r>
        <w:t>Signifikante Verbesserung der primären Outcome funktionelle Mobilität (SPPB-Veränderung +0,8 Punkte, 95 % CI 0,4–1,1), kürzere Schrittzeiten, bessere Beinstabilität, mehr geplante und beiläufige Bewegung. Keine signifikanten Änderungen bei Stürzen, Lebensqualität oder psychischer Belastung. Kontrollgruppe (Healthy Community) zeigte Verschlechterungen.</w:t>
      </w:r>
    </w:p>
    <w:p>
      <w:r>
        <w:rPr>
          <w:b/>
          <w:sz w:val="19"/>
        </w:rPr>
        <w:t xml:space="preserve">Übertragbarkeit: </w:t>
      </w:r>
      <w:r>
        <w:rPr>
          <w:sz w:val="19"/>
        </w:rPr>
        <w:t>Australien, Kontrollstudie mit funktionellem Endpunkt, Design übertragbar auf andere First-Nations-Settings</w:t>
      </w:r>
    </w:p>
    <w:p>
      <w:r>
        <w:rPr>
          <w:color w:val="5A7D3A"/>
          <w:sz w:val="18"/>
        </w:rPr>
        <w:t>https://pubmed.ncbi.nlm.nih.gov/42704260/</w:t>
      </w:r>
    </w:p>
    <w:p>
      <w:pPr>
        <w:pStyle w:val="Heading2"/>
      </w:pPr>
      <w:r>
        <w:t>Individuelle Ernährungsintervention mit Krafttraining verbessert Frailty bei hospitalisierten Älteren</w:t>
      </w:r>
    </w:p>
    <w:p>
      <w:r>
        <w:rPr>
          <w:i/>
          <w:color w:val="666666"/>
          <w:sz w:val="18"/>
        </w:rPr>
        <w:t>Chen L et al.  ·  J Int Med Res  ·  07.09.2026  ·  PMID 42704222</w:t>
      </w:r>
    </w:p>
    <w:p>
      <w:r>
        <w:t>Prospektive Pilotkohorte ohne Kontrolle (n=120, Durchschnittsalter 87 Jahre) zur Wirkung von Screening-gesteuerter individualisierter Ernährungsunterstützung (bei MNA-SF ≤11) kombiniert mit dosiertem Theraband-Krafttraining 3x wöchentlich über 12 Wochen.</w:t>
      </w:r>
    </w:p>
    <w:p>
      <w:r>
        <w:rPr>
          <w:b/>
        </w:rPr>
        <w:t xml:space="preserve">Ergebnis: </w:t>
      </w:r>
      <w:r>
        <w:t>Signifikante Verbesserungen: Serum-Transferrin, Präalbumin und Albumin (alle p&lt;0,05), MNA-SF-Scores, SPPB-Scores, Mobilität, ADL/IADL-Funktionen, Griffstärke und Gehgeschwindigkeit (alle p&lt;0,05). SPPB-Mindesteffekt erreicht bei höherem Bildungsniveau (aOR=1,96) und niedrigerem Ausgangs-Mobilitätswert (aOR=1,81). Ohne externe Validierung; Ergebnisse vorläufig.</w:t>
      </w:r>
    </w:p>
    <w:p>
      <w:r>
        <w:rPr>
          <w:b/>
          <w:sz w:val="19"/>
        </w:rPr>
        <w:t xml:space="preserve">Übertragbarkeit: </w:t>
      </w:r>
      <w:r>
        <w:rPr>
          <w:sz w:val="19"/>
        </w:rPr>
        <w:t>China (Klinikdaten), Struktur auf deutsche Geriatrie übertragbar (Assessment, Ernährung, Rehabilitation), klinische Dosierung dokumentiert</w:t>
      </w:r>
    </w:p>
    <w:p>
      <w:r>
        <w:rPr>
          <w:color w:val="5A7D3A"/>
          <w:sz w:val="18"/>
        </w:rPr>
        <w:t>https://pubmed.ncbi.nlm.nih.gov/42704222/</w:t>
      </w:r>
    </w:p>
    <w:p>
      <w:pPr>
        <w:pStyle w:val="Heading2"/>
      </w:pPr>
      <w:r>
        <w:t>Gestaffelte Auswahl von Frailty-Assessment-Instrumenten für die klinische Praxis</w:t>
      </w:r>
    </w:p>
    <w:p>
      <w:r>
        <w:rPr>
          <w:i/>
          <w:color w:val="666666"/>
          <w:sz w:val="18"/>
        </w:rPr>
        <w:t>Sládeček S et al.  ·  Clin Interv Aging  ·  02.09.2026  ·  PMID 42703386</w:t>
      </w:r>
    </w:p>
    <w:p>
      <w:r>
        <w:t>Narrative Übersicht über zehn validierte Frailty-Assessments (FRAIL, SOF, CFS, PRISMA-7, VES-13, Fried phenotype, TFI, GFI, EFS, FI-CGA) mit Analyse ihrer konzeptionellen Grundlagen, Einsatzdomänen und praktischen Anforderungen.</w:t>
      </w:r>
    </w:p>
    <w:p>
      <w:r>
        <w:rPr>
          <w:b/>
        </w:rPr>
        <w:t xml:space="preserve">Ergebnis: </w:t>
      </w:r>
      <w:r>
        <w:t>Gegenüberstellung zeigt: Kurze Screening-Tools (PRISMA-7, FRAIL) für erste Kontakte in Ambulanz/Gemeinde; CFS für schnelle klinische Stratifizierung in Akutaufnahme/Notfall; mehrdimensionale Instrumente (EFS) wenn breiterer Überblick nötig, aber keine vollständige geriatrische Diagnostik; CGA+FI-CGA für spezialisierte geriatrische Versorgung. Instrumentwahl hängt von Versorgungskontext, Zweck und Kapazität ab – keine Austauschbarkeit.</w:t>
      </w:r>
    </w:p>
    <w:p>
      <w:r>
        <w:rPr>
          <w:b/>
          <w:sz w:val="19"/>
        </w:rPr>
        <w:t xml:space="preserve">Übertragbarkeit: </w:t>
      </w:r>
      <w:r>
        <w:rPr>
          <w:sz w:val="19"/>
        </w:rPr>
        <w:t>Mehrsprachig validiert (europäischer und nordamerikanischer Raum), klinische Empfehlungen universell anwendbar, deutschsprachige Literatur einbezogen</w:t>
      </w:r>
    </w:p>
    <w:p>
      <w:r>
        <w:rPr>
          <w:color w:val="5A7D3A"/>
          <w:sz w:val="18"/>
        </w:rPr>
        <w:t>https://pubmed.ncbi.nlm.nih.gov/42703386/</w:t>
      </w:r>
    </w:p>
    <w:p>
      <w:pPr>
        <w:pStyle w:val="Heading2"/>
      </w:pPr>
      <w:r>
        <w:t>Digitale Technologien für aktives Altern: Bibliometrie und Forschungslandkarte</w:t>
      </w:r>
    </w:p>
    <w:p>
      <w:r>
        <w:rPr>
          <w:i/>
          <w:color w:val="666666"/>
          <w:sz w:val="18"/>
        </w:rPr>
        <w:t>Wang Y et al.  ·  Inquiry  ·  04.09.2026  ·  PMID 42695810</w:t>
      </w:r>
    </w:p>
    <w:p>
      <w:r>
        <w:t>Bibliometrische Analyse (n=837 Publikationen 2006–2025, Web of Science) zur Kartierung der Forschungslandschaft digitaler Technologien für aktives Altern, Identifikation von Clustern, Trends und thematischen Strukturen.</w:t>
      </w:r>
    </w:p>
    <w:p>
      <w:r>
        <w:rPr>
          <w:b/>
        </w:rPr>
        <w:t xml:space="preserve">Ergebnis: </w:t>
      </w:r>
      <w:r>
        <w:t>Publikationen steigen ab 2018 deutlich an. Fünf Forschungscluster: Technologieakzeptanz und Befähigung, digitale Lifestyle-Interventionen, digitale Partizipation und Smart Environments, eHealth-gestützte Verhaltensänderung, Machine-Learning-basierte Altersassessments. Schlüsselthemen: digitale Inklusion, körperliche Aktivität, Gesundheitsrisiko-Analytik, Lebensqualität. Verschiebung hin zu Funktionsfähigkeit und personalisierter Unterstützung; KI-basierte Assessments noch früh, sollten vorsichtig interpretiert werden.</w:t>
      </w:r>
    </w:p>
    <w:p>
      <w:r>
        <w:rPr>
          <w:b/>
          <w:sz w:val="19"/>
        </w:rPr>
        <w:t xml:space="preserve">Übertragbarkeit: </w:t>
      </w:r>
      <w:r>
        <w:rPr>
          <w:sz w:val="19"/>
        </w:rPr>
        <w:t>Globale Analyse, beschreibend (keine Wirksamkeitsdaten), Anwendbarkeit hängt von lokalen Systemen ab</w:t>
      </w:r>
    </w:p>
    <w:p>
      <w:r>
        <w:rPr>
          <w:color w:val="5A7D3A"/>
          <w:sz w:val="18"/>
        </w:rPr>
        <w:t>https://pubmed.ncbi.nlm.nih.gov/42695810/</w:t>
      </w:r>
    </w:p>
    <w:p>
      <w:pPr>
        <w:pStyle w:val="Heading2"/>
      </w:pPr>
      <w:r>
        <w:t>Körperliche Aktivität mindert Frailty-Risiko trotz belastender Kindheitserfahrungen</w:t>
      </w:r>
    </w:p>
    <w:p>
      <w:r>
        <w:rPr>
          <w:i/>
          <w:color w:val="666666"/>
          <w:sz w:val="18"/>
        </w:rPr>
        <w:t>Dong X et al.  ·  Gen Hosp Psychiatry  ·  15.08.2026  ·  PMID 42660041</w:t>
      </w:r>
    </w:p>
    <w:p>
      <w:r>
        <w:t>Prospektive Kohortenstudie (SHARE-Daten, n=23.385) zur Frage, ob ausreichende körperliche Aktivität die negativen Auswirkungen ungünstiger Kindheitserfahrungen (Adverse Childhood Experiences) auf kognitives Frailty im mittleren und höheren Alter abpuffert.</w:t>
      </w:r>
    </w:p>
    <w:p>
      <w:r>
        <w:rPr>
          <w:b/>
        </w:rPr>
        <w:t xml:space="preserve">Ergebnis: </w:t>
      </w:r>
      <w:r>
        <w:t>Jede zusätzliche ungünstige Kindheitserfahrung erhöhte das Frailty-Risiko um 9 % (HR=1,09). Ein Jahr ausreichende körperliche Aktivität senkte das Risiko um 25 % (HR=0,75). Langfristige Aufrechterhaltung (≥6 Jahre) reduzierte das Frailty-Risiko bei ungünstigen Erfahrungen um 54 % (HR=0,46); die Assoziation wurde zu 23 % durch erhaltene körperliche Aktivität vermittelt. Effekt war stärksten bei schlechtem Kindheitseinkommen (HR=0,59) und schlechter Nachbarschaftsqualität (HR=0,45).</w:t>
      </w:r>
    </w:p>
    <w:p>
      <w:r>
        <w:rPr>
          <w:b/>
          <w:sz w:val="19"/>
        </w:rPr>
        <w:t xml:space="preserve">Übertragbarkeit: </w:t>
      </w:r>
      <w:r>
        <w:rPr>
          <w:sz w:val="19"/>
        </w:rPr>
        <w:t>Europa (SHARE-Daten, deutschsprachige Länder einbezogen), sozialversicherungsbasierte Systeme vergleichbar</w:t>
      </w:r>
    </w:p>
    <w:p>
      <w:r>
        <w:rPr>
          <w:color w:val="5A7D3A"/>
          <w:sz w:val="18"/>
        </w:rPr>
        <w:t>https://pubmed.ncbi.nlm.nih.gov/42660041/</w:t>
      </w:r>
    </w:p>
    <w:p>
      <w:pPr>
        <w:pStyle w:val="Heading1"/>
      </w:pPr>
      <w:r>
        <w:t>Aufgenommen am 07.09.2026</w:t>
      </w:r>
    </w:p>
    <w:p>
      <w:pPr>
        <w:pStyle w:val="Heading2"/>
      </w:pPr>
      <w:r>
        <w:t>Kardiovaskuläre Gesundheit und Gehirngesundheit: Lebenserwartung ohne Schlaganfall und Demenz</w:t>
      </w:r>
    </w:p>
    <w:p>
      <w:r>
        <w:rPr>
          <w:i/>
          <w:color w:val="666666"/>
          <w:sz w:val="18"/>
        </w:rPr>
        <w:t>DU Y et al.  ·  Zhong Nan Da Xue Xue Bao Yi Xue Ban  ·  28.06.2026  ·  PMID 42702379</w:t>
      </w:r>
    </w:p>
    <w:p>
      <w:r>
        <w:t>Prospektive Kohortenstudie mit 122 953 Erwachsenen (37–73 Jahre) aus der UK Biobank untersuchte, wie ein Life's Essential 10-Framework (CVH-Bewertung mit 10 Komponenten) die Lebenserwartung ohne Schlaganfall und Demenz beeinflusst.</w:t>
      </w:r>
    </w:p>
    <w:p>
      <w:r>
        <w:rPr>
          <w:b/>
        </w:rPr>
        <w:t xml:space="preserve">Ergebnis: </w:t>
      </w:r>
      <w:r>
        <w:t>Bei hoher kardiovaskulärer Gesundheit (CVH) betrug die Lebenserwartung ohne Schlaganfall/Demenz im Alter 50 Jahren für Männer 31,8 Jahre (95%-KI 31,1–32,5) vs. 24,9 Jahre bei niedriger CVH; für Frauen 35,5 Jahre (95%-KI 34,7–36,2) vs. 28,4 Jahre. Hochrisiko-HRs: Männer HR=0,59 (95%-KI 0,52–0,67), Frauen HR=0,50 (95%-KI 0,42–0,59) für Schlaganfall/Demenz.</w:t>
      </w:r>
    </w:p>
    <w:p>
      <w:r>
        <w:rPr>
          <w:b/>
          <w:sz w:val="19"/>
        </w:rPr>
        <w:t xml:space="preserve">Übertragbarkeit: </w:t>
      </w:r>
      <w:r>
        <w:rPr>
          <w:sz w:val="19"/>
        </w:rPr>
        <w:t>UK Biobank, vergleichbare Sozialversicherungssysteme in Europa</w:t>
      </w:r>
    </w:p>
    <w:p>
      <w:r>
        <w:rPr>
          <w:color w:val="5A7D3A"/>
          <w:sz w:val="18"/>
        </w:rPr>
        <w:t>https://pubmed.ncbi.nlm.nih.gov/42702379/</w:t>
      </w:r>
    </w:p>
    <w:p>
      <w:pPr>
        <w:pStyle w:val="Heading2"/>
      </w:pPr>
      <w:r>
        <w:t>Wachstumshormonenantagenismus verlängert Lebensspanne bei Mäusen</w:t>
      </w:r>
    </w:p>
    <w:p>
      <w:r>
        <w:rPr>
          <w:i/>
          <w:color w:val="666666"/>
          <w:sz w:val="18"/>
        </w:rPr>
        <w:t>List EO et al.  ·  Aging Cell  ·  Sept. 2026  ·  PMID 42701998</w:t>
      </w:r>
    </w:p>
    <w:p>
      <w:r>
        <w:t>Studie an Transgenic-Mäusen untersuchte, ob Blockade der Wachstumshormonaktivität (mittels Pegvisomant-äquivalenter Substanz) die Lebensdauer und Gesundheit im Alter verbessert.</w:t>
      </w:r>
    </w:p>
    <w:p>
      <w:r>
        <w:rPr>
          <w:b/>
        </w:rPr>
        <w:t xml:space="preserve">Ergebnis: </w:t>
      </w:r>
      <w:r>
        <w:t>GH-Antagonismus-Mäuse zeigten signifikante Lebensverlängerung: Mediane Lebensspanne bei Männchen p=0,044, bei Weibchen p=2×10−8; maximale Lebensspanne um 186 Tage (Männchen) bzw. 265 Tage (Weibchen) verlängert. 2-jährige GHA-Mäuse zeigten geringere Frailty mit erhöhter Griffstärke trotz erhöhter Adiposität.</w:t>
      </w:r>
    </w:p>
    <w:p>
      <w:r>
        <w:rPr>
          <w:b/>
          <w:sz w:val="19"/>
        </w:rPr>
        <w:t xml:space="preserve">Übertragbarkeit: </w:t>
      </w:r>
      <w:r>
        <w:rPr>
          <w:sz w:val="19"/>
        </w:rPr>
        <w:t>Präklinisches Mausmodell; klinische Übertragbarkeit begrenzt, aber Pegvisomant FDA-zugelassen für Akromegalie beim Menschen</w:t>
      </w:r>
    </w:p>
    <w:p>
      <w:r>
        <w:rPr>
          <w:color w:val="5A7D3A"/>
          <w:sz w:val="18"/>
        </w:rPr>
        <w:t>https://pubmed.ncbi.nlm.nih.gov/42701998/</w:t>
      </w:r>
    </w:p>
    <w:p>
      <w:pPr>
        <w:pStyle w:val="Heading2"/>
      </w:pPr>
      <w:r>
        <w:t>Frailty als unabhängiger Mortalitätsprediktor bei Brustkrebsüberlebenden</w:t>
      </w:r>
    </w:p>
    <w:p>
      <w:r>
        <w:rPr>
          <w:i/>
          <w:color w:val="666666"/>
          <w:sz w:val="18"/>
        </w:rPr>
        <w:t>Wu C et al.  ·  Medicine (Baltimore)  ·  04.09.2026  ·  PMID 42700073</w:t>
      </w:r>
    </w:p>
    <w:p>
      <w:r>
        <w:t>Analyse von 625 128 Teilnehmern (9 941 Brustkrebsüberlebende) aus dem National Health Interview Survey 1997–2018 mit Mortalitätsfolgeup bis 2019 untersuchte Frailty als Mortalitätsprädikator.</w:t>
      </w:r>
    </w:p>
    <w:p>
      <w:r>
        <w:rPr>
          <w:b/>
        </w:rPr>
        <w:t xml:space="preserve">Ergebnis: </w:t>
      </w:r>
      <w:r>
        <w:t>Bei Brustkrebsüberlebenden zeigten Pre-Frailty (HR=1,44; 95%-KI 1,39–1,51) und Frailty (HR=1,70; 95%-KI 1,49–1,94) unabhängig erhöhte Mortalität. Unter 60-Jährigen: Frailty stark prädiktiv (HR=2,46; 95%-KI 1,52–4,00), Pre-Frailty nicht signifikant. Systematisches Frailty-Screening empfohlen.</w:t>
      </w:r>
    </w:p>
    <w:p>
      <w:r>
        <w:rPr>
          <w:b/>
          <w:sz w:val="19"/>
        </w:rPr>
        <w:t xml:space="preserve">Übertragbarkeit: </w:t>
      </w:r>
      <w:r>
        <w:rPr>
          <w:sz w:val="19"/>
        </w:rPr>
        <w:t>USA-Studie, nationale Versorgungsdaten; Frailty-Definition auf andere Systeme übertragbar</w:t>
      </w:r>
    </w:p>
    <w:p>
      <w:r>
        <w:rPr>
          <w:color w:val="5A7D3A"/>
          <w:sz w:val="18"/>
        </w:rPr>
        <w:t>https://pubmed.ncbi.nlm.nih.gov/42700073/</w:t>
      </w:r>
    </w:p>
    <w:p>
      <w:pPr>
        <w:pStyle w:val="Heading2"/>
      </w:pPr>
      <w:r>
        <w:t>Frailty-Verbesserung senkt Demenzrisiko bei älteren Erwachsenen</w:t>
      </w:r>
    </w:p>
    <w:p>
      <w:r>
        <w:rPr>
          <w:i/>
          <w:color w:val="666666"/>
          <w:sz w:val="18"/>
        </w:rPr>
        <w:t>Fang J et al.  ·  J Affect Disord  ·  01.12.2026  ·  PMID 42600788</w:t>
      </w:r>
    </w:p>
    <w:p>
      <w:r>
        <w:t>Longitudinale Kohortenanalyse von 59 331 Erwachsenen (≥50 Jahre) aus vier internationalen Studien (HRS, CHARLS, SHARE, ELSA) untersuchte, ob Frailty-Umkehr das Demenzrisiko reduziert und welche Rolle depressive Symptome spielen.</w:t>
      </w:r>
    </w:p>
    <w:p>
      <w:r>
        <w:rPr>
          <w:b/>
        </w:rPr>
        <w:t xml:space="preserve">Ergebnis: </w:t>
      </w:r>
      <w:r>
        <w:t>Über 7,51±2,09 Jahre entwickelten 9,49 % Demenz. Frailty-Verschlechterung erhöhte das Risiko (HR 1,43–2,53), während Frailty-Verbesserung in SHARE (HR=0,55) und CHARLS (HR=0,70) mit geringerem Risiko assoziiert war. Depressive Symptome mediieren 29,29–44,78 % der Assoziation zwischen Frailty und Demenz.</w:t>
      </w:r>
    </w:p>
    <w:p>
      <w:r>
        <w:rPr>
          <w:b/>
          <w:sz w:val="19"/>
        </w:rPr>
        <w:t xml:space="preserve">Übertragbarkeit: </w:t>
      </w:r>
      <w:r>
        <w:rPr>
          <w:sz w:val="19"/>
        </w:rPr>
        <w:t>Europäische Studien (SHARE, ELSA) einbezogen; vergleichbare Versorgungssysteme</w:t>
      </w:r>
    </w:p>
    <w:p>
      <w:r>
        <w:rPr>
          <w:color w:val="5A7D3A"/>
          <w:sz w:val="18"/>
        </w:rPr>
        <w:t>https://pubmed.ncbi.nlm.nih.gov/42600788/</w:t>
      </w:r>
    </w:p>
    <w:p>
      <w:pPr>
        <w:pStyle w:val="Heading2"/>
      </w:pPr>
      <w:r>
        <w:t>Maschinelles Lernen vorhersagt depressive Symptome bei älteren Erwachsenen in Großbritannien</w:t>
      </w:r>
    </w:p>
    <w:p>
      <w:r>
        <w:rPr>
          <w:i/>
          <w:color w:val="666666"/>
          <w:sz w:val="18"/>
        </w:rPr>
        <w:t>Khorram B et al.  ·  JMIR Form Res  ·  02.07.2026  ·  PMID 42390822</w:t>
      </w:r>
    </w:p>
    <w:p>
      <w:r>
        <w:t>Machine-Learning-Studie mit Daten aus vier Wellen der English Longitudinal Study of Ageing (ELSA) zur Vorhersage klinisch bedeutsamer depressiver Symptome (CES-D 8≥4) im 2-Jahres-Follow-up bei über 50-Jährigen.</w:t>
      </w:r>
    </w:p>
    <w:p>
      <w:r>
        <w:rPr>
          <w:b/>
        </w:rPr>
        <w:t xml:space="preserve">Ergebnis: </w:t>
      </w:r>
      <w:r>
        <w:t>Beste Modelle erreichten mittlere AUROC von 0,72–0,73 (Peak 0,75). Ordinale Codierung übertraf One-Hot-Codierung. Konsistente Prädiktoren: Einsamkeit, Schlafstörungen, geringe soziale Bindung. Sensitivitätsanalysen über CES-D-Schwellwerte robust (AUROC 0,67–0,82).</w:t>
      </w:r>
    </w:p>
    <w:p>
      <w:r>
        <w:rPr>
          <w:b/>
          <w:sz w:val="19"/>
        </w:rPr>
        <w:t xml:space="preserve">Übertragbarkeit: </w:t>
      </w:r>
      <w:r>
        <w:rPr>
          <w:sz w:val="19"/>
        </w:rPr>
        <w:t>Britische Studie mit europäischem Sozialversicherungssystem; Prädiktoren für Screeningtools übertragbar</w:t>
      </w:r>
    </w:p>
    <w:p>
      <w:r>
        <w:rPr>
          <w:color w:val="5A7D3A"/>
          <w:sz w:val="18"/>
        </w:rPr>
        <w:t>https://pubmed.ncbi.nlm.nih.gov/42390822/</w:t>
      </w:r>
    </w:p>
    <w:p>
      <w:pPr>
        <w:pStyle w:val="Heading2"/>
      </w:pPr>
      <w:r>
        <w:t>Biologische Alterungsbeschleunigung als Risikofaktor für Lebererkrankung im UK Biobank</w:t>
      </w:r>
    </w:p>
    <w:p>
      <w:r>
        <w:rPr>
          <w:i/>
          <w:color w:val="666666"/>
          <w:sz w:val="18"/>
        </w:rPr>
        <w:t>Yang X et al.  ·  Front Endocrinol (Lausanne)  ·  17.06.2026  ·  PMID 42388879</w:t>
      </w:r>
    </w:p>
    <w:p>
      <w:r>
        <w:t>Studie untersuchte die Assoziation zwischen beschleunigtem biologischem Alter und hospitalisierten Fällen von Stoffwechsel-assoziierter Steatose-Lebererkrankung (MASLD) an 247 444 Personen über 13,7 Jahre Nachbeobachtung.</w:t>
      </w:r>
    </w:p>
    <w:p>
      <w:r>
        <w:rPr>
          <w:b/>
        </w:rPr>
        <w:t xml:space="preserve">Ergebnis: </w:t>
      </w:r>
      <w:r>
        <w:t>Beschleunigtes biologisches Alter (PhenoAge-Beschleunigung) war mit erhöhtem MASLD-Risiko assoziiert (HR=1,46; 95%-KI 1,35–1,57). PhenoAge-Beschleunigung erklärte 11,4–25,5 % der Assoziation zwischen ungesundem Lebensstil (Rauchen, Alkohol, schlechte Ernährung, Bewegungsmangel) und MASLD, mit stärkstem Effekt beim Rauchen (25,5 %).</w:t>
      </w:r>
    </w:p>
    <w:p>
      <w:r>
        <w:rPr>
          <w:b/>
          <w:sz w:val="19"/>
        </w:rPr>
        <w:t xml:space="preserve">Übertragbarkeit: </w:t>
      </w:r>
      <w:r>
        <w:rPr>
          <w:sz w:val="19"/>
        </w:rPr>
        <w:t>UK Biobank, übertragbar für europäische Sozialversicherungssysteme</w:t>
      </w:r>
    </w:p>
    <w:p>
      <w:r>
        <w:rPr>
          <w:color w:val="5A7D3A"/>
          <w:sz w:val="18"/>
        </w:rPr>
        <w:t>https://pubmed.ncbi.nlm.nih.gov/42388879/</w:t>
      </w:r>
    </w:p>
    <w:p>
      <w:pPr>
        <w:pStyle w:val="Heading1"/>
      </w:pPr>
      <w:r>
        <w:t>Aufgenommen am 06.09.2026</w:t>
      </w:r>
    </w:p>
    <w:p>
      <w:pPr>
        <w:pStyle w:val="Heading2"/>
      </w:pPr>
      <w:r>
        <w:t>Orale Gesundheit und orale Gebrechlichkeit bei älteren hospitalisierten Patienten</w:t>
      </w:r>
    </w:p>
    <w:p>
      <w:r>
        <w:rPr>
          <w:i/>
          <w:color w:val="666666"/>
          <w:sz w:val="18"/>
        </w:rPr>
        <w:t>Ren Q et al.  ·  J Coll Physicians Surg Pak  ·  Sept. 2026  ·  PMID 42698252</w:t>
      </w:r>
    </w:p>
    <w:p>
      <w:r>
        <w:t>Querschnittsstudie mit 200 älteren Patienten: Beziehung zwischen Mundgesundheitsstatus (GOHAI, Wasserschluck-Test) und Oral Frailty Index-8 (OFI-8).</w:t>
      </w:r>
    </w:p>
    <w:p>
      <w:r>
        <w:rPr>
          <w:b/>
        </w:rPr>
        <w:t xml:space="preserve">Ergebnis: </w:t>
      </w:r>
      <w:r>
        <w:t>Signifikante Unterschiede in Alter, Mundgesundheitsindikatoren und Zahnfunktion zwischen Frailty- (n=55) und Non-Frailty-Gruppe (n=145). OFI-8 zeigt praktische Relevanz für Früherkennung oraler Gebrechlichkeit im klinischen Setting.</w:t>
      </w:r>
    </w:p>
    <w:p>
      <w:r>
        <w:rPr>
          <w:b/>
          <w:sz w:val="19"/>
        </w:rPr>
        <w:t xml:space="preserve">Übertragbarkeit: </w:t>
      </w:r>
      <w:r>
        <w:rPr>
          <w:sz w:val="19"/>
        </w:rPr>
        <w:t>China, geriatrische Versorgung; Screening-Wert für deutsches Gesundheitswesen nutzbar</w:t>
      </w:r>
    </w:p>
    <w:p>
      <w:r>
        <w:rPr>
          <w:color w:val="5A7D3A"/>
          <w:sz w:val="18"/>
        </w:rPr>
        <w:t>https://pubmed.ncbi.nlm.nih.gov/42698252/</w:t>
      </w:r>
    </w:p>
    <w:p>
      <w:pPr>
        <w:pStyle w:val="Heading2"/>
      </w:pPr>
      <w:r>
        <w:t>FRAIL- und SARC-CalF-Skalen vorhersagen HFpEF-Risiko bei älteren Patienten</w:t>
      </w:r>
    </w:p>
    <w:p>
      <w:r>
        <w:rPr>
          <w:i/>
          <w:color w:val="666666"/>
          <w:sz w:val="18"/>
        </w:rPr>
        <w:t>Yu Y et al.  ·  J Coll Physicians Surg Pak  ·  Sept. 2026  ·  PMID 42698238</w:t>
      </w:r>
    </w:p>
    <w:p>
      <w:r>
        <w:t>Querschnittsstudie mit 134 hospitalisierten Patienten ≥60 Jahren: Umfassendes geriatrisches Assessment (CGA) mit Evaluierung von Gebrechlichkeit, Sarkopenie und Ernährung; Vorhersage von Herzinsuffizienz mit erhaltener Ejektionsfraktion (HFpEF).</w:t>
      </w:r>
    </w:p>
    <w:p>
      <w:r>
        <w:rPr>
          <w:b/>
        </w:rPr>
        <w:t xml:space="preserve">Ergebnis: </w:t>
      </w:r>
      <w:r>
        <w:t>FRAIL-Score OR 3,68 (95%KI 1,83–8,39), SARC-CalF-Score OR 1,47 (95%KI 1,21–1,86) unabhängig mit HFpEF assoziiert; AUC FRAIL 0,88, AUC SARC-CalF 0,89; optimale Schwellen 1,5 Punkte (Vor-Frailty) bzw. 11 Punkte.</w:t>
      </w:r>
    </w:p>
    <w:p>
      <w:r>
        <w:rPr>
          <w:b/>
          <w:sz w:val="19"/>
        </w:rPr>
        <w:t xml:space="preserve">Übertragbarkeit: </w:t>
      </w:r>
      <w:r>
        <w:rPr>
          <w:sz w:val="19"/>
        </w:rPr>
        <w:t>China, aber FRAIL und SARC-CalF sind validiert international</w:t>
      </w:r>
    </w:p>
    <w:p>
      <w:r>
        <w:rPr>
          <w:color w:val="5A7D3A"/>
          <w:sz w:val="18"/>
        </w:rPr>
        <w:t>https://pubmed.ncbi.nlm.nih.gov/42698238/</w:t>
      </w:r>
    </w:p>
    <w:p>
      <w:pPr>
        <w:pStyle w:val="Heading2"/>
      </w:pPr>
      <w:r>
        <w:t>Depressive Symptome bei älteren Indonesiern: Prävalenz und Risikofaktoren</w:t>
      </w:r>
    </w:p>
    <w:p>
      <w:r>
        <w:rPr>
          <w:i/>
          <w:color w:val="666666"/>
          <w:sz w:val="18"/>
        </w:rPr>
        <w:t>Pengpid S et al.  ·  Psychogeriatrics  ·  Sept. 2026  ·  PMID 42698196</w:t>
      </w:r>
    </w:p>
    <w:p>
      <w:r>
        <w:t>Querschnittsanalyse von 3.808 Personen ≥45 Jahren aus indonesischer Longitudinal-Studie (ILAS 2023): Depressive Symptome (CES-D-10 ≥10) in Zusammenhang mit Hospitalisierung, Selbsteinschätzung der Gesundheit, Multisite-Schmerz, Übergewicht, Behinderung und religiöser Aktivität.</w:t>
      </w:r>
    </w:p>
    <w:p>
      <w:r>
        <w:rPr>
          <w:b/>
        </w:rPr>
        <w:t xml:space="preserve">Ergebnis: </w:t>
      </w:r>
      <w:r>
        <w:t>Depressive-Symptom-Prävalenz 9,3% (9,0% Männer, 9,6% Frauen). Hospitalisierung im vergangenen Jahr, schlechte Selbsteinschätzung, Multisite-Schmerz, Übergewicht und Behinderung positiv assoziiert; religiöse Aktivität protektiv (unadjustiert); bei Männern Rauchen zusätzlicher Risikofaktor.</w:t>
      </w:r>
    </w:p>
    <w:p>
      <w:r>
        <w:rPr>
          <w:b/>
          <w:sz w:val="19"/>
        </w:rPr>
        <w:t xml:space="preserve">Übertragbarkeit: </w:t>
      </w:r>
      <w:r>
        <w:rPr>
          <w:sz w:val="19"/>
        </w:rPr>
        <w:t>Indonesien; kulturelle/epidemiologische Unterschiede, aber psychosoziale Prädiktoren universal</w:t>
      </w:r>
    </w:p>
    <w:p>
      <w:r>
        <w:rPr>
          <w:color w:val="5A7D3A"/>
          <w:sz w:val="18"/>
        </w:rPr>
        <w:t>https://pubmed.ncbi.nlm.nih.gov/42698196/</w:t>
      </w:r>
    </w:p>
    <w:p>
      <w:pPr>
        <w:pStyle w:val="Heading2"/>
      </w:pPr>
      <w:r>
        <w:t>Geriatrisches Assessment mit Frailty Index optimiert Vorhersage von Sterblichkeit im Alter</w:t>
      </w:r>
    </w:p>
    <w:p>
      <w:r>
        <w:rPr>
          <w:i/>
          <w:color w:val="666666"/>
          <w:sz w:val="18"/>
        </w:rPr>
        <w:t>Quach J et al.  ·  Age Ageing  ·  04.09.2026  ·  PMID 42696642</w:t>
      </w:r>
    </w:p>
    <w:p>
      <w:r>
        <w:t>Analyse von 3.669 Patienten mit kardiovaskulärer Erkrankung: Bei einzelnen Deficit-Items war die Vorhersagekraft für Mortalität besser als bei zusammengefassten Frailty-Index-Scores; 10 Defizite reichten aus, um Vorhersagekraft zu optimieren.</w:t>
      </w:r>
    </w:p>
    <w:p>
      <w:r>
        <w:rPr>
          <w:b/>
        </w:rPr>
        <w:t xml:space="preserve">Ergebnis: </w:t>
      </w:r>
      <w:r>
        <w:t>Mit 46 Einzelitems C-Index 0,71 (95%KI 0,69–0,74) vs. composite FI 0,64–0,67; mit ~10 Items konvergierte Performance der Importance-ranked FI mit zufällig gewählten FI. Die Deficit-Interchangeability-Annahme des FI hält nur bei ausreichender Itemanzahl.</w:t>
      </w:r>
    </w:p>
    <w:p>
      <w:r>
        <w:rPr>
          <w:b/>
          <w:sz w:val="19"/>
        </w:rPr>
        <w:t xml:space="preserve">Übertragbarkeit: </w:t>
      </w:r>
      <w:r>
        <w:rPr>
          <w:sz w:val="19"/>
        </w:rPr>
        <w:t>USA-Daten, aber Frailty-Index-Methodik international anerkannt</w:t>
      </w:r>
    </w:p>
    <w:p>
      <w:r>
        <w:rPr>
          <w:color w:val="5A7D3A"/>
          <w:sz w:val="18"/>
        </w:rPr>
        <w:t>https://pubmed.ncbi.nlm.nih.gov/42696642/</w:t>
      </w:r>
    </w:p>
    <w:p>
      <w:pPr>
        <w:pStyle w:val="Heading2"/>
      </w:pPr>
      <w:r>
        <w:t>Benachteiligte Kindheit verschlechtert kognitive Funktion im Alter unabhängig von Erwachsenen-Erkrankungen</w:t>
      </w:r>
    </w:p>
    <w:p>
      <w:r>
        <w:rPr>
          <w:i/>
          <w:color w:val="666666"/>
          <w:sz w:val="18"/>
        </w:rPr>
        <w:t>Ripamonti E et al.  ·  J Clin Exp Neuropsychol  ·  06.07.2026  ·  PMID 42403102</w:t>
      </w:r>
    </w:p>
    <w:p>
      <w:r>
        <w:t>Longitudinale Studie: 508 schwedische Ältere verfolgt über mehrere Jahre; Analyse der Assoziation zwischen Kindheitsbenachteiligung und kognitiver Funktion (MMSE) bzw. Behinderung (ADL/iADL) im Alter mit Mediationsanalyse durch Krankheitszahl und chronische Schmerzen.</w:t>
      </w:r>
    </w:p>
    <w:p>
      <w:r>
        <w:rPr>
          <w:b/>
        </w:rPr>
        <w:t xml:space="preserve">Ergebnis: </w:t>
      </w:r>
      <w:r>
        <w:t>Benachteiligte Kindheit mit niedrigeren MMSE-Werten bei Baseline assoziiert (β=-0,14 [95%KI -0,27,-0,02]), aber nicht mit zeitlichem Verlauf (β=-0,01 [95%KI -0,03,0,01]); Mediationsanalyse: Krankheitszahl/Schmerz erklären nur minimalen Teil; keine Assoziation mit ADL/iADL. Unterstützt Sensitive-Period-Hypothese.</w:t>
      </w:r>
    </w:p>
    <w:p>
      <w:r>
        <w:rPr>
          <w:b/>
          <w:sz w:val="19"/>
        </w:rPr>
        <w:t xml:space="preserve">Übertragbarkeit: </w:t>
      </w:r>
      <w:r>
        <w:rPr>
          <w:sz w:val="19"/>
        </w:rPr>
        <w:t>Schweden (skandinavisches Sozialversicherungssystem), hochgradig übertragbar auf Deutschland</w:t>
      </w:r>
    </w:p>
    <w:p>
      <w:r>
        <w:rPr>
          <w:color w:val="5A7D3A"/>
          <w:sz w:val="18"/>
        </w:rPr>
        <w:t>https://pubmed.ncbi.nlm.nih.gov/42403102/</w:t>
      </w:r>
    </w:p>
    <w:p>
      <w:pPr>
        <w:pStyle w:val="Heading2"/>
      </w:pPr>
      <w:r>
        <w:t>Muskelleistung aus Sit-to-Stand-Test identifiziert Frailty bei älteren Community-Bewohnern</w:t>
      </w:r>
    </w:p>
    <w:p>
      <w:r>
        <w:rPr>
          <w:i/>
          <w:color w:val="666666"/>
          <w:sz w:val="18"/>
        </w:rPr>
        <w:t>Condon C et al.  ·  PLoS One  ·  02.07.2026  ·  PMID 42391194</w:t>
      </w:r>
    </w:p>
    <w:p>
      <w:r>
        <w:t>Querschnittsstudie mit 2.959 irischen Teilnehmern ≥50 Jahren: Geschätzte Muskelleistung aus 5×STS-Test verglichen mit Frailty-Index und etablierten Tests.</w:t>
      </w:r>
    </w:p>
    <w:p>
      <w:r>
        <w:rPr>
          <w:b/>
        </w:rPr>
        <w:t xml:space="preserve">Ergebnis: </w:t>
      </w:r>
      <w:r>
        <w:t>Schwellenwert &lt;2,5 Watt·kg⁻¹ Männer, &lt;2,08 Watt·kg⁻¹ Frauen mit erhöhtem Frailty-Risiko assoziiert; Sensitivität und Spezifität vergleichbar mit Timed Up and Go; praktisches Screening-Tool mit moderater Vorhersagekraft.</w:t>
      </w:r>
    </w:p>
    <w:p>
      <w:r>
        <w:rPr>
          <w:b/>
          <w:sz w:val="19"/>
        </w:rPr>
        <w:t xml:space="preserve">Übertragbarkeit: </w:t>
      </w:r>
      <w:r>
        <w:rPr>
          <w:sz w:val="19"/>
        </w:rPr>
        <w:t>Irland (vergleichbares Sozialversicherungssystem), einfach durchführbar in Praxen</w:t>
      </w:r>
    </w:p>
    <w:p>
      <w:r>
        <w:rPr>
          <w:color w:val="5A7D3A"/>
          <w:sz w:val="18"/>
        </w:rPr>
        <w:t>https://pubmed.ncbi.nlm.nih.gov/42391194/</w:t>
      </w:r>
    </w:p>
    <w:p>
      <w:pPr>
        <w:pStyle w:val="Heading1"/>
      </w:pPr>
      <w:r>
        <w:t>Aufgenommen am 05.09.2026</w:t>
      </w:r>
    </w:p>
    <w:p>
      <w:pPr>
        <w:pStyle w:val="Heading2"/>
      </w:pPr>
      <w:r>
        <w:t>Reaktive Balanceschulung senkt Sturzrisikofaktoren, nicht aber Stürze im Alltag</w:t>
      </w:r>
    </w:p>
    <w:p>
      <w:r>
        <w:rPr>
          <w:i/>
          <w:color w:val="666666"/>
          <w:sz w:val="18"/>
        </w:rPr>
        <w:t>Sharma S et al.  ·  Age Ageing  ·  04.09.2026  ·  PMID 42696641</w:t>
      </w:r>
    </w:p>
    <w:p>
      <w:r>
        <w:t>Randomisierte kontrollierte Studie mit 88 älteren Menschen: 43 erhielten wöchentliches ReacStep-Training (Reaktives Stepping, bewusste Ausrutscher) über 6 Wochen plus Heimkrafttraining, 45 nur Heimkrafttraining über 8 Wochen; Erhebung von reaktiver Balance, körperlichen Funktionen und Stürzen im Alltag über 12 Monate.</w:t>
      </w:r>
    </w:p>
    <w:p>
      <w:r>
        <w:rPr>
          <w:b/>
        </w:rPr>
        <w:t xml:space="preserve">Ergebnis: </w:t>
      </w:r>
      <w:r>
        <w:t>Adhärenz zum ReacStep-Programm 90 %, Interventionsgruppe zeigte signifikante Verbesserungen in maximaler Schrittlänge und Reaktionszeit beim Stepping (p&lt;0,05), aber keine Unterschiede in laborgestützten Sturzversuchen oder Häuslichkeitsstürzen über 12 Monate (p=0,19).</w:t>
      </w:r>
    </w:p>
    <w:p>
      <w:r>
        <w:rPr>
          <w:b/>
          <w:sz w:val="19"/>
        </w:rPr>
        <w:t xml:space="preserve">Übertragbarkeit: </w:t>
      </w:r>
      <w:r>
        <w:rPr>
          <w:sz w:val="19"/>
        </w:rPr>
        <w:t>Australien, vergleichbares Gesundheitssystem, aber begrenzte Übertragung zur Sturzprävention</w:t>
      </w:r>
    </w:p>
    <w:p>
      <w:r>
        <w:rPr>
          <w:color w:val="5A7D3A"/>
          <w:sz w:val="18"/>
        </w:rPr>
        <w:t>https://pubmed.ncbi.nlm.nih.gov/42696641/</w:t>
      </w:r>
    </w:p>
    <w:p>
      <w:pPr>
        <w:pStyle w:val="Heading2"/>
      </w:pPr>
      <w:r>
        <w:t>Urat-senkende Therapie und Frailty-Risiko bei Nierenpatienten</w:t>
      </w:r>
    </w:p>
    <w:p>
      <w:r>
        <w:rPr>
          <w:i/>
          <w:color w:val="666666"/>
          <w:sz w:val="18"/>
        </w:rPr>
        <w:t>Lee SY et al.  ·  Int J Med Sci  ·  04.08.2026  ·  PMID 42694867</w:t>
      </w:r>
    </w:p>
    <w:p>
      <w:r>
        <w:t>Retrospektive Kohortenstudie mit 19.389 Nephrologiepatienten: Untersuchung der Assoziation zwischen Febuxostat, Allopurinol und keiner Therapie mit neuaufgetretener und verschlimmerter Frailty über medianen Nachbeobachtungszeitraum von 3 Jahren.</w:t>
      </w:r>
    </w:p>
    <w:p>
      <w:r>
        <w:rPr>
          <w:b/>
        </w:rPr>
        <w:t xml:space="preserve">Ergebnis: </w:t>
      </w:r>
      <w:r>
        <w:t>892 (4,6 %) entwickelten neuaufgetretene Frailty, 5.253 (27,1 %) zeigten Verschlimmerung. Febuxostat war mit höherem Frailty-Risiko verbunden (HR 1,22; 95%-KI 1,01–1,48), Allopurinol mit geringerem Risiko (HR 0,65; 95%-KI 0,46–0,93); beide gemeinsam ohne signifikante Assoziation. Keine Effekte auf Frailty-Verschlimmerung.</w:t>
      </w:r>
    </w:p>
    <w:p>
      <w:r>
        <w:rPr>
          <w:b/>
          <w:sz w:val="19"/>
        </w:rPr>
        <w:t xml:space="preserve">Übertragbarkeit: </w:t>
      </w:r>
      <w:r>
        <w:rPr>
          <w:sz w:val="19"/>
        </w:rPr>
        <w:t>Taiwan, Nephrologiedaten vergleichbar, aber begrenzte Generalisierbarkeit</w:t>
      </w:r>
    </w:p>
    <w:p>
      <w:r>
        <w:rPr>
          <w:color w:val="5A7D3A"/>
          <w:sz w:val="18"/>
        </w:rPr>
        <w:t>https://pubmed.ncbi.nlm.nih.gov/42694867/</w:t>
      </w:r>
    </w:p>
    <w:p>
      <w:pPr>
        <w:pStyle w:val="Heading2"/>
      </w:pPr>
      <w:r>
        <w:t>Funkionsstatus und Pflegebedarf bei Eintritt in öffentlich finanzierte Altenhilfe</w:t>
      </w:r>
    </w:p>
    <w:p>
      <w:r>
        <w:rPr>
          <w:i/>
          <w:color w:val="666666"/>
          <w:sz w:val="18"/>
        </w:rPr>
        <w:t>Siljehag PA et al.  ·  BMC Health Serv Res  ·  02.09.2026  ·  PMID 42693458</w:t>
      </w:r>
    </w:p>
    <w:p>
      <w:r>
        <w:t>Schwedische Registeranalyse von 3.649 älteren Menschen (durchschnittlich 80 Jahre), die erstmals Altenhilfe in Anspruch nahmen, mit Erhebung von Komorbiditäten, funktionalen Einschränkungen und Vorbehandlung im Gesundheitswesen.</w:t>
      </w:r>
    </w:p>
    <w:p>
      <w:r>
        <w:rPr>
          <w:b/>
        </w:rPr>
        <w:t xml:space="preserve">Ergebnis: </w:t>
      </w:r>
      <w:r>
        <w:t>92 % hatten Multimorbidität, 25 % umfangreiche funktionale Einschränkungen, 95 % erhielten Pflege zu Hause, bei 50 % folgte die Altenhilfe unmittelbar nach stationärer Behandlung. Primärversorgung war bei 80 % der dominante ambulante Kontakt vor Heimaufnahme.</w:t>
      </w:r>
    </w:p>
    <w:p>
      <w:r>
        <w:rPr>
          <w:b/>
          <w:sz w:val="19"/>
        </w:rPr>
        <w:t xml:space="preserve">Übertragbarkeit: </w:t>
      </w:r>
      <w:r>
        <w:rPr>
          <w:sz w:val="19"/>
        </w:rPr>
        <w:t>Schweden, vergleichbare Sozialversicherung und Pflegefinanzierung</w:t>
      </w:r>
    </w:p>
    <w:p>
      <w:r>
        <w:rPr>
          <w:color w:val="5A7D3A"/>
          <w:sz w:val="18"/>
        </w:rPr>
        <w:t>https://pubmed.ncbi.nlm.nih.gov/42693458/</w:t>
      </w:r>
    </w:p>
    <w:p>
      <w:pPr>
        <w:pStyle w:val="Heading2"/>
      </w:pPr>
      <w:r>
        <w:t>Triglyzerid-Glukose-Frailty-Index zeigt stärkere Mortalitätsvorhersage als Insulinresistanzmarker</w:t>
      </w:r>
    </w:p>
    <w:p>
      <w:r>
        <w:rPr>
          <w:i/>
          <w:color w:val="666666"/>
          <w:sz w:val="18"/>
        </w:rPr>
        <w:t>Liu K et al.  ·  Cardiovasc Diabetol  ·  03.09.2026  ·  PMID 42693435</w:t>
      </w:r>
    </w:p>
    <w:p>
      <w:r>
        <w:t>Sekundäranalyse von 11.228 US-amerikanischen Erwachsenen (20–79 Jahre) aus NHANES 2001–2018: Vergleich des TyG-Frailty-Indexes (TyG-Index × Frailty-Index) mit konventionellen Insulinresistanzmarkern für kardiovaskuläre und Stoffwechselsyndrome sowie Mortalität über medianen Nachbeobachtungszeitraum von 90 Monaten.</w:t>
      </w:r>
    </w:p>
    <w:p>
      <w:r>
        <w:rPr>
          <w:b/>
        </w:rPr>
        <w:t xml:space="preserve">Ergebnis: </w:t>
      </w:r>
      <w:r>
        <w:t>TyG-FI-Quartil 4 vs. 1: fortgeschrittenes kardiovaskuläres-Nierenstoffwechsel-Syndrom OR=4,57 (95%-KI 3,50–5,99), kardiometabolische Multimorbidität OR=5,09 (95%-KI 2,83–9,16), Gesamtmortalität HR=3,90 (95%-KI 2,96–5,13), kardiovaskulär HR=5,82 (95%-KI 3,38–10,03). TyG-FI diskriminierte stärker als Vergleichsindizes, tiefere eGFR erklärte 16–27 % der Mortalitätsassoziation.</w:t>
      </w:r>
    </w:p>
    <w:p>
      <w:r>
        <w:rPr>
          <w:b/>
          <w:sz w:val="19"/>
        </w:rPr>
        <w:t xml:space="preserve">Übertragbarkeit: </w:t>
      </w:r>
      <w:r>
        <w:rPr>
          <w:sz w:val="19"/>
        </w:rPr>
        <w:t>USA-NHANES-Daten, begrenzte Übertragbarkeit auf deutsches System, aber Validierungsfrage ist altersunabhängig</w:t>
      </w:r>
    </w:p>
    <w:p>
      <w:r>
        <w:rPr>
          <w:color w:val="5A7D3A"/>
          <w:sz w:val="18"/>
        </w:rPr>
        <w:t>https://pubmed.ncbi.nlm.nih.gov/42693435/</w:t>
      </w:r>
    </w:p>
    <w:p>
      <w:pPr>
        <w:pStyle w:val="Heading2"/>
      </w:pPr>
      <w:r>
        <w:t>Muskelarchitektur und Kraft: Altern beeinträchtigt Faszickelkinetik trotz lebenslangem Training</w:t>
      </w:r>
    </w:p>
    <w:p>
      <w:r>
        <w:rPr>
          <w:i/>
          <w:color w:val="666666"/>
          <w:sz w:val="18"/>
        </w:rPr>
        <w:t>Michely S et al.  ·  J Appl Physiol (1985)  ·  01.09.2026  ·  PMID 42518311</w:t>
      </w:r>
    </w:p>
    <w:p>
      <w:r>
        <w:t>Querschnittsstudie mit 172 Leistungssportlern im Alter 35–90 Jahren (68 % männlich): Ultraschallmessung der Wadenmuskulatur bei willkürlicher Maximalkontraktion; Analyse von Faszickellänge, Pennationswinkel, -rotation und -verlängerung.</w:t>
      </w:r>
    </w:p>
    <w:p>
      <w:r>
        <w:rPr>
          <w:b/>
        </w:rPr>
        <w:t xml:space="preserve">Ergebnis: </w:t>
      </w:r>
      <w:r>
        <w:t>Oberflächliche Faszickelrotation (Pennationswinkelveränderung) sank um 6,6±51,3 % pro Jahrzehnt (p=0,003), tiefe Rotation blieb stabil (p=0,27). Ruhefaszickellänge sank um 1,8±13,7 % pro Jahrzehnt (p=0,002). Achillessehnen-kraft fiel um 4,3±16,3 % pro Jahrzehnt (p&lt;0,001), unabhängig vom Geschlecht. Eliteathleten (&gt;85 % age grade) erhielten größere oberflächliche Rotation.</w:t>
      </w:r>
    </w:p>
    <w:p>
      <w:r>
        <w:rPr>
          <w:b/>
          <w:sz w:val="19"/>
        </w:rPr>
        <w:t xml:space="preserve">Übertragbarkeit: </w:t>
      </w:r>
      <w:r>
        <w:rPr>
          <w:sz w:val="19"/>
        </w:rPr>
        <w:t>Deutschland, Deutsche Luft- und Raumfahrtforschung, vergleichbare Trainingsmethoden</w:t>
      </w:r>
    </w:p>
    <w:p>
      <w:r>
        <w:rPr>
          <w:color w:val="5A7D3A"/>
          <w:sz w:val="18"/>
        </w:rPr>
        <w:t>https://pubmed.ncbi.nlm.nih.gov/42518311/</w:t>
      </w:r>
    </w:p>
    <w:p>
      <w:pPr>
        <w:pStyle w:val="Heading2"/>
      </w:pPr>
      <w:r>
        <w:t>Soziale Frailty und Bildungsungleichheit: Sechs Ländervergleich mit 83.869 älteren Erwachsenen</w:t>
      </w:r>
    </w:p>
    <w:p>
      <w:r>
        <w:rPr>
          <w:i/>
          <w:color w:val="666666"/>
          <w:sz w:val="18"/>
        </w:rPr>
        <w:t>Xiang X et al.  ·  J Am Med Dir Assoc  ·  14.07.2026  ·  PMID 42447552</w:t>
      </w:r>
    </w:p>
    <w:p>
      <w:r>
        <w:t>Querschnittsanalyse aus sechs Längsschnittstudien in USA, England, Europa, Südkorea, Mexico und China mit 83.869 Personen ≥50 Jahren: Alter- und geschlechtsstandardisierte Prävalenz von sozialer Prefrailty und Frailty sowie Assoziation mit Bildungsabschlüssen.</w:t>
      </w:r>
    </w:p>
    <w:p>
      <w:r>
        <w:rPr>
          <w:b/>
        </w:rPr>
        <w:t xml:space="preserve">Ergebnis: </w:t>
      </w:r>
      <w:r>
        <w:t>Soziale Prefrailty 54,0–74,1 %, soziale Frailty 5,9–14,4 % je nach Land. Klare Bildungsstratifikation: mittlere vs. niedrige Bildung OR=0,72 (95%-KI 0,60–0,86) für Prefrailty und OR=0,54 (95%-KI 0,44–0,67) für Frailty; hohe Bildung OR=0,53 (95%-KI 0,36–0,78) bzw. OR=0,29 (95%-KI 0,17–0,51).</w:t>
      </w:r>
    </w:p>
    <w:p>
      <w:r>
        <w:rPr>
          <w:b/>
          <w:sz w:val="19"/>
        </w:rPr>
        <w:t xml:space="preserve">Übertragbarkeit: </w:t>
      </w:r>
      <w:r>
        <w:rPr>
          <w:sz w:val="19"/>
        </w:rPr>
        <w:t>Mehrländer-Poolanalyse, europäische Länder dabei, aber heterogene Systeme</w:t>
      </w:r>
    </w:p>
    <w:p>
      <w:r>
        <w:rPr>
          <w:color w:val="5A7D3A"/>
          <w:sz w:val="18"/>
        </w:rPr>
        <w:t>https://pubmed.ncbi.nlm.nih.gov/42447552/</w:t>
      </w:r>
    </w:p>
    <w:p>
      <w:pPr>
        <w:pStyle w:val="Heading1"/>
      </w:pPr>
      <w:r>
        <w:t>Aufgenommen am 04.09.2026</w:t>
      </w:r>
    </w:p>
    <w:p>
      <w:pPr>
        <w:pStyle w:val="Heading2"/>
      </w:pPr>
      <w:r>
        <w:t>Feinstaubexposition (PM2,5) erhöht Frailty-Risiko im Alter signifikant</w:t>
      </w:r>
    </w:p>
    <w:p>
      <w:r>
        <w:rPr>
          <w:i/>
          <w:color w:val="666666"/>
          <w:sz w:val="18"/>
        </w:rPr>
        <w:t>Chen K et al.  ·  Sichuan Da Xue Xue Bao Yi Xue Ban  ·  20.07.2026  ·  PMID 42688627</w:t>
      </w:r>
    </w:p>
    <w:p>
      <w:r>
        <w:t>Prospektive Kohortenstudie: 9603 Teilnehmende aus China Health and Retirement Longitudinal Study 2011–2020, Langzeit-PM2,5-Exposition und chemische Komponenten, Outcome Frailty nach Frailty-Index.</w:t>
      </w:r>
    </w:p>
    <w:p>
      <w:r>
        <w:rPr>
          <w:b/>
        </w:rPr>
        <w:t xml:space="preserve">Ergebnis: </w:t>
      </w:r>
      <w:r>
        <w:t>Jede Viertelbereichs-Zunahme der durchschnittlichen PM2,5-Konzentration des Vorjahres war mit 10,0% erhöhtem Frailty-Risiko assoziiert (HR 1,100, 95% KI 1,015–1,193). Organische Substanzen: HR 1,142 (14,2%); schwarzer Kohlenstoff: HR 1,131 (13,1%); Ammonium: HR 1,098 (9,8%). Luftschadstoffe, besonders Ruß und organische Aerosole, sind Risikofaktoren für Gebrechlichkeit bei älteren Menschen.</w:t>
      </w:r>
    </w:p>
    <w:p>
      <w:r>
        <w:rPr>
          <w:b/>
          <w:sz w:val="19"/>
        </w:rPr>
        <w:t xml:space="preserve">Übertragbarkeit: </w:t>
      </w:r>
      <w:r>
        <w:rPr>
          <w:sz w:val="19"/>
        </w:rPr>
        <w:t>China, aber Feinstaubbelastung und Expositionsmessung auch in Deutschland relevant</w:t>
      </w:r>
    </w:p>
    <w:p>
      <w:r>
        <w:rPr>
          <w:color w:val="5A7D3A"/>
          <w:sz w:val="18"/>
        </w:rPr>
        <w:t>https://pubmed.ncbi.nlm.nih.gov/42688627/</w:t>
      </w:r>
    </w:p>
    <w:p>
      <w:pPr>
        <w:pStyle w:val="Heading2"/>
      </w:pPr>
      <w:r>
        <w:t>Multikomponenten-Training und HMB-Supplementierung verbessern Gebrechlichkeit</w:t>
      </w:r>
    </w:p>
    <w:p>
      <w:r>
        <w:rPr>
          <w:i/>
          <w:color w:val="666666"/>
          <w:sz w:val="18"/>
        </w:rPr>
        <w:t>Jiang Y et al.  ·  Sichuan Da Xue Xue Bao Yi Xue Ban  ·  20.07.2026  ·  PMID 42688609</w:t>
      </w:r>
    </w:p>
    <w:p>
      <w:r>
        <w:t>Randomisierte Studie: 136 ältere Patienten mit Frailty erhielten 12 Wochen lang Übungstraining plus 3 g/d HMB oder Placebo; gemessen wurden physische Funktion (SPPB), Gangfähigkeit, Griffstärke, Muskelquerschnitt und Serumalbumin.</w:t>
      </w:r>
    </w:p>
    <w:p>
      <w:r>
        <w:rPr>
          <w:b/>
        </w:rPr>
        <w:t xml:space="preserve">Ergebnis: </w:t>
      </w:r>
      <w:r>
        <w:t>SPPB-Gesamtscore besserte sich in der HMB-Gruppe über 12 Wochen signifikant mehr als in der Kontrolle (Interaktionseffekt p&lt;0,001). HMB-Gruppe zeigte nach 4 Wochen bessere Bilanz (p&lt;0,05) und nach 12 Wochen auch bessere Gangscores und ASMI (p&lt;0,05). Serumalbumin war in der Interventionsgruppe erhöht (p&lt;0,05). HMB 3 g/d plus multikomponentales Training verbessert körperliche Funktion und Muskulatur bei älteren Patienten mit Gebrechlichkeit.</w:t>
      </w:r>
    </w:p>
    <w:p>
      <w:r>
        <w:rPr>
          <w:b/>
          <w:sz w:val="19"/>
        </w:rPr>
        <w:t xml:space="preserve">Übertragbarkeit: </w:t>
      </w:r>
      <w:r>
        <w:rPr>
          <w:sz w:val="19"/>
        </w:rPr>
        <w:t>China, Rehabilitation nach westlichem Standard, Frailty-Diagnostik vergleichbar</w:t>
      </w:r>
    </w:p>
    <w:p>
      <w:r>
        <w:rPr>
          <w:color w:val="5A7D3A"/>
          <w:sz w:val="18"/>
        </w:rPr>
        <w:t>https://pubmed.ncbi.nlm.nih.gov/42688609/</w:t>
      </w:r>
    </w:p>
    <w:p>
      <w:pPr>
        <w:pStyle w:val="Heading2"/>
      </w:pPr>
      <w:r>
        <w:t>Benzodiazepine-Induced Resistance: Drug Use Blunts Frailty-Intervention Effect</w:t>
      </w:r>
    </w:p>
    <w:p>
      <w:r>
        <w:rPr>
          <w:i/>
          <w:color w:val="666666"/>
          <w:sz w:val="18"/>
        </w:rPr>
        <w:t>Levati E et al.  ·  Age Ageing  ·  03.08.2026  ·  PMID 42685256</w:t>
      </w:r>
    </w:p>
    <w:p>
      <w:r>
        <w:t>Sekundäranalyse eines Trials zu multikomponentigen Lebensstiländerungen bei Frailty: 1506 ältere Patienten, 14% mit Benzodiazepin-Nutzung, Verfolgung der Mobilitätsbehindertung über Median 3,3 Jahre.</w:t>
      </w:r>
    </w:p>
    <w:p>
      <w:r>
        <w:rPr>
          <w:b/>
        </w:rPr>
        <w:t xml:space="preserve">Ergebnis: </w:t>
      </w:r>
      <w:r>
        <w:t>Bei Frailty-Patienten mit Benzodiazepin-Nutzung war die Effektivität der kombinierten Intervention (körperliche Übungen plus Ernährungsberatung) erheblich reduziert oder aufgehoben. Im Subgroup mit SPPB-Score 3–7 zeigte sich der präventive Effekt (HR 0,80) nur bei Nicht-Nutzern; Nutzer zeigten keinen Schutz (HR 1,06; p=0,035 für Interaktion). Benzodiazepine signifikant mindern die Wirksamkeit von Lebensstiländerungen bei älteren fragilen Menschen.</w:t>
      </w:r>
    </w:p>
    <w:p>
      <w:r>
        <w:rPr>
          <w:b/>
          <w:sz w:val="19"/>
        </w:rPr>
        <w:t xml:space="preserve">Übertragbarkeit: </w:t>
      </w:r>
      <w:r>
        <w:rPr>
          <w:sz w:val="19"/>
        </w:rPr>
        <w:t>Italien und Deutschland, vergleichbare klinische Versorgung und Frailty-Konzepte</w:t>
      </w:r>
    </w:p>
    <w:p>
      <w:r>
        <w:rPr>
          <w:color w:val="5A7D3A"/>
          <w:sz w:val="18"/>
        </w:rPr>
        <w:t>https://pubmed.ncbi.nlm.nih.gov/42685256/</w:t>
      </w:r>
    </w:p>
    <w:p>
      <w:pPr>
        <w:pStyle w:val="Heading2"/>
      </w:pPr>
      <w:r>
        <w:t>Gebrechlichkeit und Alter erhöhen postoperative Komplikationen nach Meningiom-Resektion</w:t>
      </w:r>
    </w:p>
    <w:p>
      <w:r>
        <w:rPr>
          <w:i/>
          <w:color w:val="666666"/>
          <w:sz w:val="18"/>
        </w:rPr>
        <w:t>Eibl T et al.  ·  J Clin Neurosci  ·  06.07.2026  ·  PMID 42407322</w:t>
      </w:r>
    </w:p>
    <w:p>
      <w:r>
        <w:t>Retrospektive Studie: 120 Patienten mit nicht-schädelbasis-Meningiomen (Alter Median 61 Jahre), Frailty (mFI-5, mFI-11), Charlson-Komorbidität, Outcome Heimententlassung, Aufenthaltssdauer, ICU-Tage, Komplikationen.</w:t>
      </w:r>
    </w:p>
    <w:p>
      <w:r>
        <w:rPr>
          <w:b/>
        </w:rPr>
        <w:t xml:space="preserve">Ergebnis: </w:t>
      </w:r>
      <w:r>
        <w:t>82,5% wurden nach Hause entlassen. Risikofaktoren für Nicht-Heimententlassung: höheres Alter (p&lt;0,001), größere Tumorvolumina (p=0,012), höhere Ödemvolumina (p=0,002), höhere Charlson-Score (p&lt;0,001), höhere mFI-5 und mFI-11 (beide p&lt;0,001). Postoperative Aufenthaltssdauer korrelierte mit mFI (rs=0,34 für beide, p&lt;0,001). Gebrechlichkeit und chronologisches Alter beeinflussen operatives Ergebnis erheblich und verlängern postoperativen Aufenthalt.</w:t>
      </w:r>
    </w:p>
    <w:p>
      <w:r>
        <w:rPr>
          <w:b/>
          <w:sz w:val="19"/>
        </w:rPr>
        <w:t xml:space="preserve">Übertragbarkeit: </w:t>
      </w:r>
      <w:r>
        <w:rPr>
          <w:sz w:val="19"/>
        </w:rPr>
        <w:t>Deutschland, vergleichbare Neurochirurgische Versorgung und Frailty-Konzepte</w:t>
      </w:r>
    </w:p>
    <w:p>
      <w:r>
        <w:rPr>
          <w:color w:val="5A7D3A"/>
          <w:sz w:val="18"/>
        </w:rPr>
        <w:t>https://pubmed.ncbi.nlm.nih.gov/42407322/</w:t>
      </w:r>
    </w:p>
    <w:p>
      <w:pPr>
        <w:pStyle w:val="Heading2"/>
      </w:pPr>
      <w:r>
        <w:t>TyG-Index mit BMI/WHtR vorhersagt Herz-Kreislauf-Erkrankung bei älteren Menschen</w:t>
      </w:r>
    </w:p>
    <w:p>
      <w:r>
        <w:rPr>
          <w:i/>
          <w:color w:val="666666"/>
          <w:sz w:val="18"/>
        </w:rPr>
        <w:t>Liu Z et al.  ·  Cardiovasc Diabetol  ·  05.07.2026  ·  PMID 42402573</w:t>
      </w:r>
    </w:p>
    <w:p>
      <w:r>
        <w:t>Prospektive Kohortenstudie: 1808 CVD-freie Personen ≥50 Jahre aus English Longitudinal Study of Ageing, Gruppierungstrajectorie von TyG mit BMI bzw. WHtR über ~8 Jahre, Outcome Herzinfarkt, Schlaganfall, Herzkrankheit.</w:t>
      </w:r>
    </w:p>
    <w:p>
      <w:r>
        <w:rPr>
          <w:b/>
        </w:rPr>
        <w:t xml:space="preserve">Ergebnis: </w:t>
      </w:r>
      <w:r>
        <w:t>Vier Trajektorie-Gruppen identifiziert. Im BMI+TyG-Modell (vs. Normalgewicht-niedriger TyG): Übergewicht-moderater TyG (HR 2,31, 95% KI 1,40–3,83), adipös-hoher TyG (HR 2,72, 1,63–4,52), stark adipös-hoher TyG (HR 5,06, 3,01–8,51). WHtR+TyG ähnliche Dosisantwort. Für Schlaganfall signifikant nur in höchstem Risiko. Robuste Dosis-Antwort-Gradienten unterstützen Monitoring dieser Indizes bei älteren Personen.</w:t>
      </w:r>
    </w:p>
    <w:p>
      <w:r>
        <w:rPr>
          <w:b/>
          <w:sz w:val="19"/>
        </w:rPr>
        <w:t xml:space="preserve">Übertragbarkeit: </w:t>
      </w:r>
      <w:r>
        <w:rPr>
          <w:sz w:val="19"/>
        </w:rPr>
        <w:t>Großbritannien, vergleichbare Epidemiologie und Metabolismus-Diagnostik</w:t>
      </w:r>
    </w:p>
    <w:p>
      <w:r>
        <w:rPr>
          <w:color w:val="5A7D3A"/>
          <w:sz w:val="18"/>
        </w:rPr>
        <w:t>https://pubmed.ncbi.nlm.nih.gov/42402573/</w:t>
      </w:r>
    </w:p>
    <w:p>
      <w:pPr>
        <w:pStyle w:val="Heading2"/>
      </w:pPr>
      <w:r>
        <w:t>Immunseneszenz-Biomarker für klinische Aging-Interventionsstudien</w:t>
      </w:r>
    </w:p>
    <w:p>
      <w:r>
        <w:rPr>
          <w:i/>
          <w:color w:val="666666"/>
          <w:sz w:val="18"/>
        </w:rPr>
        <w:t>Cipriano A et al.  ·  Nat Med  ·  03.07.2026  ·  PMID 42399672</w:t>
      </w:r>
    </w:p>
    <w:p>
      <w:r>
        <w:t>Konsensusrahmen von 26 Gerontologen und Immunologen zur Evaluierung von Immune-Aging-Biomarkern für klinische Trials; fünf Selektionskriterien, Bewertung von Kandidaten-Biomarkern und Empfehlungen für Lücken.</w:t>
      </w:r>
    </w:p>
    <w:p>
      <w:r>
        <w:rPr>
          <w:b/>
        </w:rPr>
        <w:t xml:space="preserve">Ergebnis: </w:t>
      </w:r>
      <w:r>
        <w:t>Metriken mit multidimensionalem Immunfunktionsspektrum, Inflammaging-Scores und funktionelle Assays schnitten gegen Selektionskriterien am besten ab. Vielversprechende aufkommende Maße identifiziert, aber kritische Lücken für zuverlässige, prädiktive Biomarker erkannt. Rahmen bietet kohärenten Weg zu klinisch aussagekräftigen Immunalterungs-Biomarkern für Geroscience-Interventionen.</w:t>
      </w:r>
    </w:p>
    <w:p>
      <w:r>
        <w:rPr>
          <w:b/>
          <w:sz w:val="19"/>
        </w:rPr>
        <w:t xml:space="preserve">Übertragbarkeit: </w:t>
      </w:r>
      <w:r>
        <w:rPr>
          <w:sz w:val="19"/>
        </w:rPr>
        <w:t>International konsensiert; Framework unabhängig von Ländersystem, aber Implementierung in Deutschland möglich</w:t>
      </w:r>
    </w:p>
    <w:p>
      <w:r>
        <w:rPr>
          <w:color w:val="5A7D3A"/>
          <w:sz w:val="18"/>
        </w:rPr>
        <w:t>https://pubmed.ncbi.nlm.nih.gov/42399672/</w:t>
      </w:r>
    </w:p>
    <w:p>
      <w:pPr>
        <w:pStyle w:val="Heading2"/>
      </w:pPr>
      <w:r>
        <w:t>Sexuelle Aktivitätsveränderung beeinträchtigt Lebensqualität im Alter nachweislich</w:t>
      </w:r>
    </w:p>
    <w:p>
      <w:r>
        <w:rPr>
          <w:i/>
          <w:color w:val="666666"/>
          <w:sz w:val="18"/>
        </w:rPr>
        <w:t>Kujawska A et al.  ·  Maturitas  ·  29.06.2026  ·  PMID 42391932</w:t>
      </w:r>
    </w:p>
    <w:p>
      <w:r>
        <w:t>Zweijahrliche Längsschnittstudie: 199 ältere Polen (80% Frauen, Alter 69,7±6 Jahre), Assessment von Sexualität und Lebensqualität nach WHO-QoL, Kovariaten Alter, Basalwerte, Traurigkeit, Gesundheit.</w:t>
      </w:r>
    </w:p>
    <w:p>
      <w:r>
        <w:rPr>
          <w:b/>
        </w:rPr>
        <w:t xml:space="preserve">Ergebnis: </w:t>
      </w:r>
      <w:r>
        <w:t>Keine signifikanten Veränderungen in Gesamt-QoL-Werten über zwei Jahre (p=0,3). Aber: Aufhören von Sexualität war assoziiert mit signifikant niedrigeren Folgepunkten in Sozialbeziehungen (p=0,006) und Umwelt-Domäne (p=0,007). Effekt hielt nach Ausschluß von Gesundheits- und Depressions-Veränderungen. Beendigung der Sexualität im Alter reduziert Sozialbeziehungen und Umwelt-Wohlbefinden nachweislich.</w:t>
      </w:r>
    </w:p>
    <w:p>
      <w:r>
        <w:rPr>
          <w:b/>
          <w:sz w:val="19"/>
        </w:rPr>
        <w:t xml:space="preserve">Übertragbarkeit: </w:t>
      </w:r>
      <w:r>
        <w:rPr>
          <w:sz w:val="19"/>
        </w:rPr>
        <w:t>Polen, ähnliche Altersstruktur, aber Übertragung auf Deutschland kulturabhängig</w:t>
      </w:r>
    </w:p>
    <w:p>
      <w:r>
        <w:rPr>
          <w:color w:val="5A7D3A"/>
          <w:sz w:val="18"/>
        </w:rPr>
        <w:t>https://pubmed.ncbi.nlm.nih.gov/42391932/</w:t>
      </w:r>
    </w:p>
    <w:p>
      <w:pPr>
        <w:pStyle w:val="Heading1"/>
      </w:pPr>
      <w:r>
        <w:t>Aufgenommen am 03.09.2026</w:t>
      </w:r>
    </w:p>
    <w:p>
      <w:pPr>
        <w:pStyle w:val="Heading2"/>
      </w:pPr>
      <w:r>
        <w:t>Hausarzt-Vertragsdienst in China verbessert Gesundheit älterer Erwachsener</w:t>
      </w:r>
    </w:p>
    <w:p>
      <w:r>
        <w:rPr>
          <w:i/>
          <w:color w:val="666666"/>
          <w:sz w:val="18"/>
        </w:rPr>
        <w:t>Jia C et al.  ·  Front Public Health  ·  18.08.2026  ·  PMID 42682531</w:t>
      </w:r>
    </w:p>
    <w:p>
      <w:r>
        <w:t>Nationale chinesische Querschnittsstudie (n = 11.455, ≥ 65 Jahre) aus der China Longitudinal Aging Social Survey 2023 zur Assoziation zwischen Teilnahme am Family Doctor Contract Service (FDCS) und Selbstbewertung, körperlichem Unbehagen und Lebenszufriedenheit, stratifiziert nach Land/Stadt und Bildung.</w:t>
      </w:r>
    </w:p>
    <w:p>
      <w:r>
        <w:rPr>
          <w:b/>
        </w:rPr>
        <w:t xml:space="preserve">Ergebnis: </w:t>
      </w:r>
      <w:r>
        <w:t>FDCS-Teilnahme assoziiert mit besseren Ergebnissen in allen drei Dimensionen. Ländliche und weniger gebildete Ältere zeigten stärkere Assoziationen mit geringerem körperlichem Unbehagen und höherer Lebenszufriedenheit; urbane und höher gebildete mit besserer Selbstbewertung. Heterogene Effekte nach Wohnort und Bildung.</w:t>
      </w:r>
    </w:p>
    <w:p>
      <w:r>
        <w:rPr>
          <w:b/>
          <w:sz w:val="19"/>
        </w:rPr>
        <w:t xml:space="preserve">Übertragbarkeit: </w:t>
      </w:r>
      <w:r>
        <w:rPr>
          <w:sz w:val="19"/>
        </w:rPr>
        <w:t>China, anderes System; Konzept der primärärztlichen Gatekeeping-Funktion teils übertragbar, Effektgrößen jedoch kontextabhängig.</w:t>
      </w:r>
    </w:p>
    <w:p>
      <w:r>
        <w:rPr>
          <w:color w:val="5A7D3A"/>
          <w:sz w:val="18"/>
        </w:rPr>
        <w:t>https://pubmed.ncbi.nlm.nih.gov/42682531/</w:t>
      </w:r>
    </w:p>
    <w:p>
      <w:pPr>
        <w:pStyle w:val="Heading2"/>
      </w:pPr>
      <w:r>
        <w:t>Serum-Periostin als Biomarker für Frailty bei Typ-2-Diabetes</w:t>
      </w:r>
    </w:p>
    <w:p>
      <w:r>
        <w:rPr>
          <w:i/>
          <w:color w:val="666666"/>
          <w:sz w:val="18"/>
        </w:rPr>
        <w:t>González-Salvatierra S et al.  ·  Int J Mol Sci  ·  21.08.2026  ·  PMID 42653500</w:t>
      </w:r>
    </w:p>
    <w:p>
      <w:r>
        <w:t>Spanische Querschnittsstudie (n = 137, Alter 65 ± 8 Jahre) zur Assoziation zwischen serum-Periostin und Frailty-Status (FRAIL-Skala: robust, pre-frail, frail) bei Typ-2-Diabetes.</w:t>
      </w:r>
    </w:p>
    <w:p>
      <w:r>
        <w:rPr>
          <w:b/>
        </w:rPr>
        <w:t xml:space="preserve">Ergebnis: </w:t>
      </w:r>
      <w:r>
        <w:t>Frailty korrelierte positiv mit Alter (p &lt; 0,001), BMI (p = 0,006), Taille (p = 0,01) und Diabetes-Dauer (p = 0,040), negativ mit TBS, HDL und eGFR. Periostin zeigte stärkste Korrelation mit Frailty (p &lt; 0,001). Frail: höhere Periostin als pre-frail (p = 0,006) und robust (p = 0,008). AUC für Frailty-Diskrimination 0,710 (p &lt; 0,001); kombiniert mit klinischen Variablen AUC 0,900 vs. 0,858. Schwellenwert &gt; 1307 pmol/L: 77,8% Sensitivität, 66,7% Spezifität.</w:t>
      </w:r>
    </w:p>
    <w:p>
      <w:r>
        <w:rPr>
          <w:b/>
          <w:sz w:val="19"/>
        </w:rPr>
        <w:t xml:space="preserve">Übertragbarkeit: </w:t>
      </w:r>
      <w:r>
        <w:rPr>
          <w:sz w:val="19"/>
        </w:rPr>
        <w:t>Spanien, europäisches System, vergleichbar; Biomarker-Entwicklung in progress.</w:t>
      </w:r>
    </w:p>
    <w:p>
      <w:r>
        <w:rPr>
          <w:color w:val="5A7D3A"/>
          <w:sz w:val="18"/>
        </w:rPr>
        <w:t>https://pubmed.ncbi.nlm.nih.gov/42653500/</w:t>
      </w:r>
    </w:p>
    <w:p>
      <w:pPr>
        <w:pStyle w:val="Heading2"/>
      </w:pPr>
      <w:r>
        <w:t>Geschlechtsspezifische Determinanten von Frailty bei alternden Menschen mit HIV</w:t>
      </w:r>
    </w:p>
    <w:p>
      <w:r>
        <w:rPr>
          <w:i/>
          <w:color w:val="666666"/>
          <w:sz w:val="18"/>
        </w:rPr>
        <w:t>Echeverría P et al.  ·  Viruses  ·  04.07.2026  ·  PMID 42515594</w:t>
      </w:r>
    </w:p>
    <w:p>
      <w:r>
        <w:t>Querschnittsstudie zu Frailty (Fried-Kriterien) bei 588 älteren Menschen mit HIV in Spanien, untersucht nach Geschlecht stratifiziert mittels geriatrischem Assessment.</w:t>
      </w:r>
    </w:p>
    <w:p>
      <w:r>
        <w:rPr>
          <w:b/>
        </w:rPr>
        <w:t xml:space="preserve">Ergebnis: </w:t>
      </w:r>
      <w:r>
        <w:t>Frauen mit HIV zeigten höhere Frailty-Prävalenz (17% vs. 9%) trotz jüngeren Alters und besserer Immunstatus. Bei Frauen waren muskuloskelettale Erkrankung (OR 3,85), kognitive Beeinträchtigung (OR 3,21), depressive Symptome (OR 2,67) und Mangelernährung (OR 2,14) unabhängig mit Frailty assoziiert; bei Männern alterstypischere Muster. Forderung nach geschlechtsspezifischer, ganzheitlicher geriatrischer Versorgung.</w:t>
      </w:r>
    </w:p>
    <w:p>
      <w:r>
        <w:rPr>
          <w:b/>
          <w:sz w:val="19"/>
        </w:rPr>
        <w:t xml:space="preserve">Übertragbarkeit: </w:t>
      </w:r>
      <w:r>
        <w:rPr>
          <w:sz w:val="19"/>
        </w:rPr>
        <w:t>Spanien, europäisches System, direkt vergleichbare Versorgungsstrukturen.</w:t>
      </w:r>
    </w:p>
    <w:p>
      <w:r>
        <w:rPr>
          <w:color w:val="5A7D3A"/>
          <w:sz w:val="18"/>
        </w:rPr>
        <w:t>https://pubmed.ncbi.nlm.nih.gov/42515594/</w:t>
      </w:r>
    </w:p>
    <w:p>
      <w:pPr>
        <w:pStyle w:val="Heading2"/>
      </w:pPr>
      <w:r>
        <w:t>Express-Screening für Frailty verbessert Versorgung älteren Patienten mit Notfallbedarf</w:t>
      </w:r>
    </w:p>
    <w:p>
      <w:r>
        <w:rPr>
          <w:i/>
          <w:color w:val="666666"/>
          <w:sz w:val="18"/>
        </w:rPr>
        <w:t>Ilnitski AN et al.  ·  Adv Gerontol  ·  2026  ·  PMID 42502931</w:t>
      </w:r>
    </w:p>
    <w:p>
      <w:r>
        <w:t>Russische Studie an 333 älteren Patienten (65–90 Jahre) in Notfallambulanz: Vergleich zwischen 234 Patienten mit Frailty-Screening (Gruppe 1) und 99 ohne Screening (Gruppe 2); Nachverfolgung 1 Monat.</w:t>
      </w:r>
    </w:p>
    <w:p>
      <w:r>
        <w:rPr>
          <w:b/>
        </w:rPr>
        <w:t xml:space="preserve">Ergebnis: </w:t>
      </w:r>
      <w:r>
        <w:t>Gruppe 1: 62,8% unter hausärztlicher Beobachtung, 0% Wiedervorstellungen, 0,4% Mortalität. Gruppe 2: 41,4% beobachtet, 6,1% Wiedervorstellungen, 2% Mortalität (p &lt; 0,001). Express-Screening ermöglichte bessere Nachbeobachtung und senkte Sterblichkeit und Inanspruchnahme.</w:t>
      </w:r>
    </w:p>
    <w:p>
      <w:r>
        <w:rPr>
          <w:b/>
          <w:sz w:val="19"/>
        </w:rPr>
        <w:t xml:space="preserve">Übertragbarkeit: </w:t>
      </w:r>
      <w:r>
        <w:rPr>
          <w:sz w:val="19"/>
        </w:rPr>
        <w:t>Russland, weniger direkt übertragbar; Konzept des Frailty-Screening in Notfallambulanzen adaptierbar.</w:t>
      </w:r>
    </w:p>
    <w:p>
      <w:r>
        <w:rPr>
          <w:color w:val="5A7D3A"/>
          <w:sz w:val="18"/>
        </w:rPr>
        <w:t>https://pubmed.ncbi.nlm.nih.gov/42502931/</w:t>
      </w:r>
    </w:p>
    <w:p>
      <w:pPr>
        <w:pStyle w:val="Heading2"/>
      </w:pPr>
      <w:r>
        <w:t>Geschlechtsspezifische Heterogenität der Handkraftveränderung im Alter: UK Biobank</w:t>
      </w:r>
    </w:p>
    <w:p>
      <w:r>
        <w:rPr>
          <w:i/>
          <w:color w:val="666666"/>
          <w:sz w:val="18"/>
        </w:rPr>
        <w:t>Fortinsky RH et al.  ·  J Gerontol A Biol Sci Med Sci  ·  04.08.2026  ·  PMID 42435411</w:t>
      </w:r>
    </w:p>
    <w:p>
      <w:r>
        <w:t>Longitudinale Kohorte aus UK Biobank (n = 73.134, 52% Frauen, 40–69 Jahre bei Baseline, 4–18 Jahre Nachverfolgung) zur Analyse der Varianz in Handkraft nach Altersgruppen und Geschlecht.</w:t>
      </w:r>
    </w:p>
    <w:p>
      <w:r>
        <w:rPr>
          <w:b/>
        </w:rPr>
        <w:t xml:space="preserve">Ergebnis: </w:t>
      </w:r>
      <w:r>
        <w:t>Frauen zeigten stabile Handkraft-Varianz über alle Altersgruppen querschnittlich und longitudinal; Männer zeigten cross-sectional Varianzabnahme mit Alter, longitudinal aber Varianzanstieg. Kovariaten schwächten Trends ab, eliminierten sie aber nicht. Heterogenität des Alterns operiert bei Männern und Frauen unterschiedlich; longitudinale und querschnittliche Muster divergieren deutlich.</w:t>
      </w:r>
    </w:p>
    <w:p>
      <w:r>
        <w:rPr>
          <w:b/>
          <w:sz w:val="19"/>
        </w:rPr>
        <w:t xml:space="preserve">Übertragbarkeit: </w:t>
      </w:r>
      <w:r>
        <w:rPr>
          <w:sz w:val="19"/>
        </w:rPr>
        <w:t>UK Biobank, vergleichbares englisches System, hohe Übertragbarkeit auf deutsche Bevölkerung.</w:t>
      </w:r>
    </w:p>
    <w:p>
      <w:r>
        <w:rPr>
          <w:color w:val="5A7D3A"/>
          <w:sz w:val="18"/>
        </w:rPr>
        <w:t>https://pubmed.ncbi.nlm.nih.gov/42435411/</w:t>
      </w:r>
    </w:p>
    <w:p>
      <w:pPr>
        <w:pStyle w:val="Heading2"/>
      </w:pPr>
      <w:r>
        <w:t>Gezielte epigenetische Uhr (TaM-Uhr) zeigt Grenzen bei Frailty-Vorhersage</w:t>
      </w:r>
    </w:p>
    <w:p>
      <w:r>
        <w:rPr>
          <w:i/>
          <w:color w:val="666666"/>
          <w:sz w:val="18"/>
        </w:rPr>
        <w:t>Awuah J et al.  ·  Clin Epigenetics  ·  07.07.2026  ·  PMID 42415175</w:t>
      </w:r>
    </w:p>
    <w:p>
      <w:r>
        <w:t>Deutsche Studie (Ulm, Aachen) zur Validierung einer verkürzten epigenetischen Uhr basierend auf drei Sterblichkeits-assoziierten CpG-Stellen gegen Frailty und Mortalität in der ActiFE-Kohorte (n = 446 bzw. 20 Frail/non-Frail).</w:t>
      </w:r>
    </w:p>
    <w:p>
      <w:r>
        <w:rPr>
          <w:b/>
        </w:rPr>
        <w:t xml:space="preserve">Ergebnis: </w:t>
      </w:r>
      <w:r>
        <w:t>In der kleinen Subset (n = 40) war das Delta-Alter mit Frailty assoziiert, jedoch in der größeren Kohorte keine signifikanten Assoziationen mit Frailty oder Mortalität. Ein CpG-Locus (cg20595453) zeigte Assoziation mit beiden Endpunkten, doch insgesamt war die Vorhersagekraft begrenzt. Die Autoren konstatieren, dass epigenetische Uhren in relativ gesunden Populationen nicht sensitiv genug sind.</w:t>
      </w:r>
    </w:p>
    <w:p>
      <w:r>
        <w:rPr>
          <w:b/>
          <w:sz w:val="19"/>
        </w:rPr>
        <w:t xml:space="preserve">Übertragbarkeit: </w:t>
      </w:r>
      <w:r>
        <w:rPr>
          <w:sz w:val="19"/>
        </w:rPr>
        <w:t>Deutschland (Aachen, Ulm), deutsches Studiendesign, hohe Übertragbarkeit; zeigt jedoch auch Grenzen der Methode.</w:t>
      </w:r>
    </w:p>
    <w:p>
      <w:r>
        <w:rPr>
          <w:color w:val="5A7D3A"/>
          <w:sz w:val="18"/>
        </w:rPr>
        <w:t>https://pubmed.ncbi.nlm.nih.gov/42415175/</w:t>
      </w:r>
    </w:p>
    <w:p>
      <w:pPr>
        <w:pStyle w:val="Heading1"/>
      </w:pPr>
      <w:r>
        <w:t>Aufgenommen am 02.09.2026</w:t>
      </w:r>
    </w:p>
    <w:p>
      <w:pPr>
        <w:pStyle w:val="Heading2"/>
      </w:pPr>
      <w:r>
        <w:t>Psychische Gesundheit älteren Menschen: Evidenzbasierte Prävention mit moderater körperlicher Aktivität</w:t>
      </w:r>
    </w:p>
    <w:p>
      <w:r>
        <w:rPr>
          <w:i/>
          <w:color w:val="666666"/>
          <w:sz w:val="18"/>
        </w:rPr>
        <w:t>Acoulon G et al.  ·  Sante Publique  ·  2026  ·  PMID 42674988</w:t>
      </w:r>
    </w:p>
    <w:p>
      <w:r>
        <w:t>Systematische Übersicht von Primärprävention psychischer Erkrankungen bei selbstständig lebenden älteren Menschen ab 60 Jahren.</w:t>
      </w:r>
    </w:p>
    <w:p>
      <w:r>
        <w:rPr>
          <w:b/>
        </w:rPr>
        <w:t xml:space="preserve">Ergebnis: </w:t>
      </w:r>
      <w:r>
        <w:t>Sieben Interventionskategorien identifiziert; moderate körperliche Aktivität (2–3 Sitzungen/Woche, ≥12 Wochen) reduzierte depressive und Angstsymptome am stärksten. Multimodale und in Gemeinderessourcen verankerte Programme zeigten beste Effektivität. Hauptchallenge: Dissemination und Anpassung an vulnerable Bevölkerungsgruppen, nicht die Identifikation wirksamer Interventionen.</w:t>
      </w:r>
    </w:p>
    <w:p>
      <w:r>
        <w:rPr>
          <w:b/>
          <w:sz w:val="19"/>
        </w:rPr>
        <w:t xml:space="preserve">Übertragbarkeit: </w:t>
      </w:r>
      <w:r>
        <w:rPr>
          <w:sz w:val="19"/>
        </w:rPr>
        <w:t>Frankreich, vergleichbare Sozialversicherung; Empfehlungen auf deutsches System übertragbar</w:t>
      </w:r>
    </w:p>
    <w:p>
      <w:r>
        <w:rPr>
          <w:color w:val="5A7D3A"/>
          <w:sz w:val="18"/>
        </w:rPr>
        <w:t>https://pubmed.ncbi.nlm.nih.gov/42674988/</w:t>
      </w:r>
    </w:p>
    <w:p>
      <w:pPr>
        <w:pStyle w:val="Heading2"/>
      </w:pPr>
      <w:r>
        <w:t>Sozial assistive Roboter in der Altenpflege: Phasen-orientierte Implementierung statt Technologie-Fokus</w:t>
      </w:r>
    </w:p>
    <w:p>
      <w:r>
        <w:rPr>
          <w:i/>
          <w:color w:val="666666"/>
          <w:sz w:val="18"/>
        </w:rPr>
        <w:t>Bubeck M et al.  ·  Arch Gerontol Geriatr  ·  28.07.2026  ·  PMID 42603460</w:t>
      </w:r>
    </w:p>
    <w:p>
      <w:r>
        <w:t>Qualitative Studie mit 14 professionellen Pflegekräften in deutschen Einrichtungen zur Erfahrung mit Robotern am Krankenbett.</w:t>
      </w:r>
    </w:p>
    <w:p>
      <w:r>
        <w:rPr>
          <w:b/>
        </w:rPr>
        <w:t xml:space="preserve">Ergebnis: </w:t>
      </w:r>
      <w:r>
        <w:t>Vier analytische Phasen der Implementierung identifiziert: Orientierung, Einführung, Routinenutzung, Neubewertung. Praktische und moralische Anforderungen verschoben sich systematisch. Zentrale Erkenntnisse: Nachhaltige, ethisch verantwortungsvolle Nutzung erfordert Unterstützung des professionellen Urteils und kontextuelle Sensibilität – nicht technisches Rollout ohne Reflexion.</w:t>
      </w:r>
    </w:p>
    <w:p>
      <w:r>
        <w:rPr>
          <w:b/>
          <w:sz w:val="19"/>
        </w:rPr>
        <w:t xml:space="preserve">Übertragbarkeit: </w:t>
      </w:r>
      <w:r>
        <w:rPr>
          <w:sz w:val="19"/>
        </w:rPr>
        <w:t>Deutschland, direkt auf deutsches Versorgungssystem anwendbar</w:t>
      </w:r>
    </w:p>
    <w:p>
      <w:r>
        <w:rPr>
          <w:color w:val="5A7D3A"/>
          <w:sz w:val="18"/>
        </w:rPr>
        <w:t>https://pubmed.ncbi.nlm.nih.gov/42603460/</w:t>
      </w:r>
    </w:p>
    <w:p>
      <w:pPr>
        <w:pStyle w:val="Heading2"/>
      </w:pPr>
      <w:r>
        <w:t>Urinmetabolom als biologische Alter-Uhr: Längsschnitt-Heterogenität und Mortalitätsvorhersage</w:t>
      </w:r>
    </w:p>
    <w:p>
      <w:r>
        <w:rPr>
          <w:i/>
          <w:color w:val="666666"/>
          <w:sz w:val="18"/>
        </w:rPr>
        <w:t>Gauß KF et al.  ·  J Gerontol A Biol Sci Med Sci  ·  04.08.2026  ·  PMID 42440338</w:t>
      </w:r>
    </w:p>
    <w:p>
      <w:r>
        <w:t>Entwicklung und Validierung eines biologischen Alter-Scores aus hochauflösender ¹H-Kernresonanzspektroskopie von Urinmetaboliten in großer populationsbasierter Kohorte mit &gt;10-Jahr Nachverfolgung.</w:t>
      </w:r>
    </w:p>
    <w:p>
      <w:r>
        <w:rPr>
          <w:b/>
        </w:rPr>
        <w:t xml:space="preserve">Ergebnis: </w:t>
      </w:r>
      <w:r>
        <w:t>Metabolisches Altern variiert zwischen Individuen, unterstreicht inter-individuelle Heterogenität. Metabolisches Alter zeigte Assoziation mit altersrelevanten klinischen Phänotypen und war prädiktiv für multiple Erkrankungen und Gesamtmortalität unabhängig vom chronologischen Alter. Urinmetabolom als non-invasives Werkzeug zur Risikostratifizierung validiert.</w:t>
      </w:r>
    </w:p>
    <w:p>
      <w:r>
        <w:rPr>
          <w:b/>
          <w:sz w:val="19"/>
        </w:rPr>
        <w:t xml:space="preserve">Übertragbarkeit: </w:t>
      </w:r>
      <w:r>
        <w:rPr>
          <w:sz w:val="19"/>
        </w:rPr>
        <w:t>Deutschland, Greifswald; deutsche Klinikdaten, vergleichbare Dokumentationspflichten</w:t>
      </w:r>
    </w:p>
    <w:p>
      <w:r>
        <w:rPr>
          <w:color w:val="5A7D3A"/>
          <w:sz w:val="18"/>
        </w:rPr>
        <w:t>https://pubmed.ncbi.nlm.nih.gov/42440338/</w:t>
      </w:r>
    </w:p>
    <w:p>
      <w:pPr>
        <w:pStyle w:val="Heading2"/>
      </w:pPr>
      <w:r>
        <w:t>Frailty-Übergänge und Schlaganfall-Risiko: China und Großbritannien im Vergleich</w:t>
      </w:r>
    </w:p>
    <w:p>
      <w:r>
        <w:rPr>
          <w:i/>
          <w:color w:val="666666"/>
          <w:sz w:val="18"/>
        </w:rPr>
        <w:t>Zhong S et al.  ·  Arch Gerontol Geriatr  ·  04.07.2026  ·  PMID 42418874</w:t>
      </w:r>
    </w:p>
    <w:p>
      <w:r>
        <w:t>Längsschnittstudie (CHARLS/ELSA) mit 14.682 älteren Erwachsenen zu Frailty-Verlauf und Schlaganfall-Inzidenz über 2 Jahre.</w:t>
      </w:r>
    </w:p>
    <w:p>
      <w:r>
        <w:rPr>
          <w:b/>
        </w:rPr>
        <w:t xml:space="preserve">Ergebnis: </w:t>
      </w:r>
      <w:r>
        <w:t>Baseline-Frailty erhöhte Schlaganfall-Risiko in beiden Ländern. Progression von robust zu pre-frail/frail: signifikant erhöhtes Risiko; Verbesserung von frail zu robust/pre-frail: Risikoreduktion. Höherer kumulativer Frailty-Index zeigte Dosis-Wirkungs-Beziehung (alle p&lt;0,0001). Frailty-Monitoring als Prognose-Instrument für Hochrisiko-Patienten bestätigt.</w:t>
      </w:r>
    </w:p>
    <w:p>
      <w:r>
        <w:rPr>
          <w:b/>
          <w:sz w:val="19"/>
        </w:rPr>
        <w:t xml:space="preserve">Übertragbarkeit: </w:t>
      </w:r>
      <w:r>
        <w:rPr>
          <w:sz w:val="19"/>
        </w:rPr>
        <w:t>Großbritannien und China, vorsichtig auf Deutschland; Altersstruktur und Versorgung unterschiedlich, Frailty-Mechanismus universal</w:t>
      </w:r>
    </w:p>
    <w:p>
      <w:r>
        <w:rPr>
          <w:color w:val="5A7D3A"/>
          <w:sz w:val="18"/>
        </w:rPr>
        <w:t>https://pubmed.ncbi.nlm.nih.gov/42418874/</w:t>
      </w:r>
    </w:p>
    <w:p>
      <w:pPr>
        <w:pStyle w:val="Heading2"/>
      </w:pPr>
      <w:r>
        <w:t>Soziale, psychische und spirituelle Versorgung am Lebensende: Ungleichheiten durch fehlende Formaldienste</w:t>
      </w:r>
    </w:p>
    <w:p>
      <w:r>
        <w:rPr>
          <w:i/>
          <w:color w:val="666666"/>
          <w:sz w:val="18"/>
        </w:rPr>
        <w:t>Meier C et al.  ·  Age Ageing  ·  02.07.2026  ·  PMID 42407095</w:t>
      </w:r>
    </w:p>
    <w:p>
      <w:r>
        <w:t>Analyse von 507 Proxy-Interviews verstorbener Personen (≥55 Jahre) aus der ELSA zur Unterstützung non-medizinischer Bedarf in den letzten drei Lebensmonaten.</w:t>
      </w:r>
    </w:p>
    <w:p>
      <w:r>
        <w:rPr>
          <w:b/>
        </w:rPr>
        <w:t xml:space="preserve">Ergebnis: </w:t>
      </w:r>
      <w:r>
        <w:t>Soziale Bedürfnisse bei 81,8%, psychische bei 77,8%, spirituelle bei 74,4% erfüllt. Überwiegend Familie als Unterstützer, kaum formale Dienste. Alleinleben assoziiert mit niedrigerer Erfüllungswahrscheinlichkeit; Demenz korreliert mit schlechterer psychischer und sozialer Unterstützung. Mangel an integrierten Angeboten verstärkt soziale Ungleichheiten am Lebensende.</w:t>
      </w:r>
    </w:p>
    <w:p>
      <w:r>
        <w:rPr>
          <w:b/>
          <w:sz w:val="19"/>
        </w:rPr>
        <w:t xml:space="preserve">Übertragbarkeit: </w:t>
      </w:r>
      <w:r>
        <w:rPr>
          <w:sz w:val="19"/>
        </w:rPr>
        <w:t>Großbritannien, vergleichbar mit deutschem NHS; Befund zur Systemabhängigkeit nicht-medizinischer Versorgung bedeutsam</w:t>
      </w:r>
    </w:p>
    <w:p>
      <w:r>
        <w:rPr>
          <w:color w:val="5A7D3A"/>
          <w:sz w:val="18"/>
        </w:rPr>
        <w:t>https://pubmed.ncbi.nlm.nih.gov/42407095/</w:t>
      </w:r>
    </w:p>
    <w:p>
      <w:pPr>
        <w:pStyle w:val="Heading2"/>
      </w:pPr>
      <w:r>
        <w:t>Schlafstörungen und Muskelkraftverlust im Alter: Geschlechtsspezifische Unterschiede bei älteren Erwachsenen</w:t>
      </w:r>
    </w:p>
    <w:p>
      <w:r>
        <w:rPr>
          <w:i/>
          <w:color w:val="666666"/>
          <w:sz w:val="18"/>
        </w:rPr>
        <w:t>Silveira LC et al.  ·  Age Ageing  ·  02.07.2026  ·  PMID 42407094</w:t>
      </w:r>
    </w:p>
    <w:p>
      <w:r>
        <w:t>Längsschnittstudie (8 Jahre, n=6.429, ELSA) zu Einfluss von Insomnie und Schlafdauer auf Handgriff-Kraft-Abnahme.</w:t>
      </w:r>
    </w:p>
    <w:p>
      <w:r>
        <w:rPr>
          <w:b/>
        </w:rPr>
        <w:t xml:space="preserve">Ergebnis: </w:t>
      </w:r>
      <w:r>
        <w:t>Männer mit erhöhter Insomnie: schnellerer Kraftverlust (–0,02 kg/Jahr; 95%-KI –0,04 bis –0,01). Frauen mit Schlafdauer ≥9 Stunden: stärkerer Rückgang (–0,14 kg/Jahr; 95%-KI –0,26 bis –0,03). Schlafprobleme beeinflussen Muskelabbau geschlechtsspezifisch unterschiedlich – bei Männern Insomnie, bei Frauen lange Schlafdauer.</w:t>
      </w:r>
    </w:p>
    <w:p>
      <w:r>
        <w:rPr>
          <w:b/>
          <w:sz w:val="19"/>
        </w:rPr>
        <w:t xml:space="preserve">Übertragbarkeit: </w:t>
      </w:r>
      <w:r>
        <w:rPr>
          <w:sz w:val="19"/>
        </w:rPr>
        <w:t>Großbritannien, epidemiologisch auf Deutschland übertragbar; Geschlechtsdimension in Prävention relevant</w:t>
      </w:r>
    </w:p>
    <w:p>
      <w:r>
        <w:rPr>
          <w:color w:val="5A7D3A"/>
          <w:sz w:val="18"/>
        </w:rPr>
        <w:t>https://pubmed.ncbi.nlm.nih.gov/42407094/</w:t>
      </w:r>
    </w:p>
    <w:p>
      <w:pPr>
        <w:pStyle w:val="Heading1"/>
      </w:pPr>
      <w:r>
        <w:t>Aufgenommen am 01.09.2026</w:t>
      </w:r>
    </w:p>
    <w:p>
      <w:pPr>
        <w:pStyle w:val="Heading2"/>
      </w:pPr>
      <w:r>
        <w:t>Geriatrisches Assessment vor Gefäßinterventionen senkt perioperative Risiken bei älteren Patienten</w:t>
      </w:r>
    </w:p>
    <w:p>
      <w:r>
        <w:rPr>
          <w:i/>
          <w:color w:val="666666"/>
          <w:sz w:val="18"/>
        </w:rPr>
        <w:t>Kolb G et al.  ·  Vasa  ·  Sept. 2026  ·  PMID 42669422</w:t>
      </w:r>
    </w:p>
    <w:p>
      <w:r>
        <w:t>Positionspapier dreier Fachgesellschaften zur Notwendigkeit geriatrischer Assessments vor gefäßmedizinischen Eingriffen bei älteren Menschen, da Frailty die Outcomes nach Gefäßchirurgie und Interventionen bestimmt.</w:t>
      </w:r>
    </w:p>
    <w:p>
      <w:r>
        <w:rPr>
          <w:b/>
        </w:rPr>
        <w:t xml:space="preserve">Ergebnis: </w:t>
      </w:r>
      <w:r>
        <w:t>Frailty-Status bestimmt Komplikationen und Outcomes nach Gefäßinterventionen; geriatrisches Assessment wird zur Risikostratifizierung empfohlen, konkrete Zahlen zu Outcome-Verbesserungen durch das Positionspapier nicht genannt.</w:t>
      </w:r>
    </w:p>
    <w:p>
      <w:r>
        <w:rPr>
          <w:b/>
          <w:sz w:val="19"/>
        </w:rPr>
        <w:t xml:space="preserve">Übertragbarkeit: </w:t>
      </w:r>
      <w:r>
        <w:rPr>
          <w:sz w:val="19"/>
        </w:rPr>
        <w:t>Deutschland: Stellungnahmen deutscher Fachgesellschaften, direkt relevant für Versorgungspraxis.</w:t>
      </w:r>
    </w:p>
    <w:p>
      <w:r>
        <w:rPr>
          <w:color w:val="5A7D3A"/>
          <w:sz w:val="18"/>
        </w:rPr>
        <w:t>https://pubmed.ncbi.nlm.nih.gov/42669422/</w:t>
      </w:r>
    </w:p>
    <w:p>
      <w:pPr>
        <w:pStyle w:val="Heading2"/>
      </w:pPr>
      <w:r>
        <w:t>Gesunde Ernährung verlangsamt epigenetisches Altern unabhängig von Ernährungsstil</w:t>
      </w:r>
    </w:p>
    <w:p>
      <w:r>
        <w:rPr>
          <w:i/>
          <w:color w:val="666666"/>
          <w:sz w:val="18"/>
        </w:rPr>
        <w:t>Tavares JF et al.  ·  Nat Commun  ·  29.08.2026  ·  PMID 42668319</w:t>
      </w:r>
    </w:p>
    <w:p>
      <w:r>
        <w:t>Zwei bevölkerungsbasierte Kohorten zeigten, dass Adhärenz zu gesunden Ernährungsmustern mit verlangsamtem epigenetischem Altern assoziiert ist, obwohl verschiedene Ernährungsstile unterschiedliche epigenetische Profile aufweisen.</w:t>
      </w:r>
    </w:p>
    <w:p>
      <w:r>
        <w:rPr>
          <w:b/>
        </w:rPr>
        <w:t xml:space="preserve">Ergebnis: </w:t>
      </w:r>
      <w:r>
        <w:t>Zehn verschiedene Ernährungsbewertungsindizes: minimale Überschneidung in der höchsten Adhärenz-Quartile, aber alle mit reduziertem epigenetischen Altern assoziiert; verschiedene Ernährungsstile konvergierten auf gleiche biologische Signalwege.</w:t>
      </w:r>
    </w:p>
    <w:p>
      <w:r>
        <w:rPr>
          <w:b/>
          <w:sz w:val="19"/>
        </w:rPr>
        <w:t xml:space="preserve">Übertragbarkeit: </w:t>
      </w:r>
      <w:r>
        <w:rPr>
          <w:sz w:val="19"/>
        </w:rPr>
        <w:t>Deutschland und deutschsprachiger Raum: Rhineland-Studie, vergleichbare Populationsstruktur, externe Validierung mit EPIC-Potsdam.</w:t>
      </w:r>
    </w:p>
    <w:p>
      <w:r>
        <w:rPr>
          <w:color w:val="5A7D3A"/>
          <w:sz w:val="18"/>
        </w:rPr>
        <w:t>https://pubmed.ncbi.nlm.nih.gov/42668319/</w:t>
      </w:r>
    </w:p>
    <w:p>
      <w:pPr>
        <w:pStyle w:val="Heading2"/>
      </w:pPr>
      <w:r>
        <w:t>Arbeitsplatzgewalt verkürzt die Erwerbstätigkeit älterer Arbeitnehmer um bis zu sieben Monate</w:t>
      </w:r>
    </w:p>
    <w:p>
      <w:r>
        <w:rPr>
          <w:i/>
          <w:color w:val="666666"/>
          <w:sz w:val="18"/>
        </w:rPr>
        <w:t>Holmgren R et al.  ·  Scand J Work Environ Health  ·  01.09.2026  ·  PMID 42563557</w:t>
      </w:r>
    </w:p>
    <w:p>
      <w:r>
        <w:t>Prospektive schwedische Kohortenstudie mit multistate Markov-Modellen zur Assoziation von Mobbing und Gewalt am Arbeitsplatz mit der verbleibenden Erwerbstätigkeit von über 50-Jährigen.</w:t>
      </w:r>
    </w:p>
    <w:p>
      <w:r>
        <w:rPr>
          <w:b/>
        </w:rPr>
        <w:t xml:space="preserve">Ergebnis: </w:t>
      </w:r>
      <w:r>
        <w:t>Exposition gegenüber Arbeitsplatzgewalt/Drohungen verkürzte die Erwerbstätigkeit ab 50 Jahren um 0,56 Jahre (95%-KI: −1,02–−0,10); Mobbing zeigte ähnliche Effektgröße (−0,63 Jahre, 95%-KI: −1,39–0,14), war aber nicht statistisch signifikant.</w:t>
      </w:r>
    </w:p>
    <w:p>
      <w:r>
        <w:rPr>
          <w:b/>
          <w:sz w:val="19"/>
        </w:rPr>
        <w:t xml:space="preserve">Übertragbarkeit: </w:t>
      </w:r>
      <w:r>
        <w:rPr>
          <w:sz w:val="19"/>
        </w:rPr>
        <w:t>Schweden, vergleichbares Sozialversicherungssystem, Längsschnitt-Follow-up 2008–2020.</w:t>
      </w:r>
    </w:p>
    <w:p>
      <w:r>
        <w:rPr>
          <w:color w:val="5A7D3A"/>
          <w:sz w:val="18"/>
        </w:rPr>
        <w:t>https://pubmed.ncbi.nlm.nih.gov/42563557/</w:t>
      </w:r>
    </w:p>
    <w:p>
      <w:pPr>
        <w:pStyle w:val="Heading2"/>
      </w:pPr>
      <w:r>
        <w:t>Frailty-Messung mit elektronischen Daten ist kontextabhängig und zeigt begrenzte Übertragbarkeit</w:t>
      </w:r>
    </w:p>
    <w:p>
      <w:r>
        <w:rPr>
          <w:i/>
          <w:color w:val="666666"/>
          <w:sz w:val="18"/>
        </w:rPr>
        <w:t>Cavanaugh R et al.  ·  J Gerontol A Biol Sci Med Sci  ·  04.08.2026  ·  PMID 42550179</w:t>
      </w:r>
    </w:p>
    <w:p>
      <w:r>
        <w:t>Internationale Vergleichsstudie zweier elektronischer Frailty-Indizes (VAFI, eFI) über fünf Datenbanken zeigte inkonsistente Frailty-Prävalenzen je nach Land und lokalen Kodierungsverhalten.</w:t>
      </w:r>
    </w:p>
    <w:p>
      <w:r>
        <w:rPr>
          <w:b/>
        </w:rPr>
        <w:t xml:space="preserve">Ergebnis: </w:t>
      </w:r>
      <w:r>
        <w:t>USA-Datenbanken: VAFI identifizierte höhere Frailty-Raten (All of Us: 10,3% vs. 2,5% eFI; Pharmetrics: 9,6% vs. 2%); UK-Datenbanken zeigten umgekehrtes Muster (eFI höher); FI-Messungen stark abhängig vom Entwicklungskontext und lokalen Kodierungsinzentiven.</w:t>
      </w:r>
    </w:p>
    <w:p>
      <w:r>
        <w:rPr>
          <w:b/>
          <w:sz w:val="19"/>
        </w:rPr>
        <w:t xml:space="preserve">Übertragbarkeit: </w:t>
      </w:r>
      <w:r>
        <w:rPr>
          <w:sz w:val="19"/>
        </w:rPr>
        <w:t>USA und UK: Warnung vor direkter Anwendung außerhalb des Entwicklungskontextes; deutsche Systeme benötigen eigene Validierung.</w:t>
      </w:r>
    </w:p>
    <w:p>
      <w:r>
        <w:rPr>
          <w:color w:val="5A7D3A"/>
          <w:sz w:val="18"/>
        </w:rPr>
        <w:t>https://pubmed.ncbi.nlm.nih.gov/42550179/</w:t>
      </w:r>
    </w:p>
    <w:p>
      <w:pPr>
        <w:pStyle w:val="Heading2"/>
      </w:pPr>
      <w:r>
        <w:t>Datenaustausch für Hirnalterungsforschung: Barrieren und Strategien in der Open Science</w:t>
      </w:r>
    </w:p>
    <w:p>
      <w:r>
        <w:rPr>
          <w:i/>
          <w:color w:val="666666"/>
          <w:sz w:val="18"/>
        </w:rPr>
        <w:t>Giehl K et al.  ·  Eur J Neurol  ·  Juli 2026  ·  PMID 42496021</w:t>
      </w:r>
    </w:p>
    <w:p>
      <w:r>
        <w:t>Übersichtsarbeit zu Hindernissen bei der Freigabe von Neuroimaging-Daten in der Alternsforschung und Vorschläge für vereinheitlichte rechtliche Rahmen, Standardisierung und akademische Anreize.</w:t>
      </w:r>
    </w:p>
    <w:p>
      <w:r>
        <w:rPr>
          <w:b/>
        </w:rPr>
        <w:t xml:space="preserve">Ergebnis: </w:t>
      </w:r>
      <w:r>
        <w:t>Die Hürden reichen von technischen und infrastrukturellen Grenzen bis zu rechtlichen Fragen. Die Arbeit plädiert für einen einheitlichen, DSGVO-konformen Rahmen, für die akademische Anerkennung von Data Stewardship und für ein abgestimmtes Vorgehen der Fachgemeinschaft hin zu Open Science in der Erforschung neurodegenerativer Erkrankungen.</w:t>
      </w:r>
    </w:p>
    <w:p>
      <w:r>
        <w:rPr>
          <w:b/>
          <w:sz w:val="19"/>
        </w:rPr>
        <w:t xml:space="preserve">Übertragbarkeit: </w:t>
      </w:r>
      <w:r>
        <w:rPr>
          <w:sz w:val="19"/>
        </w:rPr>
        <w:t>Europa: GDPR-Konformität, direkt auf EU-Systeme anwendbar, insbesondere Deutschland.</w:t>
      </w:r>
    </w:p>
    <w:p>
      <w:r>
        <w:rPr>
          <w:color w:val="5A7D3A"/>
          <w:sz w:val="18"/>
        </w:rPr>
        <w:t>https://pubmed.ncbi.nlm.nih.gov/42496021/</w:t>
      </w:r>
    </w:p>
    <w:p>
      <w:pPr>
        <w:pStyle w:val="Heading2"/>
      </w:pPr>
      <w:r>
        <w:t>Direkt wirkende Antivirale bei Hepatitis C verlängern Lebenserwartung um bis zu neun Jahre</w:t>
      </w:r>
    </w:p>
    <w:p>
      <w:r>
        <w:rPr>
          <w:i/>
          <w:color w:val="666666"/>
          <w:sz w:val="18"/>
        </w:rPr>
        <w:t>Etoori D et al.  ·  J Viral Hepat  ·  Aug. 2026  ·  PMID 42438144</w:t>
      </w:r>
    </w:p>
    <w:p>
      <w:r>
        <w:t>Englische Überwachungs- und Mortalitätsdaten zeigten, dass behandelte Hepatitis-C-Patienten eine um 8,5 bis 8,9 Jahre längere Lebenserwartung hatten, wobei dieser Vorsprung zwischen 2015–2018 und 2019–2022 abnahm.</w:t>
      </w:r>
    </w:p>
    <w:p>
      <w:r>
        <w:rPr>
          <w:b/>
        </w:rPr>
        <w:t xml:space="preserve">Ergebnis: </w:t>
      </w:r>
      <w:r>
        <w:t>Periode 2015–2018: behandelte Frauen +8,5 Jahre LE (95%-KI: 5,4–11,5), Männer +8,9 Jahre (95%-KI: 5,6–12,2); Periode 2019–2022: Frauen +6,7 Jahre (95%-KI: 3,3–10,2), Männer +5,3 Jahre (95%-KI: 3,0–7,6); Rückgang durch höhere Suizid-, Alkohol- und Drogentodesfälle in behandelter Population.</w:t>
      </w:r>
    </w:p>
    <w:p>
      <w:r>
        <w:rPr>
          <w:b/>
          <w:sz w:val="19"/>
        </w:rPr>
        <w:t xml:space="preserve">Übertragbarkeit: </w:t>
      </w:r>
      <w:r>
        <w:rPr>
          <w:sz w:val="19"/>
        </w:rPr>
        <w:t>Vereinigtes Königreich, vergleichbare westliche Versorgungsstrukturen, nationale Überwachungsdaten mit Mortalitätslinkage verfügbar.</w:t>
      </w:r>
    </w:p>
    <w:p>
      <w:r>
        <w:rPr>
          <w:color w:val="5A7D3A"/>
          <w:sz w:val="18"/>
        </w:rPr>
        <w:t>https://pubmed.ncbi.nlm.nih.gov/42438144/</w:t>
      </w:r>
    </w:p>
    <w:p>
      <w:pPr>
        <w:pStyle w:val="Heading2"/>
      </w:pPr>
      <w:r>
        <w:t>Französische Geriater fordern Fortbildung in Nephrologie: 75% Bedarf bei chronischen Nierenerkrankungen im Alter</w:t>
      </w:r>
    </w:p>
    <w:p>
      <w:r>
        <w:rPr>
          <w:i/>
          <w:color w:val="666666"/>
          <w:sz w:val="18"/>
        </w:rPr>
        <w:t>Mésinèle L et al.  ·  Geriatr Psychol Neuropsychiatr Vieil  ·  01.06.2026  ·  PMID 42412499</w:t>
      </w:r>
    </w:p>
    <w:p>
      <w:r>
        <w:t>Online-Befragung von 252 französischen Geriatrien zur Zusammenarbeit mit Nephrologie und Fortbildungsbedarf; 89% haben Zugang zu Nephrologen, aber nur 37% nennen einen Ansprechpartner für nephrogeriatrische Fragen.</w:t>
      </w:r>
    </w:p>
    <w:p>
      <w:r>
        <w:rPr>
          <w:b/>
        </w:rPr>
        <w:t xml:space="preserve">Ergebnis: </w:t>
      </w:r>
      <w:r>
        <w:t>89% haben Zugang zu Nephrologen, 37% identifizieren einen Ansprechpartner; häufigster Fortbildungswunsch: metabolische und kardiovaskuläre Komplikationen der CKD (60%), CKD-Stadien 1–4 (46%), Arzneimitteltherapie bei Niereninsuffizienz (38%); Geriater mit Nephro-Fortbildung häufiger in Shared Decision-Making zu Dialyse involviert.</w:t>
      </w:r>
    </w:p>
    <w:p>
      <w:r>
        <w:rPr>
          <w:b/>
          <w:sz w:val="19"/>
        </w:rPr>
        <w:t xml:space="preserve">Übertragbarkeit: </w:t>
      </w:r>
      <w:r>
        <w:rPr>
          <w:sz w:val="19"/>
        </w:rPr>
        <w:t>Frankreich, vergleichbares westeuropäisches Gesundheitssystem und Aus­bildungsanforderungen, Befragungsdaten direkt zur Versorgungsorganisation.</w:t>
      </w:r>
    </w:p>
    <w:p>
      <w:r>
        <w:rPr>
          <w:color w:val="5A7D3A"/>
          <w:sz w:val="18"/>
        </w:rPr>
        <w:t>https://pubmed.ncbi.nlm.nih.gov/42412499/</w:t>
      </w:r>
    </w:p>
    <w:p>
      <w:pPr>
        <w:pStyle w:val="Heading1"/>
      </w:pPr>
      <w:r>
        <w:t>Aufgenommen am 31.08.2026</w:t>
      </w:r>
    </w:p>
    <w:p>
      <w:pPr>
        <w:pStyle w:val="Heading2"/>
      </w:pPr>
      <w:r>
        <w:t>Gezieltes Geriatrie-Training in Intensivstationen verbessert Fachkompetenz des Personals</w:t>
      </w:r>
    </w:p>
    <w:p>
      <w:r>
        <w:rPr>
          <w:i/>
          <w:color w:val="666666"/>
          <w:sz w:val="18"/>
        </w:rPr>
        <w:t>Beernaert L et al.  ·  Soins Gerontol  ·  20.07.2026  ·  PMID 42542357</w:t>
      </w:r>
    </w:p>
    <w:p>
      <w:r>
        <w:t>Pilottudie zur Wirksamkeit gezielter Schulung von Pflegekräften und Paramedizinern in Geriatrie-Kompetenzen auf Intensivstationen.</w:t>
      </w:r>
    </w:p>
    <w:p>
      <w:r>
        <w:rPr>
          <w:b/>
        </w:rPr>
        <w:t xml:space="preserve">Ergebnis: </w:t>
      </w:r>
      <w:r>
        <w:t>Gezielte Schulungen führten zu signifikanten Verbesserungen der Geriatrie-Kenntnisse des Personals. Die Studie unterstützt den Wert kontinuierlicher Fortbildung, sollte aber durch multizentrische Studien bestätigt werden.</w:t>
      </w:r>
    </w:p>
    <w:p>
      <w:r>
        <w:rPr>
          <w:b/>
          <w:sz w:val="19"/>
        </w:rPr>
        <w:t xml:space="preserve">Übertragbarkeit: </w:t>
      </w:r>
      <w:r>
        <w:rPr>
          <w:sz w:val="19"/>
        </w:rPr>
        <w:t>Belgisches Universitätsspital, konzeptuell auf deutschsprachige Kliniken übertragbar.</w:t>
      </w:r>
    </w:p>
    <w:p>
      <w:r>
        <w:rPr>
          <w:color w:val="5A7D3A"/>
          <w:sz w:val="18"/>
        </w:rPr>
        <w:t>https://pubmed.ncbi.nlm.nih.gov/42542357/</w:t>
      </w:r>
    </w:p>
    <w:p>
      <w:pPr>
        <w:pStyle w:val="Heading2"/>
      </w:pPr>
      <w:r>
        <w:t>Triglyceride-Cholesterin-Körpergewicht-Index vorhersagt Hypertonie-Risiko bei älteren Menschen</w:t>
      </w:r>
    </w:p>
    <w:p>
      <w:r>
        <w:rPr>
          <w:i/>
          <w:color w:val="666666"/>
          <w:sz w:val="18"/>
        </w:rPr>
        <w:t>Luo F et al.  ·  J Int Med Res  ·  30.07.2026  ·  PMID 42530895</w:t>
      </w:r>
    </w:p>
    <w:p>
      <w:r>
        <w:t>Longitudinalanalyse der English Longitudinal Study of Ageing mit 5.731 älteren Erwachsenen über 12 Jahre zur Assoziation eines Stoffwechsel-Indexes mit Hypertonie-Inzidenz.</w:t>
      </w:r>
    </w:p>
    <w:p>
      <w:r>
        <w:rPr>
          <w:b/>
        </w:rPr>
        <w:t xml:space="preserve">Ergebnis: </w:t>
      </w:r>
      <w:r>
        <w:t>Jede Einheit Anstieg des log-transformierten Index war mit 43% höherer Hypertonie-Odds assoziiert (OR=1,43; 95% KI: 1,31–1,55). Prospektiv: adjustierte HR=1,16 (1,05–1,28). Trajektorien zeigten dosisabhängige Risikoerhöhung (hohe vs. niedrige Gruppe: OR=1,69, p&lt;0,001).</w:t>
      </w:r>
    </w:p>
    <w:p>
      <w:r>
        <w:rPr>
          <w:b/>
          <w:sz w:val="19"/>
        </w:rPr>
        <w:t xml:space="preserve">Übertragbarkeit: </w:t>
      </w:r>
      <w:r>
        <w:rPr>
          <w:sz w:val="19"/>
        </w:rPr>
        <w:t>England, demografische und epidemiologische Parallelität mit Deutschland gegeben.</w:t>
      </w:r>
    </w:p>
    <w:p>
      <w:r>
        <w:rPr>
          <w:color w:val="5A7D3A"/>
          <w:sz w:val="18"/>
        </w:rPr>
        <w:t>https://pubmed.ncbi.nlm.nih.gov/42530895/</w:t>
      </w:r>
    </w:p>
    <w:p>
      <w:pPr>
        <w:pStyle w:val="Heading2"/>
      </w:pPr>
      <w:r>
        <w:t>Gesundheitliche Behandlungspräferenzen Älterer: Alters- und Geschlechtsunterschiede in England</w:t>
      </w:r>
    </w:p>
    <w:p>
      <w:r>
        <w:rPr>
          <w:i/>
          <w:color w:val="666666"/>
          <w:sz w:val="18"/>
        </w:rPr>
        <w:t>Steel N et al.  ·  PLoS One  ·  29.07.2026  ·  PMID 42525585</w:t>
      </w:r>
    </w:p>
    <w:p>
      <w:r>
        <w:t>Querschnittsanalyse der English Longitudinal Study of Ageing (Wave 8, 2016/17) zu Präferenzen von über 50-Jährigen bei sechs Gesundheitsfragen (Risikobereitschaft, Zeitorientierung, Qualität vs. Länge des Lebens).</w:t>
      </w:r>
    </w:p>
    <w:p>
      <w:r>
        <w:rPr>
          <w:b/>
        </w:rPr>
        <w:t xml:space="preserve">Ergebnis: </w:t>
      </w:r>
      <w:r>
        <w:t>Frauen delegierten Entscheidungen weniger häufig an Ärzte und priorisierten Lebensqualität über Lebensdauer. Personen über 75 Jahre bevorzugten mehr Risikominderung und Delegierung. Substanzielle Variabilität zwischen Personen, systematische Unterschiede nach Alter und Geschlecht unterstützen strukturiertes Elicitierungsgesprächs-Protokoll.</w:t>
      </w:r>
    </w:p>
    <w:p>
      <w:r>
        <w:rPr>
          <w:b/>
          <w:sz w:val="19"/>
        </w:rPr>
        <w:t xml:space="preserve">Übertragbarkeit: </w:t>
      </w:r>
      <w:r>
        <w:rPr>
          <w:sz w:val="19"/>
        </w:rPr>
        <w:t>Großbritannien; übertragbar auf deutsches Versorgungssystem mit ähnlichen Partizipationsnormen.</w:t>
      </w:r>
    </w:p>
    <w:p>
      <w:r>
        <w:rPr>
          <w:color w:val="5A7D3A"/>
          <w:sz w:val="18"/>
        </w:rPr>
        <w:t>https://pubmed.ncbi.nlm.nih.gov/42525585/</w:t>
      </w:r>
    </w:p>
    <w:p>
      <w:pPr>
        <w:pStyle w:val="Heading2"/>
      </w:pPr>
      <w:r>
        <w:t>Depressive Symptome von Ehepartnern zeigen stabiles Muster, aber schwache prospektive Kopplung im Alter</w:t>
      </w:r>
    </w:p>
    <w:p>
      <w:r>
        <w:rPr>
          <w:i/>
          <w:color w:val="666666"/>
          <w:sz w:val="18"/>
        </w:rPr>
        <w:t>Miao J et al.  ·  Psychol Med  ·  29.07.2026  ·  PMID 42522229</w:t>
      </w:r>
    </w:p>
    <w:p>
      <w:r>
        <w:t>Harmonisierte Längsschnittanalyse aus CHARLS (China), HRS (USA) und ELSA (England) mit insgesamt 7.759 Paaren über 5–9 Wellen zu Depressionen, Aktivitätseinschränkungen und Partnereffekte.</w:t>
      </w:r>
    </w:p>
    <w:p>
      <w:r>
        <w:rPr>
          <w:b/>
        </w:rPr>
        <w:t xml:space="preserve">Ergebnis: </w:t>
      </w:r>
      <w:r>
        <w:t>Hohe Konkordanz depressiver Symptome zwischen Partnern (r=0,14–0,43) über alle Kohorten. Prospektive Cross-Spouse-Assoziationen waren nach Kontrolle stabiler Ähnlichkeiten schwach und nur in ELSA und multipel-imputierter HRS signifikant. Bidirektionale Depression-Funktionsstörung-Kopplung in westlichen Kohorten stärker, unterstützt kombinierte Behandlung und Rehabilitation.</w:t>
      </w:r>
    </w:p>
    <w:p>
      <w:r>
        <w:rPr>
          <w:b/>
          <w:sz w:val="19"/>
        </w:rPr>
        <w:t xml:space="preserve">Übertragbarkeit: </w:t>
      </w:r>
      <w:r>
        <w:rPr>
          <w:sz w:val="19"/>
        </w:rPr>
        <w:t>ELSA ist englische Bevölkerungsstichprobe; Ergebnisse auf deutsches Versorgungssystem moderat übertragbar.</w:t>
      </w:r>
    </w:p>
    <w:p>
      <w:r>
        <w:rPr>
          <w:color w:val="5A7D3A"/>
          <w:sz w:val="18"/>
        </w:rPr>
        <w:t>https://pubmed.ncbi.nlm.nih.gov/42522229/</w:t>
      </w:r>
    </w:p>
    <w:p>
      <w:pPr>
        <w:pStyle w:val="Heading2"/>
      </w:pPr>
      <w:r>
        <w:t>Frailty und psychische Gesundheit bei älteren Menschen: Längsschnittstudie aus Slowenien</w:t>
      </w:r>
    </w:p>
    <w:p>
      <w:r>
        <w:rPr>
          <w:i/>
          <w:color w:val="666666"/>
          <w:sz w:val="18"/>
        </w:rPr>
        <w:t>Mikolič Brence P et al.  ·  Front Public Health  ·  06.07.2026  ·  PMID 42518591</w:t>
      </w:r>
    </w:p>
    <w:p>
      <w:r>
        <w:t>Studienprotokoll einer prospektiven Kohortenstudie mit Erwachsenen ≥50 Jahren (geplant n=5.000, 2026–2028) zu Assoziationen zwischen Frailty und mentalen Gesundheitsfaktoren (Wohlbefinden, Resilienz, soziale Kohäsion).</w:t>
      </w:r>
    </w:p>
    <w:p>
      <w:r>
        <w:rPr>
          <w:b/>
        </w:rPr>
        <w:t xml:space="preserve">Ergebnis: </w:t>
      </w:r>
      <w:r>
        <w:t>Studie noch nicht abgeschlossen; das Protokoll wird zur Seite gelegt, da keine Ergebnisse vorliegen.</w:t>
      </w:r>
    </w:p>
    <w:p>
      <w:r>
        <w:rPr>
          <w:b/>
          <w:sz w:val="19"/>
        </w:rPr>
        <w:t xml:space="preserve">Übertragbarkeit: </w:t>
      </w:r>
      <w:r>
        <w:rPr>
          <w:sz w:val="19"/>
        </w:rPr>
        <w:t>Nicht anwendbar – Protokoll ohne Befunde.</w:t>
      </w:r>
    </w:p>
    <w:p>
      <w:r>
        <w:rPr>
          <w:color w:val="5A7D3A"/>
          <w:sz w:val="18"/>
        </w:rPr>
        <w:t>https://pubmed.ncbi.nlm.nih.gov/42518591/</w:t>
      </w:r>
    </w:p>
    <w:p>
      <w:pPr>
        <w:pStyle w:val="Heading2"/>
      </w:pPr>
      <w:r>
        <w:t>Lockdown-bedingte Immobilität beschleunigt Frailty: Sechs-Monats-Progression bei älteren Erwachsenen</w:t>
      </w:r>
    </w:p>
    <w:p>
      <w:r>
        <w:rPr>
          <w:i/>
          <w:color w:val="666666"/>
          <w:sz w:val="18"/>
        </w:rPr>
        <w:t>Rukavishnikov AS et al.  ·  Adv Gerontol  ·  2026  ·  PMID 42502942</w:t>
      </w:r>
    </w:p>
    <w:p>
      <w:r>
        <w:t>Quasiexperimentelle Studie mit 525 älteren Patienten (65–74 Jahre) in Pflege-Wohneinrichtungen während COVID-19-Lockdown; Geriatrisches Assessment mit Handgriffkraft und Sechs-Minuten-Gehtest zu Baseline, 1 und 6 Monaten.</w:t>
      </w:r>
    </w:p>
    <w:p>
      <w:r>
        <w:rPr>
          <w:b/>
        </w:rPr>
        <w:t xml:space="preserve">Ergebnis: </w:t>
      </w:r>
      <w:r>
        <w:t>Prävalenz der Präfrailty sank von 35,8% auf 14,1%, Frailty nahm von 49,5% auf 72% zu. Milde, moderate und schwere Frailty-Formen nahmen jeweils um 11,6%, 6,1% und 4,4% zu. Verlängerte Immobilität und soziale Isolation waren signifikante Beschleuniger der Frailty-Progression und Funktionsverschlechterung.</w:t>
      </w:r>
    </w:p>
    <w:p>
      <w:r>
        <w:rPr>
          <w:b/>
          <w:sz w:val="19"/>
        </w:rPr>
        <w:t xml:space="preserve">Übertragbarkeit: </w:t>
      </w:r>
      <w:r>
        <w:rPr>
          <w:sz w:val="19"/>
        </w:rPr>
        <w:t>Russland (Sankt-Petersburg); Befunde zur Dekonditionierung durch Immobilität universal, aber Pflegeheim-Setting unterscheidet sich von deutschem Versorgungskontext.</w:t>
      </w:r>
    </w:p>
    <w:p>
      <w:r>
        <w:rPr>
          <w:color w:val="5A7D3A"/>
          <w:sz w:val="18"/>
        </w:rPr>
        <w:t>https://pubmed.ncbi.nlm.nih.gov/42502942/</w:t>
      </w:r>
    </w:p>
    <w:p>
      <w:pPr>
        <w:pStyle w:val="Heading1"/>
      </w:pPr>
      <w:r>
        <w:t>Aufgenommen am 30.08.2026</w:t>
      </w:r>
    </w:p>
    <w:p>
      <w:pPr>
        <w:pStyle w:val="Heading2"/>
      </w:pPr>
      <w:r>
        <w:t>Frailty und Ernährung bei Herzinsuffizienz im Alter: prognostische Faktoren</w:t>
      </w:r>
    </w:p>
    <w:p>
      <w:r>
        <w:rPr>
          <w:i/>
          <w:color w:val="666666"/>
          <w:sz w:val="18"/>
        </w:rPr>
        <w:t>Li J et al.  ·  Front Public Health  ·  14.08.2026  ·  PMID 42666459</w:t>
      </w:r>
    </w:p>
    <w:p>
      <w:r>
        <w:t>Retrospektive Studie an 200 älteren Patienten mit Herzinsuffizienz untersuchte Frailty und Ernährungsstatus als Prognosefaktoren für 6-Monats-Ergebnisse.</w:t>
      </w:r>
    </w:p>
    <w:p>
      <w:r>
        <w:rPr>
          <w:b/>
        </w:rPr>
        <w:t xml:space="preserve">Ergebnis: </w:t>
      </w:r>
      <w:r>
        <w:t>Bei gebrechlichen Patienten (n=92) waren Mortalität (4,35 % vs. 0,93 %) und Rehospitalisierungsrate (14,13 % vs. 1,85 %) höher als bei nicht gebrechlichen (n=108). Unter gebrechlichen Patienten stieg die Ereignisrate mit Mangelernährung: moderat-schwer 26,19 %, mild 16,13 %, normal 5,26 %. GNRI und HDL waren unabhängig mit ungünstiger Prognose assoziiert.</w:t>
      </w:r>
    </w:p>
    <w:p>
      <w:r>
        <w:rPr>
          <w:b/>
          <w:sz w:val="19"/>
        </w:rPr>
        <w:t xml:space="preserve">Übertragbarkeit: </w:t>
      </w:r>
      <w:r>
        <w:rPr>
          <w:sz w:val="19"/>
        </w:rPr>
        <w:t>China, internationales Instrument (Fried-Kriterien), begrenzte Direktübertragung auf Deutschland</w:t>
      </w:r>
    </w:p>
    <w:p>
      <w:r>
        <w:rPr>
          <w:color w:val="5A7D3A"/>
          <w:sz w:val="18"/>
        </w:rPr>
        <w:t>https://pubmed.ncbi.nlm.nih.gov/42666459/</w:t>
      </w:r>
    </w:p>
    <w:p>
      <w:pPr>
        <w:pStyle w:val="Heading2"/>
      </w:pPr>
      <w:r>
        <w:t>Gastrointestinale Erkrankungen und funktioneller Verfall im Alter: CHARLS und ELSA</w:t>
      </w:r>
    </w:p>
    <w:p>
      <w:r>
        <w:rPr>
          <w:i/>
          <w:color w:val="666666"/>
          <w:sz w:val="18"/>
        </w:rPr>
        <w:t>Peng D et al.  ·  Geriatr Gerontol Int  ·  Sept. 2026  ·  PMID 42665870</w:t>
      </w:r>
    </w:p>
    <w:p>
      <w:r>
        <w:t>Longitudinale Analyse in zwei Kohorten (CHARLS China; ELSA England) untersuchte, ob wiederholte Meldungen gastrointestinaler Erkrankungen mit kognitiven, ADL- oder depressiven Verschlechterungen assoziiert sind.</w:t>
      </w:r>
    </w:p>
    <w:p>
      <w:r>
        <w:rPr>
          <w:b/>
        </w:rPr>
        <w:t xml:space="preserve">Ergebnis: </w:t>
      </w:r>
      <w:r>
        <w:t>CHARLS (n=9.555): wiederholte Meldung war mit 6–10 % erhöhtem Relativrisiko für Multidomain-Verschlechterung assoziiert (aRR 1,06–1,10). ELSA-Schätzungen waren richtungsgleich aber weniger präzise (aOR 1,21; 95%-KI 0,90–1,63). Gastrointestinale Exposition bot geringe diskriminative Aussagekraft.</w:t>
      </w:r>
    </w:p>
    <w:p>
      <w:r>
        <w:rPr>
          <w:b/>
          <w:sz w:val="19"/>
        </w:rPr>
        <w:t xml:space="preserve">Übertragbarkeit: </w:t>
      </w:r>
      <w:r>
        <w:rPr>
          <w:sz w:val="19"/>
        </w:rPr>
        <w:t>China und Großbritannien; Ergebnisse konsistent aber schwach, begrenzte Übertragbarkeit</w:t>
      </w:r>
    </w:p>
    <w:p>
      <w:r>
        <w:rPr>
          <w:color w:val="5A7D3A"/>
          <w:sz w:val="18"/>
        </w:rPr>
        <w:t>https://pubmed.ncbi.nlm.nih.gov/42665870/</w:t>
      </w:r>
    </w:p>
    <w:p>
      <w:pPr>
        <w:pStyle w:val="Heading2"/>
      </w:pPr>
      <w:r>
        <w:t>Schlafqualität und Sturzrisiko im Alter: prospektive Kohortenstudie</w:t>
      </w:r>
    </w:p>
    <w:p>
      <w:r>
        <w:rPr>
          <w:i/>
          <w:color w:val="666666"/>
          <w:sz w:val="18"/>
        </w:rPr>
        <w:t>Li Y et al.  ·  Brain Behav  ·  Aug. 2026  ·  PMID 42644837</w:t>
      </w:r>
    </w:p>
    <w:p>
      <w:r>
        <w:t>Prospektive Kohorte mit 3.224 Personen (≥50 Jahre) aus der English Longitudinal Study of Ageing; Schlafroutenuntersuchung über 4 Jahre mit Analyse der Assoziation zwischen Schlafqualität und neuaufgetretenen Stürzen.</w:t>
      </w:r>
    </w:p>
    <w:p>
      <w:r>
        <w:rPr>
          <w:b/>
        </w:rPr>
        <w:t xml:space="preserve">Ergebnis: </w:t>
      </w:r>
      <w:r>
        <w:t>Schlechtere Schlafqualität war mit höherem Sturzrisiko assoziiert (OR 1,04; 95%-KI 1,01–1,07). Depressive Symptome vermittelten 28,2 % dieser Assoziation. Dosisabhängige Beziehung zwischen Schlafqualität und Sturzrisiko.</w:t>
      </w:r>
    </w:p>
    <w:p>
      <w:r>
        <w:rPr>
          <w:b/>
          <w:sz w:val="19"/>
        </w:rPr>
        <w:t xml:space="preserve">Übertragbarkeit: </w:t>
      </w:r>
      <w:r>
        <w:rPr>
          <w:sz w:val="19"/>
        </w:rPr>
        <w:t>Großbritannien, vergleichbare Gesundheitsversorgung und Altersstruktur</w:t>
      </w:r>
    </w:p>
    <w:p>
      <w:r>
        <w:rPr>
          <w:color w:val="5A7D3A"/>
          <w:sz w:val="18"/>
        </w:rPr>
        <w:t>https://pubmed.ncbi.nlm.nih.gov/42644837/</w:t>
      </w:r>
    </w:p>
    <w:p>
      <w:pPr>
        <w:pStyle w:val="Heading2"/>
      </w:pPr>
      <w:r>
        <w:t>Lebensstil, Übergewicht und Lebenserwartung in der EU: Systemanalyse</w:t>
      </w:r>
    </w:p>
    <w:p>
      <w:r>
        <w:rPr>
          <w:i/>
          <w:color w:val="666666"/>
          <w:sz w:val="18"/>
        </w:rPr>
        <w:t>Vărzaru AA  ·  Nutrients  ·  11.07.2026  ·  PMID 42514344</w:t>
      </w:r>
    </w:p>
    <w:p>
      <w:r>
        <w:t>Querschnittsanalyse von 27 EU-Ländern mittels EHIS und Eurostat untersuchte Assoziationen zwischen Ernährung, körperlicher Aktivität, Rauchen, Übergewicht und Lebenserwartung sowie Healthy Life Years.</w:t>
      </w:r>
    </w:p>
    <w:p>
      <w:r>
        <w:rPr>
          <w:b/>
        </w:rPr>
        <w:t xml:space="preserve">Ergebnis: </w:t>
      </w:r>
      <w:r>
        <w:t>Gesunde Ernährung korrelierte mit Lebenserwartung (r=0,459; p=0,016), ebenso körperliche Aktivität (r=0,435; p=0,023). Übergewichtsprävalenz war invers mit Lebenserwartung assoziiert (r=−0,505; p=0,007). Das reduzierte Modell erklärte 47,4 % der Varianz in der Lebenserwartung. Clusteranalyse identifizierte drei Lebensstil-Gesundheits-Profile mit unterschiedlichen Outcomes.</w:t>
      </w:r>
    </w:p>
    <w:p>
      <w:r>
        <w:rPr>
          <w:b/>
          <w:sz w:val="19"/>
        </w:rPr>
        <w:t xml:space="preserve">Übertragbarkeit: </w:t>
      </w:r>
      <w:r>
        <w:rPr>
          <w:sz w:val="19"/>
        </w:rPr>
        <w:t>EU-weit, direkt auf deutsches Gesundheitssystem übertragbar</w:t>
      </w:r>
    </w:p>
    <w:p>
      <w:r>
        <w:rPr>
          <w:color w:val="5A7D3A"/>
          <w:sz w:val="18"/>
        </w:rPr>
        <w:t>https://pubmed.ncbi.nlm.nih.gov/42514344/</w:t>
      </w:r>
    </w:p>
    <w:p>
      <w:pPr>
        <w:pStyle w:val="Heading2"/>
      </w:pPr>
      <w:r>
        <w:t>Frailty im Hämodialyse: Visuelle Analogskala vereinfacht Screening</w:t>
      </w:r>
    </w:p>
    <w:p>
      <w:r>
        <w:rPr>
          <w:i/>
          <w:color w:val="666666"/>
          <w:sz w:val="18"/>
        </w:rPr>
        <w:t>Schulte-Kemna L et al.  ·  BMC Nephrol  ·  22.07.2026  ·  PMID 42493781</w:t>
      </w:r>
    </w:p>
    <w:p>
      <w:r>
        <w:t>Studie untersuchte die Genauigkeit einer Selbst-Rating-Skala (VAS) zur Frailty-Früherkennung bei 122 Hämodialysepatienten und identifizierte klinische Prädiktoren der Gebrechlichkeit anhand modifizierter Fried-Kriterien.</w:t>
      </w:r>
    </w:p>
    <w:p>
      <w:r>
        <w:rPr>
          <w:b/>
        </w:rPr>
        <w:t xml:space="preserve">Ergebnis: </w:t>
      </w:r>
      <w:r>
        <w:t>Die VAS hatte gute Spezifität (94,3%), übersah aber viele gebrechliche Patienten (Sensitivität 36,5%). Ein Modell mit Routineparametern zeigte gute Vorhersageleistung (AUC 0,816). Patienten mit Fried-Frailty hatten häufiger zentrale Venenkatheter, niedrigere Diurese, Kreatinin und Albumin sowie mehr Herz-Kreislauf-Erkrankungen.</w:t>
      </w:r>
    </w:p>
    <w:p>
      <w:r>
        <w:rPr>
          <w:b/>
          <w:sz w:val="19"/>
        </w:rPr>
        <w:t xml:space="preserve">Übertragbarkeit: </w:t>
      </w:r>
      <w:r>
        <w:rPr>
          <w:sz w:val="19"/>
        </w:rPr>
        <w:t>Deutsche Kliniken, vergleichbare Dialysedokumentation und Versorgungsstrukturen</w:t>
      </w:r>
    </w:p>
    <w:p>
      <w:r>
        <w:rPr>
          <w:color w:val="5A7D3A"/>
          <w:sz w:val="18"/>
        </w:rPr>
        <w:t>https://pubmed.ncbi.nlm.nih.gov/42493781/</w:t>
      </w:r>
    </w:p>
    <w:p>
      <w:pPr>
        <w:pStyle w:val="Heading2"/>
      </w:pPr>
      <w:r>
        <w:t>Diabetes-Epidemiologie in Dänemark: Trends von 1996 bis 2024</w:t>
      </w:r>
    </w:p>
    <w:p>
      <w:r>
        <w:rPr>
          <w:i/>
          <w:color w:val="666666"/>
          <w:sz w:val="18"/>
        </w:rPr>
        <w:t>Wibaek R et al.  ·  BMJ Open Diabetes Res Care  ·  10.07.2026  ·  PMID 42431705</w:t>
      </w:r>
    </w:p>
    <w:p>
      <w:r>
        <w:t>Nationale Register-Kohortenstudie (1996–2024) quantifizierte Trends in Prävalenz, Inzidenz, Mortalität und Lebensjahren verloren durch Diabetes in Dänemark.</w:t>
      </w:r>
    </w:p>
    <w:p>
      <w:r>
        <w:rPr>
          <w:b/>
        </w:rPr>
        <w:t xml:space="preserve">Ergebnis: </w:t>
      </w:r>
      <w:r>
        <w:t>Diabetes-Prävalenz verdreifachte sich auf 6,1 % (366.174 Personen); Typ 2 Diabetes stieg jährlich ~4,1 %. Typ 1 Inzidenz sank um 1,1 % pro Jahr. Mortalität sank bis 2012, dann Stabilisierung. Standardisierte Mortalitätsquoten sanken für Typ 1 (nach 2008), stiegen aber für Typ 2. Männer hatten höhere Typ 2 Inzidenz als Frauen.</w:t>
      </w:r>
    </w:p>
    <w:p>
      <w:r>
        <w:rPr>
          <w:b/>
          <w:sz w:val="19"/>
        </w:rPr>
        <w:t xml:space="preserve">Übertragbarkeit: </w:t>
      </w:r>
      <w:r>
        <w:rPr>
          <w:sz w:val="19"/>
        </w:rPr>
        <w:t>Skandinavien, vergleichbares Sozialversicherungssystem und Datenzugang</w:t>
      </w:r>
    </w:p>
    <w:p>
      <w:r>
        <w:rPr>
          <w:color w:val="5A7D3A"/>
          <w:sz w:val="18"/>
        </w:rPr>
        <w:t>https://pubmed.ncbi.nlm.nih.gov/42431705/</w:t>
      </w:r>
    </w:p>
    <w:p>
      <w:pPr>
        <w:pStyle w:val="Heading2"/>
      </w:pPr>
      <w:r>
        <w:t>Darmmikrobiota und Frailty bei älteren Frauen: schwedische Kohorte, bestätigt in China</w:t>
      </w:r>
    </w:p>
    <w:p>
      <w:r>
        <w:rPr>
          <w:i/>
          <w:color w:val="666666"/>
          <w:sz w:val="18"/>
        </w:rPr>
        <w:t>Vilar Geraldi M et al.  ·  Nat Commun  ·  08.07.2026  ·  PMID 42420265</w:t>
      </w:r>
    </w:p>
    <w:p>
      <w:r>
        <w:t>Studie analysierte Darmmetagenomik-Profile bei 2.081 schwedischen Frauen (75-80 Jahre) im Bezug auf einen entwickelten Frailty-Mortality-Index (FMI) und validierte Ergebnisse in einer chinesischen Kohorte.</w:t>
      </w:r>
    </w:p>
    <w:p>
      <w:r>
        <w:rPr>
          <w:b/>
        </w:rPr>
        <w:t xml:space="preserve">Ergebnis: </w:t>
      </w:r>
      <w:r>
        <w:t>FMI war invers assoziiert mit mikrobieller Diversität, Genreichtum und funktionaler Kapazität. 404 Bakterienarten waren signifikant mit FMI assoziiert; die meisten zeigten konsistente Assoziationen in der chinesischen Kohorte (n=1.448). Mikrobielle Signaturen waren mit Mortalität und funktioneller Einschränkung verknüpft.</w:t>
      </w:r>
    </w:p>
    <w:p>
      <w:r>
        <w:rPr>
          <w:b/>
          <w:sz w:val="19"/>
        </w:rPr>
        <w:t xml:space="preserve">Übertragbarkeit: </w:t>
      </w:r>
      <w:r>
        <w:rPr>
          <w:sz w:val="19"/>
        </w:rPr>
        <w:t>Skandinavien, ähnliche Sozialversicherung und Alterspopulation</w:t>
      </w:r>
    </w:p>
    <w:p>
      <w:r>
        <w:rPr>
          <w:color w:val="5A7D3A"/>
          <w:sz w:val="18"/>
        </w:rPr>
        <w:t>https://pubmed.ncbi.nlm.nih.gov/42420265/</w:t>
      </w:r>
    </w:p>
    <w:p>
      <w:pPr>
        <w:pStyle w:val="Heading1"/>
      </w:pPr>
      <w:r>
        <w:t>Aufgenommen am 29.08.2026</w:t>
      </w:r>
    </w:p>
    <w:p>
      <w:pPr>
        <w:pStyle w:val="Heading2"/>
      </w:pPr>
      <w:r>
        <w:t>Frailty verdoppelt Mortalität und Pflegebedarf bei hospitalisierten Älteren</w:t>
      </w:r>
    </w:p>
    <w:p>
      <w:r>
        <w:rPr>
          <w:i/>
          <w:color w:val="666666"/>
          <w:sz w:val="18"/>
        </w:rPr>
        <w:t>Kamo T et al.  ·  Geriatr Gerontol Int  ·  Sept. 2026  ·  PMID 42642794</w:t>
      </w:r>
    </w:p>
    <w:p>
      <w:r>
        <w:t>Systematische Übersicht und Metaanalyse von 57 Kohortenstudien zu Auswirkungen von Frailty auf Aktivitäten des täglichen Lebens und klinische Outcomes bei hospitalisierten älteren Erwachsenen (≥65 Jahre).</w:t>
      </w:r>
    </w:p>
    <w:p>
      <w:r>
        <w:rPr>
          <w:b/>
        </w:rPr>
        <w:t xml:space="preserve">Ergebnis: </w:t>
      </w:r>
      <w:r>
        <w:t>Frailty war assoziiert mit schlechterer ADL-Funktionsfähigkeit (SMD –1,04), höherer Mortalität (RR 2,26), niedrigerer Wahrscheinlichkeit von Entlassung nach Hause (RR 0,79) und höherem Wiederaufnahmerisiko in 30 Tagen (RR 1,47). Diese Effekte waren konsistent über Studien hinweg.</w:t>
      </w:r>
    </w:p>
    <w:p>
      <w:r>
        <w:rPr>
          <w:b/>
          <w:sz w:val="19"/>
        </w:rPr>
        <w:t xml:space="preserve">Übertragbarkeit: </w:t>
      </w:r>
      <w:r>
        <w:rPr>
          <w:sz w:val="19"/>
        </w:rPr>
        <w:t>Überwiegend anglo-amerikanische und europäische Studien; Frailty-Screening ist systemübergreifend anwendbar</w:t>
      </w:r>
    </w:p>
    <w:p>
      <w:r>
        <w:rPr>
          <w:color w:val="5A7D3A"/>
          <w:sz w:val="18"/>
        </w:rPr>
        <w:t>https://pubmed.ncbi.nlm.nih.gov/42642794/</w:t>
      </w:r>
    </w:p>
    <w:p>
      <w:pPr>
        <w:pStyle w:val="Heading2"/>
      </w:pPr>
      <w:r>
        <w:t>Plasma-Biomarker p-tau217 bei älteren Patienten: Nierenfunktion erklärt mehr Varianz als Gebrechlichkeit</w:t>
      </w:r>
    </w:p>
    <w:p>
      <w:r>
        <w:rPr>
          <w:i/>
          <w:color w:val="666666"/>
          <w:sz w:val="18"/>
        </w:rPr>
        <w:t>Goll J et al.  ·  Alzheimers Dement  ·  Aug. 2026  ·  PMID 42625502</w:t>
      </w:r>
    </w:p>
    <w:p>
      <w:r>
        <w:t>Querschnittsuntersuchung von 283 älteren Patienten (Norfrail- und Dementia-Cohort) zur Assoziation zwischen Gebrechlichkeit und Plasma-Biomarkern (p-tau217, Neurofilament-Leichte-Kette, GFAP) für Alzheimer-Pathologie.</w:t>
      </w:r>
    </w:p>
    <w:p>
      <w:r>
        <w:rPr>
          <w:b/>
        </w:rPr>
        <w:t xml:space="preserve">Ergebnis: </w:t>
      </w:r>
      <w:r>
        <w:t>Keine signifikante Assoziation zwischen p-tau217 und Gebrechlichkeit; die eGFR erklärte 27% der p-tau217-Varianz (p &lt; 0,001). Neurofilament-Leichte-Kette war einziger Biomarker signifikant mit Gebrechlichkeit assoziiert (p &lt; 0,01). Kliniker müssen Nierenfunktion bei Interpretation berücksichtigen.</w:t>
      </w:r>
    </w:p>
    <w:p>
      <w:r>
        <w:rPr>
          <w:b/>
          <w:sz w:val="19"/>
        </w:rPr>
        <w:t xml:space="preserve">Übertragbarkeit: </w:t>
      </w:r>
      <w:r>
        <w:rPr>
          <w:sz w:val="19"/>
        </w:rPr>
        <w:t>Norwegen, europäisches Gesundheitssystem; Befund zum Niereneinflusses auf Blutbiomarker ist systemunabhängig</w:t>
      </w:r>
    </w:p>
    <w:p>
      <w:r>
        <w:rPr>
          <w:color w:val="5A7D3A"/>
          <w:sz w:val="18"/>
        </w:rPr>
        <w:t>https://pubmed.ncbi.nlm.nih.gov/42625502/</w:t>
      </w:r>
    </w:p>
    <w:p>
      <w:pPr>
        <w:pStyle w:val="Heading2"/>
      </w:pPr>
      <w:r>
        <w:t>Frühe Zuckerrestriktion reduziert Krebsrisiko um 30–70% und verlangsamt biologisches Altern</w:t>
      </w:r>
    </w:p>
    <w:p>
      <w:r>
        <w:rPr>
          <w:i/>
          <w:color w:val="666666"/>
          <w:sz w:val="18"/>
        </w:rPr>
        <w:t>Zhu C et al.  ·  Proc Natl Acad Sci U S A  ·  11.08.2026  ·  PMID 42550905</w:t>
      </w:r>
    </w:p>
    <w:p>
      <w:r>
        <w:t>Kausalitätsanalyse mittels natürliches Experiment (Ende der UK-Zuckerrationierung 1953) mit 64.761 Biobank-Teilnehmern geboren 1951–1956, zur Langzeitwirkung früher Zuckerexposition auf Krebsinzidenz und biologisches Altern.</w:t>
      </w:r>
    </w:p>
    <w:p>
      <w:r>
        <w:rPr>
          <w:b/>
        </w:rPr>
        <w:t xml:space="preserve">Ergebnis: </w:t>
      </w:r>
      <w:r>
        <w:t>Geburtskohortenunter Rationierung zeigten dosisabhängig reduzierte Krebsraten: Leber (HR 0,31), Rektum (HR 0,60), Lunge (HR 0,59), Prostata (HR 0,48), Brust (HR 0,64). Mechanismen: Persistente gesündere Ernährungsgewohnheiten (verhaltoral) und längere Telomere (2,2 Jahre weniger biologisches Altern), niedrigeres Granzym B. Kausalitätsevidenzen für frühe Ernährungsprägung.</w:t>
      </w:r>
    </w:p>
    <w:p>
      <w:r>
        <w:rPr>
          <w:b/>
          <w:sz w:val="19"/>
        </w:rPr>
        <w:t xml:space="preserve">Übertragbarkeit: </w:t>
      </w:r>
      <w:r>
        <w:rPr>
          <w:sz w:val="19"/>
        </w:rPr>
        <w:t>Großbritannien, vergleichbare Geburtskohortenstruktur; Befund zu prägenden Effekten früher Ernährung fundamental, aber Realisierbarkeit in Deutschland unterschiedlich</w:t>
      </w:r>
    </w:p>
    <w:p>
      <w:r>
        <w:rPr>
          <w:color w:val="5A7D3A"/>
          <w:sz w:val="18"/>
        </w:rPr>
        <w:t>https://pubmed.ncbi.nlm.nih.gov/42550905/</w:t>
      </w:r>
    </w:p>
    <w:p>
      <w:pPr>
        <w:pStyle w:val="Heading2"/>
      </w:pPr>
      <w:r>
        <w:t>Immediate orthostatic hypotension zeigt keine Assoziation mit Stürzen und Synkopen im Alter</w:t>
      </w:r>
    </w:p>
    <w:p>
      <w:r>
        <w:rPr>
          <w:i/>
          <w:color w:val="666666"/>
          <w:sz w:val="18"/>
        </w:rPr>
        <w:t>Reddin C et al.  ·  Age Ageing  ·  02.07.2026  ·  PMID 42462204</w:t>
      </w:r>
    </w:p>
    <w:p>
      <w:r>
        <w:t>Querschnitts- und prospektive Kohortenstudie mit 4.596 älteren Erwachsenen über 8 Jahre, die die Assoziation von orthosensitiver Hypotonie (OH) und unmittelbarer OH mit Stürzen und Synkopen untersuchte.</w:t>
      </w:r>
    </w:p>
    <w:p>
      <w:r>
        <w:rPr>
          <w:b/>
        </w:rPr>
        <w:t xml:space="preserve">Ergebnis: </w:t>
      </w:r>
      <w:r>
        <w:t>Unmittelbare OH kam bei 20,7% vor und war nicht signifikant mit Stürzen/Synkopen assoziiert (OR 1,22, 95% KI 0,93–1,57); hingegen war persistente OH assoziiert (OR 1,31, 95% KI 1,04–1,66, p &lt; 0,05). Die Unterscheidung zwischen beiden Varianten ist klinisch relevant.</w:t>
      </w:r>
    </w:p>
    <w:p>
      <w:r>
        <w:rPr>
          <w:b/>
          <w:sz w:val="19"/>
        </w:rPr>
        <w:t xml:space="preserve">Übertragbarkeit: </w:t>
      </w:r>
      <w:r>
        <w:rPr>
          <w:sz w:val="19"/>
        </w:rPr>
        <w:t>Irland, vergleichbares europäisches Gesundheitssystem, bevölkerungsrepräsentative Stichprobe</w:t>
      </w:r>
    </w:p>
    <w:p>
      <w:r>
        <w:rPr>
          <w:color w:val="5A7D3A"/>
          <w:sz w:val="18"/>
        </w:rPr>
        <w:t>https://pubmed.ncbi.nlm.nih.gov/42462204/</w:t>
      </w:r>
    </w:p>
    <w:p>
      <w:pPr>
        <w:pStyle w:val="Heading2"/>
      </w:pPr>
      <w:r>
        <w:t>Gebrechlichkeit in etablierten Surveys messbar – ein Framework für nationale Monitoring in Europa</w:t>
      </w:r>
    </w:p>
    <w:p>
      <w:r>
        <w:rPr>
          <w:i/>
          <w:color w:val="666666"/>
          <w:sz w:val="18"/>
        </w:rPr>
        <w:t>Aicardi T et al.  ·  Eur J Public Health  ·  10.06.2026  ·  PMID 42452852</w:t>
      </w:r>
    </w:p>
    <w:p>
      <w:r>
        <w:t>Querschnittsstudie mit drei etablierten Frailty-Indikatoren (Tilburg, Groningen, Edmonton) in vier italienischen Bevölkerungssurveillance-Datensätzen (SHARE, EU-SILC, EHIS, AVQ).</w:t>
      </w:r>
    </w:p>
    <w:p>
      <w:r>
        <w:rPr>
          <w:b/>
        </w:rPr>
        <w:t xml:space="preserve">Ergebnis: </w:t>
      </w:r>
      <w:r>
        <w:t>Der Groningen Frailty Indicator war am replizierbaren über Surveys hinweg; die Edmonton Frail Scale zeigte stärkste Vorhersagekraft. EHIS-Daten waren optimal für Messungen geeignet. Gebrechlichkeit erklärte Gesundheitsoutcomes besser als Chronologisches Alter allein; klarer Nord-Süd-Gradient in Italien (p &lt; 0,001).</w:t>
      </w:r>
    </w:p>
    <w:p>
      <w:r>
        <w:rPr>
          <w:b/>
          <w:sz w:val="19"/>
        </w:rPr>
        <w:t xml:space="preserve">Übertragbarkeit: </w:t>
      </w:r>
      <w:r>
        <w:rPr>
          <w:sz w:val="19"/>
        </w:rPr>
        <w:t>Italien, EU-Mitgliedstaaten, vergleichbare Datensysteme mit Deutschland übertragbar</w:t>
      </w:r>
    </w:p>
    <w:p>
      <w:r>
        <w:rPr>
          <w:color w:val="5A7D3A"/>
          <w:sz w:val="18"/>
        </w:rPr>
        <w:t>https://pubmed.ncbi.nlm.nih.gov/42452852/</w:t>
      </w:r>
    </w:p>
    <w:p>
      <w:pPr>
        <w:pStyle w:val="Heading2"/>
      </w:pPr>
      <w:r>
        <w:t>Gesunde Lebensjahre regional stark abhängig von Einkommen und sozialen Faktoren</w:t>
      </w:r>
    </w:p>
    <w:p>
      <w:r>
        <w:rPr>
          <w:i/>
          <w:color w:val="666666"/>
          <w:sz w:val="18"/>
        </w:rPr>
        <w:t>Bachmann M et al.  ·  BMJ Open  ·  13.07.2026  ·  PMID 42442804</w:t>
      </w:r>
    </w:p>
    <w:p>
      <w:r>
        <w:t>Querschnittsanalyse zur Variabilität der gesunden Lebenserwartung (HLE) und Risikofaktoren in 128 kleinen geografischen Bereichen eines britischen integrierten Versorgungssystems.</w:t>
      </w:r>
    </w:p>
    <w:p>
      <w:r>
        <w:rPr>
          <w:b/>
        </w:rPr>
        <w:t xml:space="preserve">Ergebnis: </w:t>
      </w:r>
      <w:r>
        <w:t>HLE betrug durchschnittlich 66,5 Jahre (Männer, Spannweite 52–73) und 67,5 Jahre (Frauen, Spannweite 56–74). £100 höheres Wocheneinkommen war assoziiert mit 4,4 (95% KI 3,5–5,2) beziehungsweise 4,6 (95% KI 3,8–5,4) zusätzlichen HLE-Jahren. Alleinsein älterer Personen, körperliche Inaktivität und Deprivation zeigten starke Assoziationen mit niedrigerer HLE.</w:t>
      </w:r>
    </w:p>
    <w:p>
      <w:r>
        <w:rPr>
          <w:b/>
          <w:sz w:val="19"/>
        </w:rPr>
        <w:t xml:space="preserve">Übertragbarkeit: </w:t>
      </w:r>
      <w:r>
        <w:rPr>
          <w:sz w:val="19"/>
        </w:rPr>
        <w:t>Großbritannien, NHS-ähnliche Systeme; Ungleichheitsmessung direkt auf deutsche Regionen übertragbar</w:t>
      </w:r>
    </w:p>
    <w:p>
      <w:r>
        <w:rPr>
          <w:color w:val="5A7D3A"/>
          <w:sz w:val="18"/>
        </w:rPr>
        <w:t>https://pubmed.ncbi.nlm.nih.gov/42442804/</w:t>
      </w:r>
    </w:p>
    <w:p>
      <w:pPr>
        <w:pStyle w:val="Heading1"/>
      </w:pPr>
      <w:r>
        <w:t>Aufgenommen am 28.08.2026</w:t>
      </w:r>
    </w:p>
    <w:p>
      <w:pPr>
        <w:pStyle w:val="Heading2"/>
      </w:pPr>
      <w:r>
        <w:t>Territoriale Ungleichheiten von Gebrechlichkeit und Langlebigkeit in Italien</w:t>
      </w:r>
    </w:p>
    <w:p>
      <w:r>
        <w:rPr>
          <w:i/>
          <w:color w:val="666666"/>
          <w:sz w:val="18"/>
        </w:rPr>
        <w:t>Maccheroni C et al.  ·  Int J Environ Res Public Health  ·  23.07.2026  ·  PMID 42652263</w:t>
      </w:r>
    </w:p>
    <w:p>
      <w:r>
        <w:t>Analyse der geografischen Verteilung von Frailty, funktionalen Einschränkungen und Anspruch auf öffentliche Unterstützung in 21 italienischen Regionen auf Basis von Istat-, Eurostat- und INPS-Daten.</w:t>
      </w:r>
    </w:p>
    <w:p>
      <w:r>
        <w:rPr>
          <w:b/>
        </w:rPr>
        <w:t xml:space="preserve">Ergebnis: </w:t>
      </w:r>
      <w:r>
        <w:t>Italien zeigt hohe Lebenserwartung (Frauen 85,4, Männer 81,4 Jahre), aber gesunde Lebensjahre von nur 69,6 bzw. 68,5 Jahren. Der Süden und die Inseln weisen deutlich höhere Frailty-Prävalenz, mehr funktionale Einschränkungen und höhere Ansprüche auf öffentliche Hilfe auf als Zentrum-Nord. Frauen erleben längere Leben mit mehr Behinderung und Abhängigkeit.</w:t>
      </w:r>
    </w:p>
    <w:p>
      <w:r>
        <w:rPr>
          <w:b/>
          <w:sz w:val="19"/>
        </w:rPr>
        <w:t xml:space="preserve">Übertragbarkeit: </w:t>
      </w:r>
      <w:r>
        <w:rPr>
          <w:sz w:val="19"/>
        </w:rPr>
        <w:t>Italien, vollständige nationale Registeranalyse, europäisches Wohlfahrtssystem</w:t>
      </w:r>
    </w:p>
    <w:p>
      <w:r>
        <w:rPr>
          <w:color w:val="5A7D3A"/>
          <w:sz w:val="18"/>
        </w:rPr>
        <w:t>https://pubmed.ncbi.nlm.nih.gov/42652263/</w:t>
      </w:r>
    </w:p>
    <w:p>
      <w:pPr>
        <w:pStyle w:val="Heading2"/>
      </w:pPr>
      <w:r>
        <w:t>Kognitive Frailty bei älteren Herzinsuffizienzpatienten: systematische Übersicht</w:t>
      </w:r>
    </w:p>
    <w:p>
      <w:r>
        <w:rPr>
          <w:i/>
          <w:color w:val="666666"/>
          <w:sz w:val="18"/>
        </w:rPr>
        <w:t>Cheng M et al.  ·  Front Public Health  ·  11.08.2026  ·  PMID 42644078</w:t>
      </w:r>
    </w:p>
    <w:p>
      <w:r>
        <w:t>Systematische Übersicht und Metaanalyse von 22 Kohortenstudien (8.892 Patienten ≥65 Jahre mit Herzinsuffizienz) zur Prävalenz und Faktoren kognitiver Frailty.</w:t>
      </w:r>
    </w:p>
    <w:p>
      <w:r>
        <w:rPr>
          <w:b/>
        </w:rPr>
        <w:t xml:space="preserve">Ergebnis: </w:t>
      </w:r>
      <w:r>
        <w:t>Gepoolte Prävalenz kognitiver Frailty: 32 % (95%-KI 27–37 %). Bei Frauen 37 %, bei Männern 31 %. Nach NYHA-Klassifikation bei Klasse IV 44 %, Klasse II–III 28 %. Mit COPD-Komorbidität 46 %. Höheres Alter (bereinigt OR 1,12, 95%-KI 1,06–1,18) und Depression assoziiert mit höheren Odds; körperliche Aktivität und intellektuelle Aktivität mit niedrigeren Odds.</w:t>
      </w:r>
    </w:p>
    <w:p>
      <w:r>
        <w:rPr>
          <w:b/>
          <w:sz w:val="19"/>
        </w:rPr>
        <w:t xml:space="preserve">Übertragbarkeit: </w:t>
      </w:r>
      <w:r>
        <w:rPr>
          <w:sz w:val="19"/>
        </w:rPr>
        <w:t>Mehrländerstudie, überwiegend observativ, Versorgungsrelevanz für Herzinsuffizienz</w:t>
      </w:r>
    </w:p>
    <w:p>
      <w:r>
        <w:rPr>
          <w:color w:val="5A7D3A"/>
          <w:sz w:val="18"/>
        </w:rPr>
        <w:t>https://pubmed.ncbi.nlm.nih.gov/42644078/</w:t>
      </w:r>
    </w:p>
    <w:p>
      <w:pPr>
        <w:pStyle w:val="Heading2"/>
      </w:pPr>
      <w:r>
        <w:t>Erhöhte Arbeitsunfälle durch verzögerte Pensionierung im Alter</w:t>
      </w:r>
    </w:p>
    <w:p>
      <w:r>
        <w:rPr>
          <w:i/>
          <w:color w:val="666666"/>
          <w:sz w:val="18"/>
        </w:rPr>
        <w:t>Ardito C et al.  ·  Econ Hum Biol  ·  10.08.2026  ·  PMID 42617339</w:t>
      </w:r>
    </w:p>
    <w:p>
      <w:r>
        <w:t>Evaluation des Effekts der italienischen Rentenreform 2012 (Erhöhung der Anspruchsaltersgrenze) auf Arbeitsunfallrisiken bei älteren Erwerbstätigen mittels administrativer Daten aus der Privatwirtschaft.</w:t>
      </w:r>
    </w:p>
    <w:p>
      <w:r>
        <w:rPr>
          <w:b/>
        </w:rPr>
        <w:t xml:space="preserve">Ergebnis: </w:t>
      </w:r>
      <w:r>
        <w:t>Verzögerte Pensionierung führte zu statistisch signifikantem Anstieg krankheitsbedingter Abwesenheit durch Arbeitsunfälle um 2,6 % gegenüber dem Ausgangswert. Der Effekt konzentriert sich auf Kleinbetriebe (unter 15 Angestellten) und körperlich oder kognitiv fordernde Sektoren wie Fertigung. Kein Spillover-Effekt auf Arbeitskollegen.</w:t>
      </w:r>
    </w:p>
    <w:p>
      <w:r>
        <w:rPr>
          <w:b/>
          <w:sz w:val="19"/>
        </w:rPr>
        <w:t xml:space="preserve">Übertragbarkeit: </w:t>
      </w:r>
      <w:r>
        <w:rPr>
          <w:sz w:val="19"/>
        </w:rPr>
        <w:t>Italien, administrative Privatwirtschaftsdaten, vergleichbare Sozialversicherungssysteme</w:t>
      </w:r>
    </w:p>
    <w:p>
      <w:r>
        <w:rPr>
          <w:color w:val="5A7D3A"/>
          <w:sz w:val="18"/>
        </w:rPr>
        <w:t>https://pubmed.ncbi.nlm.nih.gov/42617339/</w:t>
      </w:r>
    </w:p>
    <w:p>
      <w:pPr>
        <w:pStyle w:val="Heading2"/>
      </w:pPr>
      <w:r>
        <w:t>Lebenserwartung und Gesundheitslebensjahre von Migranten in England und Wales</w:t>
      </w:r>
    </w:p>
    <w:p>
      <w:r>
        <w:rPr>
          <w:i/>
          <w:color w:val="666666"/>
          <w:sz w:val="18"/>
        </w:rPr>
        <w:t>Harrison J et al.  ·  PLoS One  ·  19.08.2026  ·  PMID 42616754</w:t>
      </w:r>
    </w:p>
    <w:p>
      <w:r>
        <w:t>Vergleich der Lebenserwartung und behinderungsfreien Lebensjahre bei 37 Ländern von Geburtsort in England und Wales über drei Zeitpunkte (2000–02, 2010–12, 2020–22) mittels Lebenstafeln und Sullivan-Methode.</w:t>
      </w:r>
    </w:p>
    <w:p>
      <w:r>
        <w:rPr>
          <w:b/>
        </w:rPr>
        <w:t xml:space="preserve">Ergebnis: </w:t>
      </w:r>
      <w:r>
        <w:t>Heterogene Muster: Die meisten Migrantengruppen zeigten höhere Lebenserwartung und behinderungsfreie Lebensjahre als in England und Wales geborene; einige der größten Migrantengruppen (Schottland, Irland, Polen, Litauen) zeigten niedrigere Lebenserwartung und höhere Behinderungslasten. Frauen aus Pakistan und Bangladesch lebten länger, aber mit mehr Behinderung.</w:t>
      </w:r>
    </w:p>
    <w:p>
      <w:r>
        <w:rPr>
          <w:b/>
          <w:sz w:val="19"/>
        </w:rPr>
        <w:t xml:space="preserve">Übertragbarkeit: </w:t>
      </w:r>
      <w:r>
        <w:rPr>
          <w:sz w:val="19"/>
        </w:rPr>
        <w:t>Großbritannien, nationale Zensus- und Mortalitätsdaten, vergleichbares Versicherungssystem</w:t>
      </w:r>
    </w:p>
    <w:p>
      <w:r>
        <w:rPr>
          <w:color w:val="5A7D3A"/>
          <w:sz w:val="18"/>
        </w:rPr>
        <w:t>https://pubmed.ncbi.nlm.nih.gov/42616754/</w:t>
      </w:r>
    </w:p>
    <w:p>
      <w:pPr>
        <w:pStyle w:val="Heading2"/>
      </w:pPr>
      <w:r>
        <w:t>Milde Bewegungstremor korreliert mit kognitiver Beeinträchtigung im Alter</w:t>
      </w:r>
    </w:p>
    <w:p>
      <w:r>
        <w:rPr>
          <w:i/>
          <w:color w:val="666666"/>
          <w:sz w:val="18"/>
        </w:rPr>
        <w:t>Kuhlenbäumer G et al.  ·  J Neurol  ·  11.08.2026  ·  PMID 42581283</w:t>
      </w:r>
    </w:p>
    <w:p>
      <w:r>
        <w:t>Querschnittsanalyse der KORA-Age-Studie (65–93 Jahre) zur Assoziation zwischen Tremorschweregrad (Archimedes-Spiral-Rating) und kognitiver Leistung (TICS-m) unter Verwendung multivariater Regression.</w:t>
      </w:r>
    </w:p>
    <w:p>
      <w:r>
        <w:rPr>
          <w:b/>
        </w:rPr>
        <w:t xml:space="preserve">Ergebnis: </w:t>
      </w:r>
      <w:r>
        <w:t>Tremorschweregrad war unabhängig mit kognitiver Leistung assoziiert. Im finalen Modell waren wichtigste Prädiktoren: Alter, Geschlecht, Parkinson-Score, Frailty und Tremor. Sensitivitätsanalysen unter Ausschluss wahrscheinlich pathologischer Tremoren attenuierten die Assoziation nicht. Altersbedingte Hirnveränderungen könnten gemeinsame Ursache sein.</w:t>
      </w:r>
    </w:p>
    <w:p>
      <w:r>
        <w:rPr>
          <w:b/>
          <w:sz w:val="19"/>
        </w:rPr>
        <w:t xml:space="preserve">Übertragbarkeit: </w:t>
      </w:r>
      <w:r>
        <w:rPr>
          <w:sz w:val="19"/>
        </w:rPr>
        <w:t>Deutschland, KORA-Bevölkerungskohort, nationale Datengrundlage</w:t>
      </w:r>
    </w:p>
    <w:p>
      <w:r>
        <w:rPr>
          <w:color w:val="5A7D3A"/>
          <w:sz w:val="18"/>
        </w:rPr>
        <w:t>https://pubmed.ncbi.nlm.nih.gov/42581283/</w:t>
      </w:r>
    </w:p>
    <w:p>
      <w:pPr>
        <w:pStyle w:val="Heading2"/>
      </w:pPr>
      <w:r>
        <w:t>Geriatrische Rehabilitation verbessert Funktionalität bei Mangelernährungsrisiko</w:t>
      </w:r>
    </w:p>
    <w:p>
      <w:r>
        <w:rPr>
          <w:i/>
          <w:color w:val="666666"/>
          <w:sz w:val="18"/>
        </w:rPr>
        <w:t>Runikhina NK et al.  ·  Adv Gerontol  ·  2026  ·  PMID 42502926</w:t>
      </w:r>
    </w:p>
    <w:p>
      <w:r>
        <w:t>Evaluierung von 21-Tage-Rehabilitationsprogrammen bei 482 älteren Patienten (60+ Jahre) mit (96, 19,9 %) und ohne Mangelernährungsrisiko durch umfassende geriatrische Bewertung vor und nach Intervention.</w:t>
      </w:r>
    </w:p>
    <w:p>
      <w:r>
        <w:rPr>
          <w:b/>
        </w:rPr>
        <w:t xml:space="preserve">Ergebnis: </w:t>
      </w:r>
      <w:r>
        <w:t>Beide Gruppen verbesserten sich signifikant in Funktionalität, kognitiver Leistung und Schmerz/Schlaf/Depression. Patienten mit Mangelernährungsrisiko waren älter (80,3 vs. 78,2 Jahre), hatten mehr Frailty (52,1 % vs. 30,9 %), mehr Stürze (36,8 % vs. 25,3 %) und Depression (40,6 % vs. 20,8 %). Diese Gruppe zeigte deutlich größere Verbesserungen in basaler und instrumenteller Funktionalität.</w:t>
      </w:r>
    </w:p>
    <w:p>
      <w:r>
        <w:rPr>
          <w:b/>
          <w:sz w:val="19"/>
        </w:rPr>
        <w:t xml:space="preserve">Übertragbarkeit: </w:t>
      </w:r>
      <w:r>
        <w:rPr>
          <w:sz w:val="19"/>
        </w:rPr>
        <w:t>Russland, Pirogov-Universitätsklinik, europäischer Gesundheitsauftrag vergleichbar</w:t>
      </w:r>
    </w:p>
    <w:p>
      <w:r>
        <w:rPr>
          <w:color w:val="5A7D3A"/>
          <w:sz w:val="18"/>
        </w:rPr>
        <w:t>https://pubmed.ncbi.nlm.nih.gov/42502926/</w:t>
      </w:r>
    </w:p>
    <w:p>
      <w:pPr>
        <w:pStyle w:val="Heading1"/>
      </w:pPr>
      <w:r>
        <w:t>Aufgenommen am 27.08.2026</w:t>
      </w:r>
    </w:p>
    <w:p>
      <w:pPr>
        <w:pStyle w:val="Heading2"/>
      </w:pPr>
      <w:r>
        <w:t>Verzögerte Sterblichkeit und Multimorbiditätsaufbau bei Nachkommen von Hundertjährigen</w:t>
      </w:r>
    </w:p>
    <w:p>
      <w:r>
        <w:rPr>
          <w:i/>
          <w:color w:val="666666"/>
          <w:sz w:val="18"/>
        </w:rPr>
        <w:t>Reed ER et al.  ·  JAMA Netw Open  ·  03.08.2026  ·  PMID 42646838</w:t>
      </w:r>
    </w:p>
    <w:p>
      <w:r>
        <w:t>Studie an drei unabhängigen Kohorten (LonGenity, NECS, UK Biobank) verglich Sterblichkeit und Erkrankungsbeginn bei Nachkommen von Hundertjährigen (≥100 Jahre) mit Kontrollpersonen.</w:t>
      </w:r>
    </w:p>
    <w:p>
      <w:r>
        <w:rPr>
          <w:b/>
        </w:rPr>
        <w:t xml:space="preserve">Ergebnis: </w:t>
      </w:r>
      <w:r>
        <w:t>Hundertjährige-Nachkommen zeigten reduzierte Mortalität (HR 0,58; 95%-KI 0,41–0,81), verzögerter Beginn von Herzerkrankungen (HR 0,67) und Hypertonie (HR 0,68; Verzögerung 5,21 Jahre). Der Effekt ist konsistent über drei Länder und zeigt, dass Longevität familial transmittiert wird.</w:t>
      </w:r>
    </w:p>
    <w:p>
      <w:r>
        <w:rPr>
          <w:b/>
          <w:sz w:val="19"/>
        </w:rPr>
        <w:t xml:space="preserve">Übertragbarkeit: </w:t>
      </w:r>
      <w:r>
        <w:rPr>
          <w:sz w:val="19"/>
        </w:rPr>
        <w:t>USA und Großbritannien; Generalisierbarkeit durch multiple Länder hoch</w:t>
      </w:r>
    </w:p>
    <w:p>
      <w:r>
        <w:rPr>
          <w:color w:val="5A7D3A"/>
          <w:sz w:val="18"/>
        </w:rPr>
        <w:t>https://pubmed.ncbi.nlm.nih.gov/42646838/</w:t>
      </w:r>
    </w:p>
    <w:p>
      <w:pPr>
        <w:pStyle w:val="Heading2"/>
      </w:pPr>
      <w:r>
        <w:t>Gebrechlichkeit und periphere Schwindel-Inzidenz: Dosis-Wirkungs-Befund in UK Biobank</w:t>
      </w:r>
    </w:p>
    <w:p>
      <w:r>
        <w:rPr>
          <w:i/>
          <w:color w:val="666666"/>
          <w:sz w:val="18"/>
        </w:rPr>
        <w:t>Zhai Z et al.  ·  Front Neurol  ·  11.08.2026  ·  PMID 42643260</w:t>
      </w:r>
    </w:p>
    <w:p>
      <w:r>
        <w:t>489266 UK-Biobank-Teilnehmer wurden auf Assoziationen zwischen Frailty-Status (Fried-Phänotyp) und Inzidenz von Schwindel (Vertigo) über 13,2 Jahre Nachverfolgung untersucht.</w:t>
      </w:r>
    </w:p>
    <w:p>
      <w:r>
        <w:rPr>
          <w:b/>
        </w:rPr>
        <w:t xml:space="preserve">Ergebnis: </w:t>
      </w:r>
      <w:r>
        <w:t>Präfrailty (HR 1,36; 95%-KI 1,26–1,48) und Frailty (HR 2,05; 95%-KI 1,77–2,37) waren unabhängig mit erhöhtem Schwindel-Risiko assoziiert. Linearer Dosis-Wirkungs-Trend: jeder Punkt Frailty-Score erhöhte Risiko um 24% (95%-KI 19–29%). Effekt stärker bei Frauen.</w:t>
      </w:r>
    </w:p>
    <w:p>
      <w:r>
        <w:rPr>
          <w:b/>
          <w:sz w:val="19"/>
        </w:rPr>
        <w:t xml:space="preserve">Übertragbarkeit: </w:t>
      </w:r>
      <w:r>
        <w:rPr>
          <w:sz w:val="19"/>
        </w:rPr>
        <w:t>UK Biobank, vergleichbare Dokumentation; relevanter Befund für Sturzrisiko-Assessment</w:t>
      </w:r>
    </w:p>
    <w:p>
      <w:r>
        <w:rPr>
          <w:color w:val="5A7D3A"/>
          <w:sz w:val="18"/>
        </w:rPr>
        <w:t>https://pubmed.ncbi.nlm.nih.gov/42643260/</w:t>
      </w:r>
    </w:p>
    <w:p>
      <w:pPr>
        <w:pStyle w:val="Heading2"/>
      </w:pPr>
      <w:r>
        <w:t>Mobiltelefonnutzung und körperliche Gebrechlichkeit: temporale Querschnittsanalyse ohne kausale Assoziation</w:t>
      </w:r>
    </w:p>
    <w:p>
      <w:r>
        <w:rPr>
          <w:i/>
          <w:color w:val="666666"/>
          <w:sz w:val="18"/>
        </w:rPr>
        <w:t>Kong S et al.  ·  Front Public Health  ·  10.08.2026  ·  PMID 42638665</w:t>
      </w:r>
    </w:p>
    <w:p>
      <w:r>
        <w:t>5533 Personen der UK Biobank (40–70 Jahre) wurden über drei Wellen auf zeitliche Beziehungen zwischen wöchentlicher Telefonanrufdauer und vier Dimensionen von Frailty untersucht.</w:t>
      </w:r>
    </w:p>
    <w:p>
      <w:r>
        <w:rPr>
          <w:b/>
        </w:rPr>
        <w:t xml:space="preserve">Ergebnis: </w:t>
      </w:r>
      <w:r>
        <w:t>Nach Korrektur für multiples Testen (FDR) zeigten sich nur zwei schwache, intermittierende Assoziationen: psychische Frailty T1→Telefonzeit T2 (β 0,086, p_FDR 0,048) und soziale Frailty T2→Telefonzeit T3 (β 0,078, p_FDR 0,033). Keine robusten bidirektionalen Effekte.</w:t>
      </w:r>
    </w:p>
    <w:p>
      <w:r>
        <w:rPr>
          <w:b/>
          <w:sz w:val="19"/>
        </w:rPr>
        <w:t xml:space="preserve">Übertragbarkeit: </w:t>
      </w:r>
      <w:r>
        <w:rPr>
          <w:sz w:val="19"/>
        </w:rPr>
        <w:t>UK Biobank, aber Ergebnis negativ (keine Effekt); Übertragbarkeit für Aussage 'kein Zusammenhang' gegeben</w:t>
      </w:r>
    </w:p>
    <w:p>
      <w:r>
        <w:rPr>
          <w:color w:val="5A7D3A"/>
          <w:sz w:val="18"/>
        </w:rPr>
        <w:t>https://pubmed.ncbi.nlm.nih.gov/42638665/</w:t>
      </w:r>
    </w:p>
    <w:p>
      <w:pPr>
        <w:pStyle w:val="Heading2"/>
      </w:pPr>
      <w:r>
        <w:t>Impfbotschaften im Fokus "gesundes Altern" erhöhen Impfintention bei älteren Erwachsenen</w:t>
      </w:r>
    </w:p>
    <w:p>
      <w:r>
        <w:rPr>
          <w:i/>
          <w:color w:val="666666"/>
          <w:sz w:val="18"/>
        </w:rPr>
        <w:t>Addario A et al.  ·  Vaccine  ·  17.09.2026  ·  PMID 42594637</w:t>
      </w:r>
    </w:p>
    <w:p>
      <w:r>
        <w:t>Querschnittsumfrage bei 2416 Personen ≥60 Jahren in Frankreich zu Effektivität von Impfbotschaften unter Einsatz von Social Marketing; drei Verhaltensadhärenz-Profile.</w:t>
      </w:r>
    </w:p>
    <w:p>
      <w:r>
        <w:rPr>
          <w:b/>
        </w:rPr>
        <w:t xml:space="preserve">Ergebnis: </w:t>
      </w:r>
      <w:r>
        <w:t>Zustimmung zu 'Impfung trägt zu gesundem Altern bei' stieg von 3% (niedrige Adhärenz) auf 56% (mittlere) und 78% (hohe). Botschaften zu Schlaganfall- und Herzinfarktreduktion zeigten höchste Impfabsicht (69% und 67% in hoher-Adhärenz-Gruppe). Vertrauenswürdige Gesundheitsfachleute waren Informationsquelle Nr. 1 (93–95%). Impfgutscheine: 57% (mittlere) bis 81% (hohe Adhärenz) würden sich impfen lassen.</w:t>
      </w:r>
    </w:p>
    <w:p>
      <w:r>
        <w:rPr>
          <w:b/>
          <w:sz w:val="19"/>
        </w:rPr>
        <w:t xml:space="preserve">Übertragbarkeit: </w:t>
      </w:r>
      <w:r>
        <w:rPr>
          <w:sz w:val="19"/>
        </w:rPr>
        <w:t>Frankreich, europäisches Gesundheitssystem; Transfer für Kommunikationsstrategie hoch</w:t>
      </w:r>
    </w:p>
    <w:p>
      <w:r>
        <w:rPr>
          <w:color w:val="5A7D3A"/>
          <w:sz w:val="18"/>
        </w:rPr>
        <w:t>https://pubmed.ncbi.nlm.nih.gov/42594637/</w:t>
      </w:r>
    </w:p>
    <w:p>
      <w:pPr>
        <w:pStyle w:val="Heading2"/>
      </w:pPr>
      <w:r>
        <w:t>Chair-Stand-Test als Mortalitätsprädiktor bei hochfunktionalen älteren Erwachsenen</w:t>
      </w:r>
    </w:p>
    <w:p>
      <w:r>
        <w:rPr>
          <w:i/>
          <w:color w:val="666666"/>
          <w:sz w:val="18"/>
        </w:rPr>
        <w:t>Máximo RO et al.  ·  Maturitas  ·  04.08.2026  ·  PMID 42570528</w:t>
      </w:r>
    </w:p>
    <w:p>
      <w:r>
        <w:t>2747 hochfunktionale ältere Erwachsene (Gehgeschwindigkeit &gt;0,8 oder &gt;1,0 m/s) der English Longitudinal Study of Ageing wurden 15 Jahre lang verfolgt; Mortalität nach Chair Stand Test und SPPB verglichen.</w:t>
      </w:r>
    </w:p>
    <w:p>
      <w:r>
        <w:rPr>
          <w:b/>
        </w:rPr>
        <w:t xml:space="preserve">Ergebnis: </w:t>
      </w:r>
      <w:r>
        <w:t>Mortalitätsraten: CST &gt;15 s: 41,4 pro 1000 Personenjahre vs. ≤15 s: 21,9. HR für CST &gt;15 s: 1,36 (95%-KI 1,13–1,62); für SPPB ≤10: HR 1,31 (95%-KI 1,12–1,54). Bei Gehgeschwindigkeit &gt;1,0 m/s: CST-HR 1,75 (95%-KI 1,30–2,36). CST ist einfacher anwendbar.</w:t>
      </w:r>
    </w:p>
    <w:p>
      <w:r>
        <w:rPr>
          <w:b/>
          <w:sz w:val="19"/>
        </w:rPr>
        <w:t xml:space="preserve">Übertragbarkeit: </w:t>
      </w:r>
      <w:r>
        <w:rPr>
          <w:sz w:val="19"/>
        </w:rPr>
        <w:t>England, vergleichbare Klinikpopulationen; schnelles, praktisches Test-Screening</w:t>
      </w:r>
    </w:p>
    <w:p>
      <w:r>
        <w:rPr>
          <w:color w:val="5A7D3A"/>
          <w:sz w:val="18"/>
        </w:rPr>
        <w:t>https://pubmed.ncbi.nlm.nih.gov/42570528/</w:t>
      </w:r>
    </w:p>
    <w:p>
      <w:pPr>
        <w:pStyle w:val="Heading2"/>
      </w:pPr>
      <w:r>
        <w:t>Renteneintritt und psychische Gesundheit: Kurzfristig besser, langfristig Erholung begrenzt</w:t>
      </w:r>
    </w:p>
    <w:p>
      <w:r>
        <w:rPr>
          <w:i/>
          <w:color w:val="666666"/>
          <w:sz w:val="18"/>
        </w:rPr>
        <w:t>Maddock J et al.  ·  Epidemiol Psychiatr Sci  ·  05.08.2026  ·  PMID 42552948</w:t>
      </w:r>
    </w:p>
    <w:p>
      <w:r>
        <w:t>Multilevel und instrumentale Variable Analyse bei 10698 Personen (48815 Beobachtungen) aus Survey of Health, Ageing and Retirement in Europe über 20 Jahre (10 Länder); Renteneintritt und Depressivität (EURO-D-Skala).</w:t>
      </w:r>
    </w:p>
    <w:p>
      <w:r>
        <w:rPr>
          <w:b/>
        </w:rPr>
        <w:t xml:space="preserve">Ergebnis: </w:t>
      </w:r>
      <w:r>
        <w:t>Spline-Modelle: minimal Veränderung vor Rente. Bei Renteneintritt leichte EURO-D-Reduktion (–0,07 Punkte/Jahr; 95%-KI –0,13 bis –0,0003), dann ab 2 Jahre post-Rente Anstieg (0,09/Jahr; 95%-KI 0,02–0,16). IV-Analyse: Rente assoziiert mit weniger Depressionssymptomen (–0,26; 95%-KI –0,45 bis –0,07). Alleinstehende berichteten höhere Depressivität, aber Wohnstatus moderierte Effekt nicht.</w:t>
      </w:r>
    </w:p>
    <w:p>
      <w:r>
        <w:rPr>
          <w:b/>
          <w:sz w:val="19"/>
        </w:rPr>
        <w:t xml:space="preserve">Übertragbarkeit: </w:t>
      </w:r>
      <w:r>
        <w:rPr>
          <w:sz w:val="19"/>
        </w:rPr>
        <w:t>10 europäische Länder, vergleichbare Rentensysteme; Evidenz für deutsche Sozialversicherung relevant</w:t>
      </w:r>
    </w:p>
    <w:p>
      <w:r>
        <w:rPr>
          <w:color w:val="5A7D3A"/>
          <w:sz w:val="18"/>
        </w:rPr>
        <w:t>https://pubmed.ncbi.nlm.nih.gov/42552948/</w:t>
      </w:r>
    </w:p>
    <w:p>
      <w:pPr>
        <w:pStyle w:val="Heading2"/>
      </w:pPr>
      <w:r>
        <w:t>Sexuelle Gesundheit älterer Menschen in Hausarztpraxen: Barrieren und Handlungsempfehlungen</w:t>
      </w:r>
    </w:p>
    <w:p>
      <w:r>
        <w:rPr>
          <w:i/>
          <w:color w:val="666666"/>
          <w:sz w:val="18"/>
        </w:rPr>
        <w:t>Kocurkova A et al.  ·  Age Ageing  ·  02.07.2026  ·  PMID 42506889</w:t>
      </w:r>
    </w:p>
    <w:p>
      <w:r>
        <w:t>Qualitative Studie (16 halbstrukturierte Interviews) mit NHS-Hausarztfachkräften in England zur Erfahrung bei Gesprächen über Sexualität mit älteren Patienten.</w:t>
      </w:r>
    </w:p>
    <w:p>
      <w:r>
        <w:rPr>
          <w:b/>
        </w:rPr>
        <w:t xml:space="preserve">Ergebnis: </w:t>
      </w:r>
      <w:r>
        <w:t>Drei Hauptthemen identifiziert: (1) Unbewusste Annahmen, Fachleute-Unbehagen und Zeitmangel begrenzen Diskussionen; (2) körperliche Symptome sind 'natürliche Öffner', Gespräche bleiben aber medizinisch-fokussiert; (3) minimale Nutzung von Leitlinien, stattdessen Intuition/Erfahrung. Fachkräfte fordern klare, prägnante, psychologisch informierte Werkzeuge und Training. Sexuelle Gesundheit wird nicht als Qualitätsaspekt im Alter normalisiert.</w:t>
      </w:r>
    </w:p>
    <w:p>
      <w:r>
        <w:rPr>
          <w:b/>
          <w:sz w:val="19"/>
        </w:rPr>
        <w:t xml:space="preserve">Übertragbarkeit: </w:t>
      </w:r>
      <w:r>
        <w:rPr>
          <w:sz w:val="19"/>
        </w:rPr>
        <w:t>England, NHS-Setting; Befunde zu Versorgungspraxen direkt übertragbar</w:t>
      </w:r>
    </w:p>
    <w:p>
      <w:r>
        <w:rPr>
          <w:color w:val="5A7D3A"/>
          <w:sz w:val="18"/>
        </w:rPr>
        <w:t>https://pubmed.ncbi.nlm.nih.gov/42506889/</w:t>
      </w:r>
    </w:p>
    <w:p>
      <w:pPr>
        <w:pStyle w:val="Heading1"/>
      </w:pPr>
      <w:r>
        <w:t>Aufgenommen am 26.08.2026</w:t>
      </w:r>
    </w:p>
    <w:p>
      <w:pPr>
        <w:pStyle w:val="Heading2"/>
      </w:pPr>
      <w:r>
        <w:t>Geriatrisches Assessment senkt Aufenthaltsdauer bei älteren Krankenhauspatienten</w:t>
      </w:r>
    </w:p>
    <w:p>
      <w:r>
        <w:rPr>
          <w:i/>
          <w:color w:val="666666"/>
          <w:sz w:val="18"/>
        </w:rPr>
        <w:t>Ahmed R et al.  ·  Ir Med J  ·  20.08.2026  ·  PMID 42640196</w:t>
      </w:r>
    </w:p>
    <w:p>
      <w:r>
        <w:t>Evaluierung eines neu eingeführten spezialistischen Geriatrie-Service mit Comprehensive Geriatric Assessment (CGA) in einem irischen Privatspital bei Patienten ab 75 Jahren.</w:t>
      </w:r>
    </w:p>
    <w:p>
      <w:r>
        <w:rPr>
          <w:b/>
        </w:rPr>
        <w:t xml:space="preserve">Ergebnis: </w:t>
      </w:r>
      <w:r>
        <w:t>84% der Patienten (42/50) wurden innerhalb von 48 Stunden geriatrisch untersucht (Median 29 Stunden). Multidisziplinäres Team-Engagement stieg von 45% auf 70%, Aufenthaltsdauer sank um 22% (von 8,7 auf 6,8 Tage), 66% wurden direkt nach Hause entlassen, 30-Tage-Wiederaufnahmen 10%.</w:t>
      </w:r>
    </w:p>
    <w:p>
      <w:r>
        <w:rPr>
          <w:b/>
          <w:sz w:val="19"/>
        </w:rPr>
        <w:t xml:space="preserve">Übertragbarkeit: </w:t>
      </w:r>
      <w:r>
        <w:rPr>
          <w:sz w:val="19"/>
        </w:rPr>
        <w:t>Irland, vergleichbare europäische Privatklinik-Strukturen, HSE-Qualitätsstandards</w:t>
      </w:r>
    </w:p>
    <w:p>
      <w:r>
        <w:rPr>
          <w:color w:val="5A7D3A"/>
          <w:sz w:val="18"/>
        </w:rPr>
        <w:t>https://pubmed.ncbi.nlm.nih.gov/42640196/</w:t>
      </w:r>
    </w:p>
    <w:p>
      <w:pPr>
        <w:pStyle w:val="Heading1"/>
      </w:pPr>
      <w:r>
        <w:t>Aufgenommen am 25.08.2026</w:t>
      </w:r>
    </w:p>
    <w:p>
      <w:pPr>
        <w:pStyle w:val="Heading2"/>
      </w:pPr>
      <w:r>
        <w:t>Langzeitverläufe der intrinsischen Kapazität vorhersagen Pflegeheimaufnahme und Mortalität</w:t>
      </w:r>
    </w:p>
    <w:p>
      <w:r>
        <w:rPr>
          <w:i/>
          <w:color w:val="666666"/>
          <w:sz w:val="18"/>
        </w:rPr>
        <w:t>Egbujie BA et al.  ·  Age Ageing  ·  03.08.2026  ·  PMID 42632919</w:t>
      </w:r>
    </w:p>
    <w:p>
      <w:r>
        <w:t>Kanadische Populationsstudie zu Längsmustern der intrinsischen Kapazität (Mobilität, Vitalität, Kognition, Psychisches, Sensorik) bei 302.467 Patienten häuslicher Pflege und Vorhersage von Outcomes.</w:t>
      </w:r>
    </w:p>
    <w:p>
      <w:r>
        <w:rPr>
          <w:b/>
        </w:rPr>
        <w:t xml:space="preserve">Ergebnis: </w:t>
      </w:r>
      <w:r>
        <w:t>Fünf distinkte Trajektorienmuster identifiziert; kognitive Beeinträchtigung war mit ungünstigen Trajectories assoziiert. Wichtig: Baseline-Kapazität allein war prognostisch unzureichend. Personen mit mäßiger Baseline-Kapazität zeigten höhere LTC-Einweisung als Personen mit niedriger Kapazität, die sich verbesserten (48,4 % vs. 38,1 %).</w:t>
      </w:r>
    </w:p>
    <w:p>
      <w:r>
        <w:rPr>
          <w:b/>
          <w:sz w:val="19"/>
        </w:rPr>
        <w:t xml:space="preserve">Übertragbarkeit: </w:t>
      </w:r>
      <w:r>
        <w:rPr>
          <w:sz w:val="19"/>
        </w:rPr>
        <w:t>Kanada, interRAI Home Care Routinedaten, Ansatz auf deutsches Assessment übertragbar.</w:t>
      </w:r>
    </w:p>
    <w:p>
      <w:r>
        <w:rPr>
          <w:color w:val="5A7D3A"/>
          <w:sz w:val="18"/>
        </w:rPr>
        <w:t>https://pubmed.ncbi.nlm.nih.gov/42632919/</w:t>
      </w:r>
    </w:p>
    <w:p>
      <w:pPr>
        <w:pStyle w:val="Heading2"/>
      </w:pPr>
      <w:r>
        <w:t>Gemeinsamer Gedächtnis- und Kognitionsverfall erhöht Risiko für Funktionsabhängigkeit im Alter</w:t>
      </w:r>
    </w:p>
    <w:p>
      <w:r>
        <w:rPr>
          <w:i/>
          <w:color w:val="666666"/>
          <w:sz w:val="18"/>
        </w:rPr>
        <w:t>Yin X et al.  ·  Alzheimers Dement  ·  Aug. 2026  ·  PMID 42630086</w:t>
      </w:r>
    </w:p>
    <w:p>
      <w:r>
        <w:t>Harmonisierte Längsschnittanalyse von vier Kohorten (China, USA, England, Europa) zur Vorhersage funktioneller Abhängigkeit durch gleichzeitige Veränderungen subjektiver und objektiver kognitiver Parameter.</w:t>
      </w:r>
    </w:p>
    <w:p>
      <w:r>
        <w:rPr>
          <w:b/>
        </w:rPr>
        <w:t xml:space="preserve">Ergebnis: </w:t>
      </w:r>
      <w:r>
        <w:t>Unter 62.329 Teilnehmern mit vollständiger Analyse war gleichzeitiger kognitiver Verfall am stärksten mit funktioneller Abhängigkeit assoziiert (Hazard Ratio 1,47; 95%-KI 1,38–1,57), stärker als einzelne Defizite (subjektiv-nur HR 1,22; objektiv-nur HR 1,12). In Konkurrenzrisiko-Analysen blieb der Zusammenhang robust (gepoolte HR 1,39; 95%-KI 1,27–1,51).</w:t>
      </w:r>
    </w:p>
    <w:p>
      <w:r>
        <w:rPr>
          <w:b/>
          <w:sz w:val="19"/>
        </w:rPr>
        <w:t xml:space="preserve">Übertragbarkeit: </w:t>
      </w:r>
      <w:r>
        <w:rPr>
          <w:sz w:val="19"/>
        </w:rPr>
        <w:t>Vier Kontinente, bevölkerungsrepräsentative Kohorten mit konsistenten Mustern.</w:t>
      </w:r>
    </w:p>
    <w:p>
      <w:r>
        <w:rPr>
          <w:color w:val="5A7D3A"/>
          <w:sz w:val="18"/>
        </w:rPr>
        <w:t>https://pubmed.ncbi.nlm.nih.gov/42630086/</w:t>
      </w:r>
    </w:p>
    <w:p>
      <w:pPr>
        <w:pStyle w:val="Heading1"/>
      </w:pPr>
      <w:r>
        <w:t>Aufgenommen am 24.08.2026</w:t>
      </w:r>
    </w:p>
    <w:p>
      <w:pPr>
        <w:pStyle w:val="Heading2"/>
      </w:pPr>
      <w:r>
        <w:t>Frailty-bedingte Nachfrage nach Gemeindeversorgung in England 2025–2040: Simulationen zeigen Potenzial von Frailty-Prävention, aber anhaltende Steigerung der Leistungsnutzung</w:t>
      </w:r>
    </w:p>
    <w:p>
      <w:r>
        <w:rPr>
          <w:i/>
          <w:color w:val="666666"/>
          <w:sz w:val="18"/>
        </w:rPr>
        <w:t>Walsh B et al.  ·  Age Ageing  ·  03.08.2026  ·  PMID 42632917</w:t>
      </w:r>
    </w:p>
    <w:p>
      <w:r>
        <w:t>Simulationsmodellierung auf englischen Routinedaten projiziert die Nachfrage nach psychosozialer Unterstützung, Gemeindegesundheit und Sozialhilfe für Menschen ≥50 Jahren mit Frailty bis 2040.</w:t>
      </w:r>
    </w:p>
    <w:p>
      <w:r>
        <w:rPr>
          <w:b/>
        </w:rPr>
        <w:t xml:space="preserve">Ergebnis: </w:t>
      </w:r>
      <w:r>
        <w:t>Mentale Gesundheit, Gemeindegesundheit und kommunale Sozialhilfe werden bis 2040 um 16 %, 30 % bzw. 30 % zunehmen. Senkung der Frailty-Inzidenz könnte zwischen 2025 und 2040 mentale Gesundheitskontakte um 1,4 Mio., Gemeindegesundheitskontakte um 10 Mio. und Sozialhilfefallanfragen um 400.000 reduzieren. Nachfrage wird trotz Prävention weiter wachsen, da bereits viele Menschen mit milder bis moderater Frailty leben.</w:t>
      </w:r>
    </w:p>
    <w:p>
      <w:r>
        <w:rPr>
          <w:b/>
          <w:sz w:val="19"/>
        </w:rPr>
        <w:t xml:space="preserve">Übertragbarkeit: </w:t>
      </w:r>
      <w:r>
        <w:rPr>
          <w:sz w:val="19"/>
        </w:rPr>
        <w:t>Englische NHS-Daten, die Ergebnisse sind für deutsches Gesundheitswesen gut übertragbar bezüglich Versorgungsplanung älter werdender Bevölkerung.</w:t>
      </w:r>
    </w:p>
    <w:p>
      <w:r>
        <w:rPr>
          <w:color w:val="5A7D3A"/>
          <w:sz w:val="18"/>
        </w:rPr>
        <w:t>https://pubmed.ncbi.nlm.nih.gov/42632917/</w:t>
      </w:r>
    </w:p>
    <w:p>
      <w:pPr>
        <w:pStyle w:val="Heading2"/>
      </w:pPr>
      <w:r>
        <w:t>Temporäre Mitarbeitende in der schwedischen Altenhilfe erschweren Kontinuität und belasten Stammpersonal: qualitative Managerstudie</w:t>
      </w:r>
    </w:p>
    <w:p>
      <w:r>
        <w:rPr>
          <w:i/>
          <w:color w:val="666666"/>
          <w:sz w:val="18"/>
        </w:rPr>
        <w:t>Lindmark T et al.  ·  BMC Health Serv Res  ·  29.07.2026  ·  PMID 42527915</w:t>
      </w:r>
    </w:p>
    <w:p>
      <w:r>
        <w:t>16 qualitative Interviews mit Managern auf vier Ebenen der schwedischen Altenhilfe (Heime, Ambulante Dienste, Administration) zu Chancen und Herausforderungen temporärer Beschäftigung.</w:t>
      </w:r>
    </w:p>
    <w:p>
      <w:r>
        <w:rPr>
          <w:b/>
        </w:rPr>
        <w:t xml:space="preserve">Ergebnis: </w:t>
      </w:r>
      <w:r>
        <w:t>Drei Themen: Balance zwischen Personaldeckung und Improvisation, Mangel an lokaler Kontrollierbarkeit der Rekrutierung, Spannung zwischen Flexibilität und Stabilität. Temporäre Mitarbeitende decken Lücken, erhöhen aber die Last auf Stammpersonal und erschweren Kontinuität. Erste-Linie-Manager fokussieren auf Tagesdeckung und Mitarbeiterschutz, höhere Manager auf Langzeitplanung. Zentrale Personalentscheidungen bevorzugen kurzfristige Deckung über Stabilität.</w:t>
      </w:r>
    </w:p>
    <w:p>
      <w:r>
        <w:rPr>
          <w:b/>
          <w:sz w:val="19"/>
        </w:rPr>
        <w:t xml:space="preserve">Übertragbarkeit: </w:t>
      </w:r>
      <w:r>
        <w:rPr>
          <w:sz w:val="19"/>
        </w:rPr>
        <w:t>Schweden, nordisches Sozialsystem mit öffentlicher Altenhilfe – Befunde zu Personalmanagement übertragbar auf Deutschland.</w:t>
      </w:r>
    </w:p>
    <w:p>
      <w:r>
        <w:rPr>
          <w:color w:val="5A7D3A"/>
          <w:sz w:val="18"/>
        </w:rPr>
        <w:t>https://pubmed.ncbi.nlm.nih.gov/42527915/</w:t>
      </w:r>
    </w:p>
    <w:p>
      <w:pPr>
        <w:pStyle w:val="Heading1"/>
      </w:pPr>
      <w:r>
        <w:t>Aufgenommen am 23.08.2026</w:t>
      </w:r>
    </w:p>
    <w:p>
      <w:pPr>
        <w:pStyle w:val="Heading2"/>
      </w:pPr>
      <w:r>
        <w:t>Psychosoziale und wirtschaftliche Faktoren gesunden Alterns in Europa: systematische Übersicht mit Syntheserahmen</w:t>
      </w:r>
    </w:p>
    <w:p>
      <w:r>
        <w:rPr>
          <w:i/>
          <w:color w:val="666666"/>
          <w:sz w:val="18"/>
        </w:rPr>
        <w:t>Wypych-Ślusarska A et al.  ·  Front Public Health  ·  06.08.2026  ·  PMID 42625570</w:t>
      </w:r>
    </w:p>
    <w:p>
      <w:r>
        <w:t>Systematische Übersicht europäischer Studien (2019-2024) zur Evidenz für psychosoziale und sozioökonomische Determinanten gesunden Alterns bei Älteren ≥65 Jahren in Europa.</w:t>
      </w:r>
    </w:p>
    <w:p>
      <w:r>
        <w:rPr>
          <w:b/>
        </w:rPr>
        <w:t xml:space="preserve">Ergebnis: </w:t>
      </w:r>
      <w:r>
        <w:t>Konsistente Evidenz für Schutzfunktion von sozialen Netzen, sozialer Integration und verminderter Einsamkeit für Gesundheit, Wohlbefinden und kognitive Funktionsfähigkeit. Autonomie und Unabhängigkeit traten als zentrale Elemente positiven Alterns hervor, ebenso Engagement in sozialen, physischen und beruflichen Aktivitäten. Literatur unterstreicht Bedarf für Public-Health-Politiken und Gemeindeumgebungen, die positives Altern durch integrierte physische, psychosoziale und soziale Strategien unterstützen. Die beiden übergeordneten Themenbereiche: psychosoziale und wirtschaftliche Determinanten, und soziale Programme/gemeindegestützte Interventionen.</w:t>
      </w:r>
    </w:p>
    <w:p>
      <w:r>
        <w:rPr>
          <w:b/>
          <w:sz w:val="19"/>
        </w:rPr>
        <w:t xml:space="preserve">Übertragbarkeit: </w:t>
      </w:r>
      <w:r>
        <w:rPr>
          <w:sz w:val="19"/>
        </w:rPr>
        <w:t>Europäische Studienbasis einschließlich Deutschland, vergleichbare Sozialversicherungssysteme</w:t>
      </w:r>
    </w:p>
    <w:p>
      <w:r>
        <w:rPr>
          <w:color w:val="5A7D3A"/>
          <w:sz w:val="18"/>
        </w:rPr>
        <w:t>https://pubmed.ncbi.nlm.nih.gov/42625570/</w:t>
      </w:r>
    </w:p>
    <w:p>
      <w:pPr>
        <w:pStyle w:val="Heading1"/>
      </w:pPr>
      <w:r>
        <w:t>Aufgenommen am 22.08.2026</w:t>
      </w:r>
    </w:p>
    <w:p>
      <w:pPr>
        <w:pStyle w:val="Heading2"/>
      </w:pPr>
      <w:r>
        <w:t>Körperliches Training reduziert kognitive Gebrechlichkeit zu 35 % über Stärkung der Selbstwirksamkeit</w:t>
      </w:r>
    </w:p>
    <w:p>
      <w:r>
        <w:rPr>
          <w:i/>
          <w:color w:val="666666"/>
          <w:sz w:val="18"/>
        </w:rPr>
        <w:t>Liang D et al.  ·  Front Public Health  ·  06.08.2026  ·  PMID 42625706</w:t>
      </w:r>
    </w:p>
    <w:p>
      <w:r>
        <w:t>Querschnittbefragung von 563 Gemeindemitbewohnern (≥60 J.) in Henan, China zu Zusammenhang zwischen körperlichem Training, Selbstwirksamkeit und kognitiver Gebrechlichkeit (Frailty + Kognition).</w:t>
      </w:r>
    </w:p>
    <w:p>
      <w:r>
        <w:rPr>
          <w:b/>
        </w:rPr>
        <w:t xml:space="preserve">Ergebnis: </w:t>
      </w:r>
      <w:r>
        <w:t>Prävalenz kognitive Gebrechlichkeit 21,3 %. Körperliches Training assoziiert mit weniger kognitiver Gebrechlichkeit; Selbstwirksamkeit mediiert 35,17 % dieses Effekts. Vollständiges Mediationsmodell unterstützt indirekten Weg über Selbstvertrauen.</w:t>
      </w:r>
    </w:p>
    <w:p>
      <w:r>
        <w:rPr>
          <w:b/>
          <w:sz w:val="19"/>
        </w:rPr>
        <w:t xml:space="preserve">Übertragbarkeit: </w:t>
      </w:r>
      <w:r>
        <w:rPr>
          <w:sz w:val="19"/>
        </w:rPr>
        <w:t>China-Studie mit großer Stichprobe, aber kulturelle und Gesundheitssystem-Unterschiede beachten – Mechanismus (Selbstwirksamkeit) transnational relevant.</w:t>
      </w:r>
    </w:p>
    <w:p>
      <w:r>
        <w:rPr>
          <w:color w:val="5A7D3A"/>
          <w:sz w:val="18"/>
        </w:rPr>
        <w:t>https://pubmed.ncbi.nlm.nih.gov/42625706/</w:t>
      </w:r>
    </w:p>
    <w:p>
      <w:pPr>
        <w:pStyle w:val="Heading2"/>
      </w:pPr>
      <w:r>
        <w:t>Loneliness and social isolation verringern die verbleibenden gesunden Lebensjahre deutlicher als physische Erkrankungen</w:t>
      </w:r>
    </w:p>
    <w:p>
      <w:r>
        <w:rPr>
          <w:i/>
          <w:color w:val="666666"/>
          <w:sz w:val="18"/>
        </w:rPr>
        <w:t>Wang X et al.  ·  Nat Commun  ·  20.08.2026  ·  PMID 42624836</w:t>
      </w:r>
    </w:p>
    <w:p>
      <w:r>
        <w:t>Querschnittanalyse von 277.489 britischen Erwachsenen ohne Erkrankungen zum Zusammenhang zwischen Einsamkeit, sozialer Isolation und der Lebensdauer frei von Krankheit.</w:t>
      </w:r>
    </w:p>
    <w:p>
      <w:r>
        <w:rPr>
          <w:b/>
        </w:rPr>
        <w:t xml:space="preserve">Ergebnis: </w:t>
      </w:r>
      <w:r>
        <w:t>Frauen mit Einsamkeit und sozialer Isolation verlieren 2,4 Jahre physisch krankheitsfrei und 3,7 Jahre mental krankheitsfrei; Männer verlieren 1,7 bzw. 5,8 Jahre. Soziale Isolation lässt sich durch gesunde Lebensstile teilweise ausgleichen (signifikant), nicht aber Einsamkeit.</w:t>
      </w:r>
    </w:p>
    <w:p>
      <w:r>
        <w:rPr>
          <w:b/>
          <w:sz w:val="19"/>
        </w:rPr>
        <w:t xml:space="preserve">Übertragbarkeit: </w:t>
      </w:r>
      <w:r>
        <w:rPr>
          <w:sz w:val="19"/>
        </w:rPr>
        <w:t>UK Biobank, vergleichbare Altersstruktur und Sozialversicherung; übertragbar auf deutsche Verhältnisse.</w:t>
      </w:r>
    </w:p>
    <w:p>
      <w:r>
        <w:rPr>
          <w:color w:val="5A7D3A"/>
          <w:sz w:val="18"/>
        </w:rPr>
        <w:t>https://pubmed.ncbi.nlm.nih.gov/42624836/</w:t>
      </w:r>
    </w:p>
    <w:p>
      <w:pPr>
        <w:pStyle w:val="Heading1"/>
      </w:pPr>
      <w:r>
        <w:t>Aufgenommen am 21.08.2026</w:t>
      </w:r>
    </w:p>
    <w:p>
      <w:pPr>
        <w:pStyle w:val="Heading2"/>
      </w:pPr>
      <w:r>
        <w:t>Heimgestützte multikomponenten Intervention bei Frailty und Prefrailty in älteren Krebsüberlebenden: Pilotuntersuchung</w:t>
      </w:r>
    </w:p>
    <w:p>
      <w:r>
        <w:rPr>
          <w:i/>
          <w:color w:val="666666"/>
          <w:sz w:val="18"/>
        </w:rPr>
        <w:t>Drevet S et al.  ·  Age Ageing  ·  03.08.2026  ·  PMID 42621847</w:t>
      </w:r>
    </w:p>
    <w:p>
      <w:r>
        <w:t>Quasi-experimentelle Vorher-Nachher-Studie (6 Monate) mit 110 Patienten ≥70 Jahren in Remission (Fried-Kriterien erfüllt). Intervention: betreute Übungen + Ernährungsunterstützung. Primärer Endpunkt: Anteil mit Frailty-/Prefrailty-Verbesserung von Baseline (M0) zu M6.</w:t>
      </w:r>
    </w:p>
    <w:p>
      <w:r>
        <w:rPr>
          <w:b/>
        </w:rPr>
        <w:t xml:space="preserve">Ergebnis: </w:t>
      </w:r>
      <w:r>
        <w:t>81 von 110 Teilnehmern vollendeten die Intervention. Baseline: 45% frail, 0% robust. Bei M6: 62% verbesserten ihren Frailty-Status; 78% der Frail zeigten Besserung, 51% der Prefrail wurden robust. Frailty-Schweregrad sank bei 74% der Teilnehmer. Vitamin-D zeigte Gruppen×Zeit-Interaktion; unterschiedliche Frailty-Trajektorien je nach Vitamin-D-Status. Funktionelle und physische Maße bei Baseline assoziiert mit Frailty (p&lt;0,05), nicht aber Tumor-Charakteristika.</w:t>
      </w:r>
    </w:p>
    <w:p>
      <w:r>
        <w:rPr>
          <w:b/>
          <w:sz w:val="19"/>
        </w:rPr>
        <w:t xml:space="preserve">Übertragbarkeit: </w:t>
      </w:r>
      <w:r>
        <w:rPr>
          <w:sz w:val="19"/>
        </w:rPr>
        <w:t>Frankreich, geriatrische Rehab in Praxis; multikomponenten Ansatz auch auf deutsches Versorgungssystem übertragbar</w:t>
      </w:r>
    </w:p>
    <w:p>
      <w:r>
        <w:rPr>
          <w:color w:val="5A7D3A"/>
          <w:sz w:val="18"/>
        </w:rPr>
        <w:t>https://pubmed.ncbi.nlm.nih.gov/42621847/</w:t>
      </w:r>
    </w:p>
    <w:p>
      <w:pPr>
        <w:pStyle w:val="Heading2"/>
      </w:pPr>
      <w:r>
        <w:t>Verankering älterer Menschen in globalen Klimaanpassungsplänen: Analyse von 204 Ländern</w:t>
      </w:r>
    </w:p>
    <w:p>
      <w:r>
        <w:rPr>
          <w:i/>
          <w:color w:val="666666"/>
          <w:sz w:val="18"/>
        </w:rPr>
        <w:t>Katz GM et al.  ·  Lancet Healthy Longev  ·  12.08.2026  ·  PMID 42586104</w:t>
      </w:r>
    </w:p>
    <w:p>
      <w:r>
        <w:t>Dokumentenanalyse von 204 Nationalstaaten zu Berücksichtigung älterer Menschen (≥65 Jahre) in Klimaanpassungsplänen. Identifiziert 16 Adaptationsthemen (Temperaturschutz, Partizipation, Katastrophenvorsorge, etc.) und deren Häufigkeit in nationalen Strategien.</w:t>
      </w:r>
    </w:p>
    <w:p>
      <w:r>
        <w:rPr>
          <w:b/>
        </w:rPr>
        <w:t xml:space="preserve">Ergebnis: </w:t>
      </w:r>
      <w:r>
        <w:t>125 Länder (61,3%) integrieren 1–5 Themen, 2 Länder (1,0%) sechs bis zehn, 1 Land (0,5%) ≥11 Themen, 77 Länder (37,7%) keine Themen. Häufigste Themen: extreme Hitze, Partizipation Älterer, Katastrophenprävention. Nur 47 Länder (23%) beschreiben konkrete Maßnahmen, Programme oder Finanzierungszusagen für ältere Menschen. Befund: erhebliche Lücken in der Berücksichtigung älterter Menschen in Klimapolitik.</w:t>
      </w:r>
    </w:p>
    <w:p>
      <w:r>
        <w:rPr>
          <w:b/>
          <w:sz w:val="19"/>
        </w:rPr>
        <w:t xml:space="preserve">Übertragbarkeit: </w:t>
      </w:r>
      <w:r>
        <w:rPr>
          <w:sz w:val="19"/>
        </w:rPr>
        <w:t>Globale Perspektive, Deutschland in Stichprobe enthalten, zeigt Governance-Gap bei Umwelt und Gerontologie</w:t>
      </w:r>
    </w:p>
    <w:p>
      <w:r>
        <w:rPr>
          <w:color w:val="5A7D3A"/>
          <w:sz w:val="18"/>
        </w:rPr>
        <w:t>https://pubmed.ncbi.nlm.nih.gov/42586104/</w:t>
      </w:r>
    </w:p>
    <w:p>
      <w:pPr>
        <w:pStyle w:val="Heading1"/>
      </w:pPr>
      <w:r>
        <w:t>Aufgenommen am 20.08.2026</w:t>
      </w:r>
    </w:p>
    <w:p>
      <w:pPr>
        <w:pStyle w:val="Heading2"/>
      </w:pPr>
      <w:r>
        <w:t>Konzept des gesunden Alterns in Norwegen: Qualitative Analyse von Perspektiven älterer Menschen, Fachkräfte und Entscheidungsträger</w:t>
      </w:r>
    </w:p>
    <w:p>
      <w:r>
        <w:rPr>
          <w:i/>
          <w:color w:val="666666"/>
          <w:sz w:val="18"/>
        </w:rPr>
        <w:t>Bikova M et al.  ·  BMC Health Serv Res  ·  14.08.2026  ·  PMID 42613606</w:t>
      </w:r>
    </w:p>
    <w:p>
      <w:r>
        <w:t>Qualitative Studie mit 23 semi-strukturierten Interviews (ältere Menschen, Fachkräfte, Entscheidungsträger) zur Interpretation des UN-Jahrzehnts des gesunden Alterns in einer norwegischen Kommune.</w:t>
      </w:r>
    </w:p>
    <w:p>
      <w:r>
        <w:rPr>
          <w:b/>
        </w:rPr>
        <w:t xml:space="preserve">Ergebnis: </w:t>
      </w:r>
      <w:r>
        <w:t>Drei zentrale Themen: Strategien zur Bewältigung, gemischte Alterswahrnehmungen, Gesundheitsdienste. Ergebnis: Altern wird als kollektive Verantwortung betont, aber zunehmend Älteren selbst übertragen; Digitalisierung ist Barriere für vulnerable Gruppen; kommunale Dienste werden als qualitativ hochwertig, aber ressourcengeprägt wahrgenommen. Schnelle Digitalisierung und Individualisierung verschärfen Ungleichheiten.</w:t>
      </w:r>
    </w:p>
    <w:p>
      <w:r>
        <w:rPr>
          <w:b/>
          <w:sz w:val="19"/>
        </w:rPr>
        <w:t xml:space="preserve">Übertragbarkeit: </w:t>
      </w:r>
      <w:r>
        <w:rPr>
          <w:sz w:val="19"/>
        </w:rPr>
        <w:t>Norwegen, skandinavisches Wohlfahrtssystem; Befunde zu Digitalisierungsbarrieren und Equity-Risiken übertragbar auf vergleichbare europäische Kontexte.</w:t>
      </w:r>
    </w:p>
    <w:p>
      <w:r>
        <w:rPr>
          <w:color w:val="5A7D3A"/>
          <w:sz w:val="18"/>
        </w:rPr>
        <w:t>https://pubmed.ncbi.nlm.nih.gov/42613606/</w:t>
      </w:r>
    </w:p>
    <w:p>
      <w:pPr>
        <w:pStyle w:val="Heading2"/>
      </w:pPr>
      <w:r>
        <w:t>Funktionale Performance im WHO-ICOPE-Rahmen: Brasilien und Europa zeigen zehn Jahre Unterschied in Funktionsverlust</w:t>
      </w:r>
    </w:p>
    <w:p>
      <w:r>
        <w:rPr>
          <w:i/>
          <w:color w:val="666666"/>
          <w:sz w:val="18"/>
        </w:rPr>
        <w:t>Oliveira VR et al.  ·  PLoS One  ·  05.08.2026  ·  PMID 42555548</w:t>
      </w:r>
    </w:p>
    <w:p>
      <w:r>
        <w:t>Vergleich von Determinanten der Funktionsfähigkeit (BADL/IADL) anhand von ELSI-Brasil (n=4825) und SHARE (n=25978) mit Analyse intrinsischer Kapazitätsdimensionen nach WHO-ICOPE-Modell.</w:t>
      </w:r>
    </w:p>
    <w:p>
      <w:r>
        <w:rPr>
          <w:b/>
        </w:rPr>
        <w:t xml:space="preserve">Ergebnis: </w:t>
      </w:r>
      <w:r>
        <w:t>Funktioneller Rückgang beginnt in Brasilien eine Dekade früher als in Europa. Risikomuster differieren: Mobilität–Handkraft schützender in Europa, Gehgeschwindigkeit Risikofaktor nur in Brasilien (OR 1,16); Depression höheres Risiko in Europa (OR 1,67–1,71) vs. Brasilien (OR 1,26–1,53); schlechte Selbsteinschätzung der Gesundheit stärkerer BADL-Risikofaktor in Brasilien (OR 2,72 vs. 2,07).</w:t>
      </w:r>
    </w:p>
    <w:p>
      <w:r>
        <w:rPr>
          <w:b/>
          <w:sz w:val="19"/>
        </w:rPr>
        <w:t xml:space="preserve">Übertragbarkeit: </w:t>
      </w:r>
      <w:r>
        <w:rPr>
          <w:sz w:val="19"/>
        </w:rPr>
        <w:t>Brasilien und Europa (SHARE), unterschiedliche Sozioökonomie; Befund zeigt kontextabhängige Risikofaktoren; ICOPE-Strategien müssen sozioökonomischen Unterschieden Rechnung tragen.</w:t>
      </w:r>
    </w:p>
    <w:p>
      <w:r>
        <w:rPr>
          <w:color w:val="5A7D3A"/>
          <w:sz w:val="18"/>
        </w:rPr>
        <w:t>https://pubmed.ncbi.nlm.nih.gov/42555548/</w:t>
      </w:r>
    </w:p>
    <w:p>
      <w:pPr>
        <w:pStyle w:val="Heading1"/>
      </w:pPr>
      <w:r>
        <w:t>Aufgenommen am 19.08.2026</w:t>
      </w:r>
    </w:p>
    <w:p>
      <w:pPr>
        <w:pStyle w:val="Heading2"/>
      </w:pPr>
      <w:r>
        <w:t>Frailty und kognitive Beeinträchtigung: Prospektive Assoziationen in fünf multinationalen Kohorten mit gepoolten Hazard Ratios</w:t>
      </w:r>
    </w:p>
    <w:p>
      <w:r>
        <w:rPr>
          <w:i/>
          <w:color w:val="666666"/>
          <w:sz w:val="18"/>
        </w:rPr>
        <w:t>Peng L et al.  ·  BMC Public Health  ·  25.07.2026  ·  PMID 42595986</w:t>
      </w:r>
    </w:p>
    <w:p>
      <w:r>
        <w:t>Länderübergreifende Metaanalyse von fünf Longitudinal-Kohorten (USA, England, Europa, China, Korea) mit insgesamt 47429 Teilnehmern zur Assoziation zwischen Baseline-Frailty-Status und kognitiver Beeinträchtigung sowie Frailty-Trajektorien und kognitiven Outcomes über 4–10 Jahre.</w:t>
      </w:r>
    </w:p>
    <w:p>
      <w:r>
        <w:rPr>
          <w:b/>
        </w:rPr>
        <w:t xml:space="preserve">Ergebnis: </w:t>
      </w:r>
      <w:r>
        <w:t>Pre-Frailty: gepoolte adjustierte HR 1,25 (95% CI 1,18–1,33) für kognitive Beeinträchtigung; Frailty: HR 1,69 (95% CI 1,50–1,90). Frailty-Trajektorien waren signifikant mit kognitiven Outcomes assoziiert (höhere Trajektorie: OR 1,45–4,37 für kognitive Beeinträchtigung; niedrigere: OR 0,46–0,72 protektiv). Befunde konsistent über alle Kohorten.</w:t>
      </w:r>
    </w:p>
    <w:p>
      <w:r>
        <w:rPr>
          <w:b/>
          <w:sz w:val="19"/>
        </w:rPr>
        <w:t xml:space="preserve">Übertragbarkeit: </w:t>
      </w:r>
      <w:r>
        <w:rPr>
          <w:sz w:val="19"/>
        </w:rPr>
        <w:t>HRS, ELSA, SHARE, CHARLS, KLoSA – europäische und non-europäische Daten, jedoch nur weil robust repliziert</w:t>
      </w:r>
    </w:p>
    <w:p>
      <w:r>
        <w:rPr>
          <w:color w:val="5A7D3A"/>
          <w:sz w:val="18"/>
        </w:rPr>
        <w:t>https://pubmed.ncbi.nlm.nih.gov/42595986/</w:t>
      </w:r>
    </w:p>
    <w:p>
      <w:pPr>
        <w:pStyle w:val="Heading2"/>
      </w:pPr>
      <w:r>
        <w:t>Akutgeriatrische Versorgungsmodelle in Dänemark: Nationale Bestandsaufnahme und Variabilität der Assessment-Praktiken</w:t>
      </w:r>
    </w:p>
    <w:p>
      <w:r>
        <w:rPr>
          <w:i/>
          <w:color w:val="666666"/>
          <w:sz w:val="18"/>
        </w:rPr>
        <w:t>Brockhattingen KK et al.  ·  Dan Med J  ·  02.07.2026  ·  PMID 42563704</w:t>
      </w:r>
    </w:p>
    <w:p>
      <w:r>
        <w:t>Nationale Querschnittsbefragung aller 20 Krankenhaus-Geriatriestationen in Dänemark zur Struktur, Teamzusammensetzung und Assessment-Funktionen in akutgeriatrischen Modellen für Patienten ≥65 Jahre mit akuter medizinischer Erkrankung.</w:t>
      </w:r>
    </w:p>
    <w:p>
      <w:r>
        <w:rPr>
          <w:b/>
        </w:rPr>
        <w:t xml:space="preserve">Ergebnis: </w:t>
      </w:r>
      <w:r>
        <w:t>Zwölf von 20 Stationen (60%) melden aktive akutgeriatrische Funktionen. Alle 12 führen diagnostische Bewertung, patientenzentrierte Evaluation und Basis-Assessments durch. Andere Elemente variabel: EKG (n=4–10/12), Ultraschall, Frailty-Assessment, interdisziplinäre Review, Koordination mit Community-Care (4–10/12). Erkenntnis: Große Variation in Struktur und Inhalten trotz Flächendeckung.</w:t>
      </w:r>
    </w:p>
    <w:p>
      <w:r>
        <w:rPr>
          <w:b/>
          <w:sz w:val="19"/>
        </w:rPr>
        <w:t xml:space="preserve">Übertragbarkeit: </w:t>
      </w:r>
      <w:r>
        <w:rPr>
          <w:sz w:val="19"/>
        </w:rPr>
        <w:t>Dänemark, europäisches Gesundheitssystem, vergleichbar mit deutschem Modell</w:t>
      </w:r>
    </w:p>
    <w:p>
      <w:r>
        <w:rPr>
          <w:color w:val="5A7D3A"/>
          <w:sz w:val="18"/>
        </w:rPr>
        <w:t>https://pubmed.ncbi.nlm.nih.gov/42563704/</w:t>
      </w:r>
    </w:p>
    <w:p>
      <w:pPr>
        <w:pStyle w:val="Heading1"/>
      </w:pPr>
      <w:r>
        <w:t>Aufgenommen am 18.08.2026</w:t>
      </w:r>
    </w:p>
    <w:p>
      <w:pPr>
        <w:pStyle w:val="Heading2"/>
      </w:pPr>
      <w:r>
        <w:t>Frailty-Verteilung und Sterblichkeit in Europa: Ländervergleich zeigt höchste Last in USA und Südosteuropa</w:t>
      </w:r>
    </w:p>
    <w:p>
      <w:r>
        <w:rPr>
          <w:i/>
          <w:color w:val="666666"/>
          <w:sz w:val="18"/>
        </w:rPr>
        <w:t>Drijver-Headley S et al.  ·  Age Ageing  ·  03.08.2026  ·  PMID 42607277</w:t>
      </w:r>
    </w:p>
    <w:p>
      <w:r>
        <w:t>Vergleichende Analyse von Frailty-Indizes, Sterblichkeit und Frailty-Progression in 17 Ländern mit unterschiedlichen Gesundheitssystemen.</w:t>
      </w:r>
    </w:p>
    <w:p>
      <w:r>
        <w:rPr>
          <w:b/>
        </w:rPr>
        <w:t xml:space="preserve">Ergebnis: </w:t>
      </w:r>
      <w:r>
        <w:t>In der USA, Mexiko und Südosteuropa war Gebrechlichkeit am höchsten, in Nord- und Zentraleuropa am niedrigsten; Sterblichkeit und Defizitakkumulation differierten erheblich zwischen Ländern, mit höchsten Werten in Mexiko. Meta-analytische Methoden zeigen, dass Frailty-Unterschiede zwischen Ländern wesentlich mit lokalen Einkommens- und Versorgungsstrukturen assoziiert sind.</w:t>
      </w:r>
    </w:p>
    <w:p>
      <w:r>
        <w:rPr>
          <w:b/>
          <w:sz w:val="19"/>
        </w:rPr>
        <w:t xml:space="preserve">Übertragbarkeit: </w:t>
      </w:r>
      <w:r>
        <w:rPr>
          <w:sz w:val="19"/>
        </w:rPr>
        <w:t>SHARE und ELSA (Europa) direkt vergleichbar; USA/Mexiko zeigen Effekte unterschiedlicher Finanzierung und sozialer Ungleichheit.</w:t>
      </w:r>
    </w:p>
    <w:p>
      <w:r>
        <w:rPr>
          <w:color w:val="5A7D3A"/>
          <w:sz w:val="18"/>
        </w:rPr>
        <w:t>https://pubmed.ncbi.nlm.nih.gov/42607277/</w:t>
      </w:r>
    </w:p>
    <w:p>
      <w:pPr>
        <w:pStyle w:val="Heading2"/>
      </w:pPr>
      <w:r>
        <w:t>Funktionelles Altern und Vermögensungleichheit: England und Kanada zeigen unterschiedliche Ungleichheitsgradienten</w:t>
      </w:r>
    </w:p>
    <w:p>
      <w:r>
        <w:rPr>
          <w:i/>
          <w:color w:val="666666"/>
          <w:sz w:val="18"/>
        </w:rPr>
        <w:t>Schrempft S et al.  ·  PLoS Med  ·  13.08.2026  ·  PMID 42594078</w:t>
      </w:r>
    </w:p>
    <w:p>
      <w:r>
        <w:t>Längsschnittstudie der Assoziation zwischen Vermögen und körperlicher Funktionsfähigkeit (Ganggeschwindigkeit, Griffstärke, Mobilitätseinschränkungen, ADL/IADL) in England und Kanada über 10 Jahre.</w:t>
      </w:r>
    </w:p>
    <w:p>
      <w:r>
        <w:rPr>
          <w:b/>
        </w:rPr>
        <w:t xml:space="preserve">Ergebnis: </w:t>
      </w:r>
      <w:r>
        <w:t>Bei weniger Vermögen: 15 Jahre Funktionsverlust bei Ganggeschwindigkeit in England vs. 9 Jahre in Kanada; 20 Jahre Funktionsverlust bei ADL-Schwierigkeiten in England vs. 9 Jahre in Kanada. Vermögensungleichheiten in der Funktionsfähigkeit waren größer in England trotz ähnlicher Gesundheitssysteme, bleiben nach Anpassung für Komorbiditäten bestehen.</w:t>
      </w:r>
    </w:p>
    <w:p>
      <w:r>
        <w:rPr>
          <w:b/>
          <w:sz w:val="19"/>
        </w:rPr>
        <w:t xml:space="preserve">Übertragbarkeit: </w:t>
      </w:r>
      <w:r>
        <w:rPr>
          <w:sz w:val="19"/>
        </w:rPr>
        <w:t>England und Kanada – beide gemäßigte Einkommen und ähnliche Sozialversicherung; Unterschied verdeutlicht Bedeutung von Vermögen neben Systemfinanzierung.</w:t>
      </w:r>
    </w:p>
    <w:p>
      <w:r>
        <w:rPr>
          <w:color w:val="5A7D3A"/>
          <w:sz w:val="18"/>
        </w:rPr>
        <w:t>https://pubmed.ncbi.nlm.nih.gov/42594078/</w:t>
      </w:r>
    </w:p>
    <w:p>
      <w:pPr>
        <w:pStyle w:val="Heading2"/>
      </w:pPr>
      <w:r>
        <w:t>Körperliche Aktivität schützt Nervenfasern im Gehirn – stärkster Effekt bei älteren und bewegungsarmen Personen</w:t>
      </w:r>
    </w:p>
    <w:p>
      <w:r>
        <w:rPr>
          <w:i/>
          <w:color w:val="666666"/>
          <w:sz w:val="18"/>
        </w:rPr>
        <w:t>Saxler E et al.  ·  Aging Cell  ·  Aug. 2026  ·  PMID 42568043</w:t>
      </w:r>
    </w:p>
    <w:p>
      <w:r>
        <w:t>Querschnittsstudie von 4.188 Teilnehmern (mittleres Alter 55,4 Jahre) der Rhineland-Studie zur Assoziation zwischen Beschleunigungsmesser-gemessener körperlicher Aktivität und Mikrostruktur weißer Substanz (Diffusions-MRT) mit Vermittlung durch Körpergewicht und kardiometabolische Faktoren.</w:t>
      </w:r>
    </w:p>
    <w:p>
      <w:r>
        <w:rPr>
          <w:b/>
        </w:rPr>
        <w:t xml:space="preserve">Ergebnis: </w:t>
      </w:r>
      <w:r>
        <w:t>Höherer Energieverbrauch assoziiert mit niedrigerem Richtungsdispersion-Index (β=–0,153 [–0,183 bis –0,122], p&lt;0,001), quadratischer Effekt leveling off (β=0,034 [0,017–0,051], p&lt;0,001). Mit zunehmendem Alter: körperliche Aktivität stärker mit höherer Neuritendichte und niedriger mittlerer Diffusivität assoziiert; Effekt am größten bei älteren und sedentären Personen, vermittelt durch Körpergewicht, kardiometabolische und entzündliche Faktoren.</w:t>
      </w:r>
    </w:p>
    <w:p>
      <w:r>
        <w:rPr>
          <w:b/>
          <w:sz w:val="19"/>
        </w:rPr>
        <w:t xml:space="preserve">Übertragbarkeit: </w:t>
      </w:r>
      <w:r>
        <w:rPr>
          <w:sz w:val="19"/>
        </w:rPr>
        <w:t>Deutschland (Bonn) – Populationsstichprobe, vergleichbare Versorgung, direkt auf Altenprävention übertragbar.</w:t>
      </w:r>
    </w:p>
    <w:p>
      <w:r>
        <w:rPr>
          <w:color w:val="5A7D3A"/>
          <w:sz w:val="18"/>
        </w:rPr>
        <w:t>https://pubmed.ncbi.nlm.nih.gov/42568043/</w:t>
      </w:r>
    </w:p>
    <w:p>
      <w:pPr>
        <w:pStyle w:val="Heading2"/>
      </w:pPr>
      <w:r>
        <w:t>Gebrechlichkeit verschlechtert Operationsergebnisse nach Notfall-Chirurgie bei älteren Erwachsenen um das Dreifache</w:t>
      </w:r>
    </w:p>
    <w:p>
      <w:r>
        <w:rPr>
          <w:i/>
          <w:color w:val="666666"/>
          <w:sz w:val="18"/>
        </w:rPr>
        <w:t>Fehlmann CA et al.  ·  Swiss Med Wkly  ·  26.06.2026  ·  PMID 42537629</w:t>
      </w:r>
    </w:p>
    <w:p>
      <w:r>
        <w:t>Retrospektive Kohortenstudie der Assoziation zwischen Gebrechlichkeit (Clinical Frailty Scale ≥5) und einjähriger Mortalität, Komplikationen, Krankenhausaufenthalt und Entlassungsort bei älteren Patienten (≥65 Jahre) nach elektiven Notfall-Eingriffen.</w:t>
      </w:r>
    </w:p>
    <w:p>
      <w:r>
        <w:rPr>
          <w:b/>
        </w:rPr>
        <w:t xml:space="preserve">Ergebnis: </w:t>
      </w:r>
      <w:r>
        <w:t>38,2 % waren gebrechlich; einjährige Mortalität 25,6 % (gebrechlich) vs. 6,6 % (nicht gebrechlich), adjustierte OR 3,0 [95%-KI 1,7–5,1]; Komplikationen OR 2,3 [1,5–3,6]; Krankenhausaufenthalt +46,4 % [26,8–69,0 %]; Entlassung nicht nach Hause OR 2,1 [1,4–3,2]. Frailty ist ein starker unabhängiger Risikofaktor für schlechte Ergebnisse.</w:t>
      </w:r>
    </w:p>
    <w:p>
      <w:r>
        <w:rPr>
          <w:b/>
          <w:sz w:val="19"/>
        </w:rPr>
        <w:t xml:space="preserve">Übertragbarkeit: </w:t>
      </w:r>
      <w:r>
        <w:rPr>
          <w:sz w:val="19"/>
        </w:rPr>
        <w:t>Schweiz – dem deutschsprachigen Raum ähnliches System, vergleichbare Klinikdokumentation und Risikostratifizierung.</w:t>
      </w:r>
    </w:p>
    <w:p>
      <w:r>
        <w:rPr>
          <w:color w:val="5A7D3A"/>
          <w:sz w:val="18"/>
        </w:rPr>
        <w:t>https://pubmed.ncbi.nlm.nih.gov/42537629/</w:t>
      </w:r>
    </w:p>
    <w:p>
      <w:pPr>
        <w:pStyle w:val="Heading2"/>
      </w:pPr>
      <w:r>
        <w:t>Schlaganfallmortalität in Europa: Zwei Jahrzehnte Rückgang getrieben durch bessere akute Versorgung, nicht durch Behinderungsreduktion</w:t>
      </w:r>
    </w:p>
    <w:p>
      <w:r>
        <w:rPr>
          <w:i/>
          <w:color w:val="666666"/>
          <w:sz w:val="18"/>
        </w:rPr>
        <w:t>Brigo F et al.  ·  Eur Stroke J  ·  06.07.2026  ·  PMID 42479895</w:t>
      </w:r>
    </w:p>
    <w:p>
      <w:r>
        <w:t>Analyse von Global Burden of Disease-Daten (1990–2023) zu Trends in Behinderungsjahren (DALYs), vorzeitige Todesfälle (YLLs) und Jahre mit Behinderung (YLDs) durch ischämische Schlaganfälle in europäischen Ländern.</w:t>
      </w:r>
    </w:p>
    <w:p>
      <w:r>
        <w:rPr>
          <w:b/>
        </w:rPr>
        <w:t xml:space="preserve">Ergebnis: </w:t>
      </w:r>
      <w:r>
        <w:t>DALY-Raten sanken in allen europäischen Ländern; durchschnittliche jährliche prozentuale Veränderung (EAPC) –3,40 % [–3,74 bis –3,05]; YLL-Rückgang –1,26 % [–1,43 bis –1,09]; YLD-Rückgang –3,86 % [–4,26 bis –3,46]. Rückgang der vorzeitigen Mortalität war Haupttreiber; YLD-Fortschritt blieb heterogen und geringer, regionale Unterschiede in Zentral-/Westeuropa vs. Ost-/Südosteuropa.</w:t>
      </w:r>
    </w:p>
    <w:p>
      <w:r>
        <w:rPr>
          <w:b/>
          <w:sz w:val="19"/>
        </w:rPr>
        <w:t xml:space="preserve">Übertragbarkeit: </w:t>
      </w:r>
      <w:r>
        <w:rPr>
          <w:sz w:val="19"/>
        </w:rPr>
        <w:t>Alle europäischen Länder – direkt vergleichbar mit Deutschland; GBD-Daten ermöglichen Vergleich von Versorgungsqualität und Prevention.</w:t>
      </w:r>
    </w:p>
    <w:p>
      <w:r>
        <w:rPr>
          <w:color w:val="5A7D3A"/>
          <w:sz w:val="18"/>
        </w:rPr>
        <w:t>https://pubmed.ncbi.nlm.nih.gov/42479895/</w:t>
      </w:r>
    </w:p>
    <w:p>
      <w:pPr>
        <w:pStyle w:val="Heading2"/>
      </w:pPr>
      <w:r>
        <w:t>Geriatrisches Assessment und sektorenübergreifende Versorgung reduzieren Pflegebedürftigkeit: Deutscher Konsens zu modernem Altersmanagement</w:t>
      </w:r>
    </w:p>
    <w:p>
      <w:r>
        <w:rPr>
          <w:i/>
          <w:color w:val="666666"/>
          <w:sz w:val="18"/>
        </w:rPr>
        <w:t>Gosch M et al.  ·  Z Gerontol Geriatr  ·  21.07.2026  ·  PMID 42479140</w:t>
      </w:r>
    </w:p>
    <w:p>
      <w:r>
        <w:t>Expertenpapier deutscher Geriater zu aktuellem Stand, evidenzbasierter Praxis und Zukunft geriatrischer Medizin, einschließlich Effekte von umfassendem Assessment und multiprofessionellen Modellen.</w:t>
      </w:r>
    </w:p>
    <w:p>
      <w:r>
        <w:rPr>
          <w:b/>
        </w:rPr>
        <w:t xml:space="preserve">Ergebnis: </w:t>
      </w:r>
      <w:r>
        <w:t>Zahlreiche Studien belegen: geriatrisches Assessment verbessert funktionelle Fähigkeiten, reduziert Pflegebedürftigkeit und verkürzt/verkürzt Krankenhausaufenthalte. Defizite bestehen in flächendeckender Versorgung, Finanzierung, Fachkräftemangel und Integration in andere Fachgebiete.</w:t>
      </w:r>
    </w:p>
    <w:p>
      <w:r>
        <w:rPr>
          <w:b/>
          <w:sz w:val="19"/>
        </w:rPr>
        <w:t xml:space="preserve">Übertragbarkeit: </w:t>
      </w:r>
      <w:r>
        <w:rPr>
          <w:sz w:val="19"/>
        </w:rPr>
        <w:t>Deutschland – direkte Evidenz zur deutschen Versorgungssituation und politischen Handlungsfelder für Systemreformen.</w:t>
      </w:r>
    </w:p>
    <w:p>
      <w:r>
        <w:rPr>
          <w:color w:val="5A7D3A"/>
          <w:sz w:val="18"/>
        </w:rPr>
        <w:t>https://pubmed.ncbi.nlm.nih.gov/42479140/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Gesundes Altern und Longevity</dc:title>
  <dc:subject/>
  <dc:creator>Monitor Versorgungsforschung</dc:creator>
  <cp:keywords/>
  <dc:description>generated by python-docx</dc:description>
  <cp:lastModifiedBy/>
  <cp:revision>1</cp:revision>
  <dcterms:created xsi:type="dcterms:W3CDTF">2026-10-21T06:00:00Z</dcterms:created>
  <dcterms:modified xsi:type="dcterms:W3CDTF">2026-10-21T06:00:00Z</dcterms:modified>
  <cp:category/>
</cp:coreProperties>
</file>