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24.09.2026  |  6 Studien  |  longevity.m-vf.de</w:t>
      </w:r>
    </w:p>
    <w:p>
      <w:pPr>
        <w:pStyle w:val="Heading1"/>
      </w:pPr>
      <w:r>
        <w:t>Aufgenommen am 24.09.2026</w:t>
      </w:r>
    </w:p>
    <w:p>
      <w:pPr>
        <w:pStyle w:val="Heading2"/>
      </w:pPr>
      <w:r>
        <w:t>Mitochondriale Dynamik im Altern: Ansätze zur Prävention von Herz- und Hirnerkrankungen</w:t>
      </w:r>
    </w:p>
    <w:p>
      <w:r>
        <w:rPr>
          <w:i/>
          <w:color w:val="666666"/>
          <w:sz w:val="18"/>
        </w:rPr>
        <w:t>Yin Y et al.  ·  Aging Cell  ·  Okt. 2026  ·  PMID 42775668</w:t>
      </w:r>
    </w:p>
    <w:p>
      <w:r>
        <w:t>Narrativer Übersichtsartikel zu Rolle der Mitochondrialen Fusion und Fission bei altersbezogenen Herz- und Hirnerkrankungen (Alzheimer, Parkinson, atheroskleroische kardiozerebrovale Erkrankungen) und therapeutischen Strategien (Ausdauertraining, Metformin, Dapagliflozin, Irbesartan, TCM-Komponenten).</w:t>
      </w:r>
    </w:p>
    <w:p>
      <w:r>
        <w:rPr>
          <w:b/>
        </w:rPr>
        <w:t xml:space="preserve">Ergebnis: </w:t>
      </w:r>
      <w:r>
        <w:t>Beeinträchtigte mitochondriale Dynamik liegt vielen altersassoziierten Krankheiten zugrunde; verschiedene Trainings- und Medikamentenansätze zeigen Potenzial zur Verbesserung von Herzgesundheit und Hirngesundheit durch Wiederherstellung mitochondrialer Plastizität; Mechanismen umfassen Verbesserung von Energiestoffwechsel und Reduktion von Entzündung und Seneszenz.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präklinische und Tiermodelle; klinische Übertragbarkeit für ausgewählte Interventionen (Training, Metformin) gegeben.</w:t>
      </w:r>
    </w:p>
    <w:p>
      <w:r>
        <w:rPr>
          <w:color w:val="5A7D3A"/>
          <w:sz w:val="18"/>
        </w:rPr>
        <w:t>https://pubmed.ncbi.nlm.nih.gov/42775668/</w:t>
      </w:r>
    </w:p>
    <w:p>
      <w:pPr>
        <w:pStyle w:val="Heading2"/>
      </w:pPr>
      <w:r>
        <w:t>Einbindung Älterer in Versorgungsforschung: Praktische Erfolgsfaktoren aus Australien</w:t>
      </w:r>
    </w:p>
    <w:p>
      <w:r>
        <w:rPr>
          <w:i/>
          <w:color w:val="666666"/>
          <w:sz w:val="18"/>
        </w:rPr>
        <w:t>Thillainadesan J et al.  ·  Public Health Res Pract  ·  24.09.2026  ·  PMID 42767663</w:t>
      </w:r>
    </w:p>
    <w:p>
      <w:r>
        <w:t>Qualitative Studie zur Etablierung einer konsumentengesteuerten Forschungsberatungsgruppe in einem Altersbetreuungszentrum mit 8 älteren Teilnehmern (Australien); Dokumentation von Rekrutierungs-, Unterstützungs- und Beteiligungsprozessen.</w:t>
      </w:r>
    </w:p>
    <w:p>
      <w:r>
        <w:rPr>
          <w:b/>
        </w:rPr>
        <w:t xml:space="preserve">Ergebnis: </w:t>
      </w:r>
      <w:r>
        <w:t>Erfolgsfaktoren: Inklusives Auswahlverfahren, Honorierung, Barrierefreiheit, sensibilisierte Kommunikation, vertrauensvolle Umgebung, orientierungsgerichtete Einführung und Training; Teilnehmer berichtet positive Erfahrungen und waren motiviert durch Wunsch, ihre Lebenserfahrung zum Nutzen anderer einzubringen; Machbarkeit und Förderfähigkeit von Älteren-Einbindung demonstriert.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 Versorgungsforschung, methodisch auf deutschsprachige Settings übertragbar.</w:t>
      </w:r>
    </w:p>
    <w:p>
      <w:r>
        <w:rPr>
          <w:color w:val="5A7D3A"/>
          <w:sz w:val="18"/>
        </w:rPr>
        <w:t>https://pubmed.ncbi.nlm.nih.gov/42767663/</w:t>
      </w:r>
    </w:p>
    <w:p>
      <w:pPr>
        <w:pStyle w:val="Heading2"/>
      </w:pPr>
      <w:r>
        <w:t>Grippe-Impfstoff höherer Dosierung senkt Hospitalisierungen bei gebrechlichen Älteren stärker</w:t>
      </w:r>
    </w:p>
    <w:p>
      <w:r>
        <w:rPr>
          <w:i/>
          <w:color w:val="666666"/>
          <w:sz w:val="18"/>
        </w:rPr>
        <w:t>Espersen C et al.  ·  Lancet Healthy Longev  ·  17.09.2026  ·  PMID 42753782</w:t>
      </w:r>
    </w:p>
    <w:p>
      <w:r>
        <w:t>Dänische randomisierte Studie zu Wirksamkeit hochdosierter versus Standarddosis-Influenzaimpfung bei 332.438 älteren Personen (≥65 Jahre), stratifiziert nach Gebrechlichkeitsrisiko mittels Hospital Frailty Risk Score.</w:t>
      </w:r>
    </w:p>
    <w:p>
      <w:r>
        <w:rPr>
          <w:b/>
        </w:rPr>
        <w:t xml:space="preserve">Ergebnis: </w:t>
      </w:r>
      <w:r>
        <w:t>Bei Personen mit hohem Gebrechlichkeitsrisiko zeigte die hochdosierte Impfung eine relative Wirksamkeit von 19,9 % (95%-KI −10,3 bis 42,1) gegen Hospitalisierungen durch Influenza/Lungenentzündung versus 0,2 % (−10,8 bis 10,2) bei niedrigem Risiko; die Interaktion war jedoch nicht signifikant kategorisch (p=0,17), sodass die Autoren die Ergebnisse als explorativ einstufen.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Gesundheitsdaten, europäisches System mit vergleichbarer Impfstoffverfügbarkeit.</w:t>
      </w:r>
    </w:p>
    <w:p>
      <w:r>
        <w:rPr>
          <w:color w:val="5A7D3A"/>
          <w:sz w:val="18"/>
        </w:rPr>
        <w:t>https://pubmed.ncbi.nlm.nih.gov/42753782/</w:t>
      </w:r>
    </w:p>
    <w:p>
      <w:pPr>
        <w:pStyle w:val="Heading2"/>
      </w:pPr>
      <w:r>
        <w:t>Kurzzeitige Prehabilitation vor elektiver Operation senkt Pflegebedürftigkeit bei gebrechlichen Älteren nicht</w:t>
      </w:r>
    </w:p>
    <w:p>
      <w:r>
        <w:rPr>
          <w:i/>
          <w:color w:val="666666"/>
          <w:sz w:val="18"/>
        </w:rPr>
        <w:t>Spies C et al.  ·  Lancet Healthy Longev  ·  15.09.2026  ·  PMID 42743945</w:t>
      </w:r>
    </w:p>
    <w:p>
      <w:r>
        <w:t>Deutschlandweite randomisierte Studie an 1.199 Personen (Alter ≥70 Jahre) mit Frailty oder Prefrailty zu Effekt einer 3-wöchigen supervidierten multimodalen Prehabilitation auf Pflegabhängigkeit 12 Monate postoperativ.</w:t>
      </w:r>
    </w:p>
    <w:p>
      <w:r>
        <w:rPr>
          <w:b/>
        </w:rPr>
        <w:t xml:space="preserve">Ergebnis: </w:t>
      </w:r>
      <w:r>
        <w:t>Keine signifikanten Unterschiede zwischen Prehabilitation und Standard-Care in der Veränderung der Langzeitpflegeabhängigkeit (ordinale Skala 0–5): mittlere Differenz −0,1 (95%-KI −0,25 bis 0,07; p=0,26); 32 Sicherheitsereignisse in der Interventionsgruppe, meist nicht kausal bezogen.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G-BA-finanziert, direkt auf deutsches Gesundheitssystem übertragbar.</w:t>
      </w:r>
    </w:p>
    <w:p>
      <w:r>
        <w:rPr>
          <w:color w:val="5A7D3A"/>
          <w:sz w:val="18"/>
        </w:rPr>
        <w:t>https://pubmed.ncbi.nlm.nih.gov/42743945/</w:t>
      </w:r>
    </w:p>
    <w:p>
      <w:pPr>
        <w:pStyle w:val="Heading2"/>
      </w:pPr>
      <w:r>
        <w:t>Wissenslücken in geriatrischen Kompetenzen im DACH-Raum: Demenz, Depression, Sarkopenie prioritär</w:t>
      </w:r>
    </w:p>
    <w:p>
      <w:r>
        <w:rPr>
          <w:i/>
          <w:color w:val="666666"/>
          <w:sz w:val="18"/>
        </w:rPr>
        <w:t>Honegger M et al.  ·  Z Gerontol Geriatr  ·  07.09.2026  ·  PMID 42704433</w:t>
      </w:r>
    </w:p>
    <w:p>
      <w:r>
        <w:t>Sekundäranalyse einer europäischen Online-Befragung: 291 Gesundheitsfachkräfte aus Deutschland, Österreich und der Schweiz wurden zu Selbsteinschätzung geriatrischer Kompetenz und Fortbildungsbedarf befragt und mit 5.134 Fachkräften aus übrigen europäischen Ländern verglichen.</w:t>
      </w:r>
    </w:p>
    <w:p>
      <w:r>
        <w:rPr>
          <w:b/>
        </w:rPr>
        <w:t xml:space="preserve">Ergebnis: </w:t>
      </w:r>
      <w:r>
        <w:t>DACH-Fachkräfte schätzten ihre geriatrischen Kenntnisse höher ein als Kollegen anderswo, zeigten aber substantielle Lücken in Demenz, Depression, chronischen Schmerzen, kognitiven Screenings und Sarkopenie; Fortbildungsbedarf überstieg selbst eingeschätzte Kompetenz in allen Ländern.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DACH-Umfrage mit direktem Bezug zu deutschem, österreichischem und Schweizer Gesundheitswesen.</w:t>
      </w:r>
    </w:p>
    <w:p>
      <w:r>
        <w:rPr>
          <w:color w:val="5A7D3A"/>
          <w:sz w:val="18"/>
        </w:rPr>
        <w:t>https://pubmed.ncbi.nlm.nih.gov/42704433/</w:t>
      </w:r>
    </w:p>
    <w:p>
      <w:pPr>
        <w:pStyle w:val="Heading2"/>
      </w:pPr>
      <w:r>
        <w:t>Multikomponenten-Delirprogramme reduzieren Delirinzidenz um 44 % – Evidenzbasis und Implementierung</w:t>
      </w:r>
    </w:p>
    <w:p>
      <w:r>
        <w:rPr>
          <w:i/>
          <w:color w:val="666666"/>
          <w:sz w:val="18"/>
        </w:rPr>
        <w:t>Thomas C et al.  ·  Z Gerontol Geriatr  ·  25.08.2026  ·  PMID 42640287</w:t>
      </w:r>
    </w:p>
    <w:p>
      <w:r>
        <w:t>Narrativer Übersichtsartikel mit Darstellung der Evidenz zu nichtpharmakologischen Multikomponenten-Interventionen (HELP, ABCDE-Bundle, CHOPS, AKTIVER) in der Delirprävention und des Delirmanagements bei älteren Patienten.</w:t>
      </w:r>
    </w:p>
    <w:p>
      <w:r>
        <w:rPr>
          <w:b/>
        </w:rPr>
        <w:t xml:space="preserve">Ergebnis: </w:t>
      </w:r>
      <w:r>
        <w:t>Zwei 2026 publizierte Metaanalysen zeigen, dass multikomponentale nichtpharmakologische Programme die Delirinzidenz um 44 % reduzierten und Dauer bestehender Delire signifikant verkürzten; pharmakologische Strategien zeigten keinen konsistenten Nutzen außer Dexmedetomidin in ausgewählten perioperativen Settings; S3-Leitlinie empfiehlt strukturierte, interprofessionelle, personenzentrierte Delirprogramme als Standard.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S3-Leitlinie und deutsche Studienprogramme (AKTIVER), direkt übertragbar auf deutsches Versorgungssystem.</w:t>
      </w:r>
    </w:p>
    <w:p>
      <w:r>
        <w:rPr>
          <w:color w:val="5A7D3A"/>
          <w:sz w:val="18"/>
        </w:rPr>
        <w:t>https://pubmed.ncbi.nlm.nih.gov/42640287/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2026-09-24T06:00:00Z</dcterms:created>
  <dcterms:modified xsi:type="dcterms:W3CDTF">2026-09-24T06:00:00Z</dcterms:modified>
  <cp:category/>
</cp:coreProperties>
</file>