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Gesundes Altern und Longevity</w:t>
      </w:r>
    </w:p>
    <w:p>
      <w:r>
        <w:rPr>
          <w:i/>
          <w:color w:val="666666"/>
          <w:sz w:val="18"/>
        </w:rPr>
        <w:t>Stand: 24.10.2026  |  6 Studien  |  longevity.m-vf.de</w:t>
      </w:r>
    </w:p>
    <w:p>
      <w:pPr>
        <w:pStyle w:val="Heading1"/>
      </w:pPr>
      <w:r>
        <w:t>Aufgenommen am 24.10.2026</w:t>
      </w:r>
    </w:p>
    <w:p>
      <w:pPr>
        <w:pStyle w:val="Heading2"/>
      </w:pPr>
      <w:r>
        <w:t>Frailty-Schweregrad bestimmt Überleben und Arztkostenbelastung bei älteren Menschen</w:t>
      </w:r>
    </w:p>
    <w:p>
      <w:r>
        <w:rPr>
          <w:i/>
          <w:color w:val="666666"/>
          <w:sz w:val="18"/>
        </w:rPr>
        <w:t>Pulok MH et al.  ·  Age Ageing  ·  03.08.2026  ·  PMID 42910912</w:t>
      </w:r>
    </w:p>
    <w:p>
      <w:r>
        <w:t>Retrospektive Kohortenstudie an 944 älteren Notaufnahmepatienten (Median 80,8 Jahre) zur Vorhersage von Kosten und Überleben anhand des Clinical Frailty Scale.</w:t>
      </w:r>
    </w:p>
    <w:p>
      <w:r>
        <w:rPr>
          <w:b/>
        </w:rPr>
        <w:t xml:space="preserve">Ergebnis: </w:t>
      </w:r>
      <w:r>
        <w:t>Schwer gebrechliche Patienten hatten über ein Jahr 704 CAD weniger Arztkosen als unkomplizierte – hauptsächlich durch kürzeres Überleben bedingt (41,6% starben innerhalb eines Jahres). Während der Lebenszeit fielen für alle Gebrechlichkeitsgruppen höhere Kosten an als für Nicht-Gebrechliche, was auf intensivere Nutzung bei kürzerer Dauer hindeutet. Der Frailty-Status war ein besserer Kostenprädiktor als Alter allein.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ähnliche Sozialversicherung und Gesundheitsfinanzierung wie Deutschland.</w:t>
      </w:r>
    </w:p>
    <w:p>
      <w:r>
        <w:rPr>
          <w:color w:val="5A7D3A"/>
          <w:sz w:val="18"/>
        </w:rPr>
        <w:t>https://pubmed.ncbi.nlm.nih.gov/42910912/</w:t>
      </w:r>
    </w:p>
    <w:p>
      <w:pPr>
        <w:pStyle w:val="Heading2"/>
      </w:pPr>
      <w:r>
        <w:t>Aktives Altern durch Betreuung und Freiwilligenarbeit: Wer profitiert, wer leidet?</w:t>
      </w:r>
    </w:p>
    <w:p>
      <w:r>
        <w:rPr>
          <w:i/>
          <w:color w:val="666666"/>
          <w:sz w:val="18"/>
        </w:rPr>
        <w:t>Cretazzo F et al.  ·  Front Public Health  ·  07.10.2026  ·  PMID 42909995</w:t>
      </w:r>
    </w:p>
    <w:p>
      <w:r>
        <w:t>Längsschnittstudie (SHARE Wellen 7–9) an älteren Europäern, die Übergänge zwischen Betreuungs- und Freiwilligentätigkeit in Bezug auf Gesundheit und psychisches Wohlbefinden verfolgten.</w:t>
      </w:r>
    </w:p>
    <w:p>
      <w:r>
        <w:rPr>
          <w:b/>
        </w:rPr>
        <w:t xml:space="preserve">Ergebnis: </w:t>
      </w:r>
      <w:r>
        <w:t>Übergänge von reiner Betreuung zu Doppelrolle („Super-Helper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Europa, SHARE-Daten aus sozialversicherungsgestützten Systemen.</w:t>
      </w:r>
    </w:p>
    <w:p>
      <w:r>
        <w:rPr>
          <w:color w:val="5A7D3A"/>
          <w:sz w:val="18"/>
        </w:rPr>
        <w:t>https://pubmed.ncbi.nlm.nih.gov/42909995/</w:t>
      </w:r>
    </w:p>
    <w:p>
      <w:pPr>
        <w:pStyle w:val="Heading2"/>
      </w:pPr>
      <w:r>
        <w:t>Biologische Gebrechlichkeit und Chemotherapiedosis bestimmen Überleben bei älteren Darmkrebspatienten</w:t>
      </w:r>
    </w:p>
    <w:p>
      <w:r>
        <w:rPr>
          <w:i/>
          <w:color w:val="666666"/>
          <w:sz w:val="18"/>
        </w:rPr>
        <w:t>Ağaoğlu AB et al.  ·  Cancer Chemother Pharmacol  ·  23.10.2026  ·  PMID 42909624</w:t>
      </w:r>
    </w:p>
    <w:p>
      <w:r>
        <w:t>Retrospektive Studie an 94 Patienten ≥65 Jahren mit adjuvanter Chemotherapie nach Darmkrebsoperation zu Frailty-Index und Dosisintensität als Überlebensprädiktoren.</w:t>
      </w:r>
    </w:p>
    <w:p>
      <w:r>
        <w:rPr>
          <w:b/>
        </w:rPr>
        <w:t xml:space="preserve">Ergebnis: </w:t>
      </w:r>
      <w:r>
        <w:t>Laborgestützter Frailty-Index (FI-Lab) ≥0,25 sagte unabhängig schlechteres Gesamtüberleben vorher (Hazard Ratio 3,73, p=0,023) und krankheitsfreies Überleben (HR 2,81, p=0,029). Patienten ohne optimale Anfangsdosis hatten deutlich schlechtere Ergebnisse (OS HR 14,41; p=0,011). G8, mFI-5 und Charlson-Index waren nicht unabhängig prädiktiv.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Türkei; biologische Reserve als Prädiktor ist universell, Dosisintensität und Messmethoden sind aber systemabhängig.</w:t>
      </w:r>
    </w:p>
    <w:p>
      <w:r>
        <w:rPr>
          <w:color w:val="5A7D3A"/>
          <w:sz w:val="18"/>
        </w:rPr>
        <w:t>https://pubmed.ncbi.nlm.nih.gov/42909624/</w:t>
      </w:r>
    </w:p>
    <w:p>
      <w:pPr>
        <w:pStyle w:val="Heading2"/>
      </w:pPr>
      <w:r>
        <w:t>Geriatrische Atemwegsmedizin: Künstliche Intelligenz und maßgeschneiderte Versorgung polymorber älterer Patienten</w:t>
      </w:r>
    </w:p>
    <w:p>
      <w:r>
        <w:rPr>
          <w:i/>
          <w:color w:val="666666"/>
          <w:sz w:val="18"/>
        </w:rPr>
        <w:t>Sorino C et al.  ·  Eur Respir Rev  ·  21.10.2026  ·  PMID 42906940</w:t>
      </w:r>
    </w:p>
    <w:p>
      <w:r>
        <w:t>Fachnachricht italienischer und europäischer Pneumologen zu klinischen Schnittstellen von Altern, Immunoseneszenz, Gebrechlichkeit und Lungenerkrankung im Alter mit Fokus auf praktische Versorgungsmodelle.</w:t>
      </w:r>
    </w:p>
    <w:p>
      <w:r>
        <w:rPr>
          <w:b/>
        </w:rPr>
        <w:t xml:space="preserve">Ergebnis: </w:t>
      </w:r>
      <w:r>
        <w:t>Kernbefunde: pneumonie-assoziierte Sarkopenie als Motor für Rezidivinfektion und funktionellen Niedergang; nicht-invasive Beatmungswahl muss Delirium-Risiko gegen Wirksamkeit abwägen; 20-valenter Pneumokokken- und RSV-Impfstoff als neue Präventionsstrategie; gerätegestützte Inhalationstherapie angepasst an inspiratorische Kraft statt nur Pharmakologie; Biologika (Dupilumab, Mepolizumab) ermöglichen Steroid-Einsparung; 4Ms-Modell (Mentation, Medication, Mobility, Morbidities) integriert mit KI als strukturierte Versorgung.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und Europa, Sozialversicherungssysteme; praxisorientiert für deutschsprachige Lungenkliniken.</w:t>
      </w:r>
    </w:p>
    <w:p>
      <w:r>
        <w:rPr>
          <w:color w:val="5A7D3A"/>
          <w:sz w:val="18"/>
        </w:rPr>
        <w:t>https://pubmed.ncbi.nlm.nih.gov/42906940/</w:t>
      </w:r>
    </w:p>
    <w:p>
      <w:pPr>
        <w:pStyle w:val="Heading2"/>
      </w:pPr>
      <w:r>
        <w:t>Flächendeckende Umsetzung der Age-Friendly 4Ms in 26 Krankenhäusern</w:t>
      </w:r>
    </w:p>
    <w:p>
      <w:r>
        <w:rPr>
          <w:i/>
          <w:color w:val="666666"/>
          <w:sz w:val="18"/>
        </w:rPr>
        <w:t>Ryer S et al.  ·  NEJM Catal Innov Care Deliv  ·  21.10.2026  ·  PMID 42904678</w:t>
      </w:r>
    </w:p>
    <w:p>
      <w:r>
        <w:t>Implementierungsstudie an 26 Krankenhäusern im Mittleren Westen (Wisconsin, Illinois) zur standardisierten Umsetzung der 4Ms (What Matters, Medication, Mentation, Mobility) mit Governance-Struktur, EHR-Integration und Qualitätsmessungen.</w:t>
      </w:r>
    </w:p>
    <w:p>
      <w:r>
        <w:rPr>
          <w:b/>
        </w:rPr>
        <w:t xml:space="preserve">Ergebnis: </w:t>
      </w:r>
      <w:r>
        <w:t>Implementierungsreife bei frühen Kohorten in geriatrischen stationären Einrichtungen Median 0,66, nicht-geriatrischen stationär 0,63, geriatrischen ambulant 0,47, nicht-geriatrischen ambulant 0,36 (Skala 0–1). Dokumentation What Matters und Kognitives Screening erheblich verbessert, Deliriumrate und Liegedauer reduziert. Hohe Variabilität zwischen Organisationen. Herausforderungen: Dokumentationslast, variable Adoption, konkurrierende Prioritäten.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Implementierungsmethode und Messrahmen sind auf deutsche Krankenhäuser übertragbar.</w:t>
      </w:r>
    </w:p>
    <w:p>
      <w:r>
        <w:rPr>
          <w:color w:val="5A7D3A"/>
          <w:sz w:val="18"/>
        </w:rPr>
        <w:t>https://pubmed.ncbi.nlm.nih.gov/42904678/</w:t>
      </w:r>
    </w:p>
    <w:p>
      <w:pPr>
        <w:pStyle w:val="Heading2"/>
      </w:pPr>
      <w:r>
        <w:t>Age-Friendly 4Ms in Sicherheitsnetzklnik: Implementierung bei älteren vulnerable Patienten</w:t>
      </w:r>
    </w:p>
    <w:p>
      <w:r>
        <w:rPr>
          <w:i/>
          <w:color w:val="666666"/>
          <w:sz w:val="18"/>
        </w:rPr>
        <w:t>Ohuabunwa UK et al.  ·  NEJM Catal Innov Care Deliv  ·  21.10.2026  ·  PMID 42904677</w:t>
      </w:r>
    </w:p>
    <w:p>
      <w:r>
        <w:t>Implementierungsstudie der 4Ms-Rahmenwerk (What Matters, Medication, Mentation, Mobility) plus Malnutrition und Übergangspflege in Safety-Net-Klinik mit 3427 älteren Patienten (79,3 Jahre, 64% Afroamerikaner).</w:t>
      </w:r>
    </w:p>
    <w:p>
      <w:r>
        <w:rPr>
          <w:b/>
        </w:rPr>
        <w:t xml:space="preserve">Ergebnis: </w:t>
      </w:r>
      <w:r>
        <w:t>Über zwei Jahre (März 2024–März 2026) erreichte die AFHS-Implementierung 100% Einhaltung bei 5 von 14 Protokollen, &gt;90% bei 5 weiteren. Was Matters-Dokumentation 74%, Delirium-Screening 98%, Funktionskapazitätsbewertung 96%. Assoziation mit Deliriumrate-Reduktion und verkürzter Krankenhausliegedauer.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USA-Sicherheitsnetzkontext, aber 4Ms-Framework und Messmethoden sind übertragbar.</w:t>
      </w:r>
    </w:p>
    <w:p>
      <w:r>
        <w:rPr>
          <w:color w:val="5A7D3A"/>
          <w:sz w:val="18"/>
        </w:rPr>
        <w:t>https://pubmed.ncbi.nlm.nih.gov/42904677/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Gesundes Altern und Longevity</dc:title>
  <dc:subject/>
  <dc:creator>Monitor Versorgungsforschung</dc:creator>
  <cp:keywords/>
  <dc:description>generated by python-docx</dc:description>
  <cp:lastModifiedBy/>
  <cp:revision>1</cp:revision>
  <dcterms:created xsi:type="dcterms:W3CDTF">2026-10-24T06:00:00Z</dcterms:created>
  <dcterms:modified xsi:type="dcterms:W3CDTF">2026-10-24T06:00:00Z</dcterms:modified>
  <cp:category/>
</cp:coreProperties>
</file>