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24.10.2026  |  379 Studien  |  longevity.m-vf.de</w:t>
      </w:r>
    </w:p>
    <w:p>
      <w:pPr>
        <w:pStyle w:val="Heading1"/>
      </w:pPr>
      <w:r>
        <w:t>Aufgenommen am 24.10.2026</w:t>
      </w:r>
    </w:p>
    <w:p>
      <w:pPr>
        <w:pStyle w:val="Heading2"/>
      </w:pPr>
      <w:r>
        <w:t>Frailty-Schweregrad bestimmt Überleben und Arztkostenbelastung bei älteren Menschen</w:t>
      </w:r>
    </w:p>
    <w:p>
      <w:r>
        <w:rPr>
          <w:i/>
          <w:color w:val="666666"/>
          <w:sz w:val="18"/>
        </w:rPr>
        <w:t>Pulok MH et al.  ·  Age Ageing  ·  03.08.2026  ·  PMID 42910912</w:t>
      </w:r>
    </w:p>
    <w:p>
      <w:r>
        <w:t>Retrospektive Kohortenstudie an 944 älteren Notaufnahmepatienten (Median 80,8 Jahre) zur Vorhersage von Kosten und Überleben anhand des Clinical Frailty Scale.</w:t>
      </w:r>
    </w:p>
    <w:p>
      <w:r>
        <w:rPr>
          <w:b/>
        </w:rPr>
        <w:t xml:space="preserve">Ergebnis: </w:t>
      </w:r>
      <w:r>
        <w:t>Schwer gebrechliche Patienten hatten über ein Jahr 704 CAD weniger Arztkosen als unkomplizierte – hauptsächlich durch kürzeres Überleben bedingt (41,6% starben innerhalb eines Jahres). Während der Lebenszeit fielen für alle Gebrechlichkeitsgruppen höhere Kosten an als für Nicht-Gebrechliche, was auf intensivere Nutzung bei kürzerer Dauer hindeutet. Der Frailty-Status war ein besserer Kostenprädiktor als Alter allein.</w:t>
      </w:r>
    </w:p>
    <w:p>
      <w:r>
        <w:rPr>
          <w:b/>
          <w:sz w:val="19"/>
        </w:rPr>
        <w:t xml:space="preserve">Übertragbarkeit: </w:t>
      </w:r>
      <w:r>
        <w:rPr>
          <w:sz w:val="19"/>
        </w:rPr>
        <w:t>Kanada, ähnliche Sozialversicherung und Gesundheitsfinanzierung wie Deutschland.</w:t>
      </w:r>
    </w:p>
    <w:p>
      <w:r>
        <w:rPr>
          <w:color w:val="5A7D3A"/>
          <w:sz w:val="18"/>
        </w:rPr>
        <w:t>https://pubmed.ncbi.nlm.nih.gov/42910912/</w:t>
      </w:r>
    </w:p>
    <w:p>
      <w:pPr>
        <w:pStyle w:val="Heading2"/>
      </w:pPr>
      <w:r>
        <w:t>Aktives Altern durch Betreuung und Freiwilligenarbeit: Wer profitiert, wer leidet?</w:t>
      </w:r>
    </w:p>
    <w:p>
      <w:r>
        <w:rPr>
          <w:i/>
          <w:color w:val="666666"/>
          <w:sz w:val="18"/>
        </w:rPr>
        <w:t>Cretazzo F et al.  ·  Front Public Health  ·  07.10.2026  ·  PMID 42909995</w:t>
      </w:r>
    </w:p>
    <w:p>
      <w:r>
        <w:t>Längsschnittstudie (SHARE Wellen 7–9) an älteren Europäern, die Übergänge zwischen Betreuungs- und Freiwilligentätigkeit in Bezug auf Gesundheit und psychisches Wohlbefinden verfolgten.</w:t>
      </w:r>
    </w:p>
    <w:p>
      <w:r>
        <w:rPr>
          <w:b/>
        </w:rPr>
        <w:t xml:space="preserve">Ergebnis: </w:t>
      </w:r>
      <w:r>
        <w:t>Übergänge von reiner Betreuung zu Doppelrolle („Super-Helper</w:t>
      </w:r>
    </w:p>
    <w:p>
      <w:r>
        <w:rPr>
          <w:b/>
          <w:sz w:val="19"/>
        </w:rPr>
        <w:t xml:space="preserve">Übertragbarkeit: </w:t>
      </w:r>
      <w:r>
        <w:rPr>
          <w:sz w:val="19"/>
        </w:rPr>
        <w:t>Europa, SHARE-Daten aus sozialversicherungsgestützten Systemen.</w:t>
      </w:r>
    </w:p>
    <w:p>
      <w:r>
        <w:rPr>
          <w:color w:val="5A7D3A"/>
          <w:sz w:val="18"/>
        </w:rPr>
        <w:t>https://pubmed.ncbi.nlm.nih.gov/42909995/</w:t>
      </w:r>
    </w:p>
    <w:p>
      <w:pPr>
        <w:pStyle w:val="Heading2"/>
      </w:pPr>
      <w:r>
        <w:t>Biologische Gebrechlichkeit und Chemotherapiedosis bestimmen Überleben bei älteren Darmkrebspatienten</w:t>
      </w:r>
    </w:p>
    <w:p>
      <w:r>
        <w:rPr>
          <w:i/>
          <w:color w:val="666666"/>
          <w:sz w:val="18"/>
        </w:rPr>
        <w:t>Ağaoğlu AB et al.  ·  Cancer Chemother Pharmacol  ·  23.10.2026  ·  PMID 42909624</w:t>
      </w:r>
    </w:p>
    <w:p>
      <w:r>
        <w:t>Retrospektive Studie an 94 Patienten ≥65 Jahren mit adjuvanter Chemotherapie nach Darmkrebsoperation zu Frailty-Index und Dosisintensität als Überlebensprädiktoren.</w:t>
      </w:r>
    </w:p>
    <w:p>
      <w:r>
        <w:rPr>
          <w:b/>
        </w:rPr>
        <w:t xml:space="preserve">Ergebnis: </w:t>
      </w:r>
      <w:r>
        <w:t>Laborgestützter Frailty-Index (FI-Lab) ≥0,25 sagte unabhängig schlechteres Gesamtüberleben vorher (Hazard Ratio 3,73, p=0,023) und krankheitsfreies Überleben (HR 2,81, p=0,029). Patienten ohne optimale Anfangsdosis hatten deutlich schlechtere Ergebnisse (OS HR 14,41; p=0,011). G8, mFI-5 und Charlson-Index waren nicht unabhängig prädiktiv.</w:t>
      </w:r>
    </w:p>
    <w:p>
      <w:r>
        <w:rPr>
          <w:b/>
          <w:sz w:val="19"/>
        </w:rPr>
        <w:t xml:space="preserve">Übertragbarkeit: </w:t>
      </w:r>
      <w:r>
        <w:rPr>
          <w:sz w:val="19"/>
        </w:rPr>
        <w:t>Türkei; biologische Reserve als Prädiktor ist universell, Dosisintensität und Messmethoden sind aber systemabhängig.</w:t>
      </w:r>
    </w:p>
    <w:p>
      <w:r>
        <w:rPr>
          <w:color w:val="5A7D3A"/>
          <w:sz w:val="18"/>
        </w:rPr>
        <w:t>https://pubmed.ncbi.nlm.nih.gov/42909624/</w:t>
      </w:r>
    </w:p>
    <w:p>
      <w:pPr>
        <w:pStyle w:val="Heading2"/>
      </w:pPr>
      <w:r>
        <w:t>Geriatrische Atemwegsmedizin: Künstliche Intelligenz und maßgeschneiderte Versorgung polymorber älterer Patienten</w:t>
      </w:r>
    </w:p>
    <w:p>
      <w:r>
        <w:rPr>
          <w:i/>
          <w:color w:val="666666"/>
          <w:sz w:val="18"/>
        </w:rPr>
        <w:t>Sorino C et al.  ·  Eur Respir Rev  ·  21.10.2026  ·  PMID 42906940</w:t>
      </w:r>
    </w:p>
    <w:p>
      <w:r>
        <w:t>Fachnachricht italienischer und europäischer Pneumologen zu klinischen Schnittstellen von Altern, Immunoseneszenz, Gebrechlichkeit und Lungenerkrankung im Alter mit Fokus auf praktische Versorgungsmodelle.</w:t>
      </w:r>
    </w:p>
    <w:p>
      <w:r>
        <w:rPr>
          <w:b/>
        </w:rPr>
        <w:t xml:space="preserve">Ergebnis: </w:t>
      </w:r>
      <w:r>
        <w:t>Kernbefunde: pneumonie-assoziierte Sarkopenie als Motor für Rezidivinfektion und funktionellen Niedergang; nicht-invasive Beatmungswahl muss Delirium-Risiko gegen Wirksamkeit abwägen; 20-valenter Pneumokokken- und RSV-Impfstoff als neue Präventionsstrategie; gerätegestützte Inhalationstherapie angepasst an inspiratorische Kraft statt nur Pharmakologie; Biologika (Dupilumab, Mepolizumab) ermöglichen Steroid-Einsparung; 4Ms-Modell (Mentation, Medication, Mobility, Morbidities) integriert mit KI als strukturierte Versorgung.</w:t>
      </w:r>
    </w:p>
    <w:p>
      <w:r>
        <w:rPr>
          <w:b/>
          <w:sz w:val="19"/>
        </w:rPr>
        <w:t xml:space="preserve">Übertragbarkeit: </w:t>
      </w:r>
      <w:r>
        <w:rPr>
          <w:sz w:val="19"/>
        </w:rPr>
        <w:t>Italien und Europa, Sozialversicherungssysteme; praxisorientiert für deutschsprachige Lungenkliniken.</w:t>
      </w:r>
    </w:p>
    <w:p>
      <w:r>
        <w:rPr>
          <w:color w:val="5A7D3A"/>
          <w:sz w:val="18"/>
        </w:rPr>
        <w:t>https://pubmed.ncbi.nlm.nih.gov/42906940/</w:t>
      </w:r>
    </w:p>
    <w:p>
      <w:pPr>
        <w:pStyle w:val="Heading2"/>
      </w:pPr>
      <w:r>
        <w:t>Flächendeckende Umsetzung der Age-Friendly 4Ms in 26 Krankenhäusern</w:t>
      </w:r>
    </w:p>
    <w:p>
      <w:r>
        <w:rPr>
          <w:i/>
          <w:color w:val="666666"/>
          <w:sz w:val="18"/>
        </w:rPr>
        <w:t>Ryer S et al.  ·  NEJM Catal Innov Care Deliv  ·  21.10.2026  ·  PMID 42904678</w:t>
      </w:r>
    </w:p>
    <w:p>
      <w:r>
        <w:t>Implementierungsstudie an 26 Krankenhäusern im Mittleren Westen (Wisconsin, Illinois) zur standardisierten Umsetzung der 4Ms (What Matters, Medication, Mentation, Mobility) mit Governance-Struktur, EHR-Integration und Qualitätsmessungen.</w:t>
      </w:r>
    </w:p>
    <w:p>
      <w:r>
        <w:rPr>
          <w:b/>
        </w:rPr>
        <w:t xml:space="preserve">Ergebnis: </w:t>
      </w:r>
      <w:r>
        <w:t>Implementierungsreife bei frühen Kohorten in geriatrischen stationären Einrichtungen Median 0,66, nicht-geriatrischen stationär 0,63, geriatrischen ambulant 0,47, nicht-geriatrischen ambulant 0,36 (Skala 0–1). Dokumentation What Matters und Kognitives Screening erheblich verbessert, Deliriumrate und Liegedauer reduziert. Hohe Variabilität zwischen Organisationen. Herausforderungen: Dokumentationslast, variable Adoption, konkurrierende Prioritäten.</w:t>
      </w:r>
    </w:p>
    <w:p>
      <w:r>
        <w:rPr>
          <w:b/>
          <w:sz w:val="19"/>
        </w:rPr>
        <w:t xml:space="preserve">Übertragbarkeit: </w:t>
      </w:r>
      <w:r>
        <w:rPr>
          <w:sz w:val="19"/>
        </w:rPr>
        <w:t>USA, aber Implementierungsmethode und Messrahmen sind auf deutsche Krankenhäuser übertragbar.</w:t>
      </w:r>
    </w:p>
    <w:p>
      <w:r>
        <w:rPr>
          <w:color w:val="5A7D3A"/>
          <w:sz w:val="18"/>
        </w:rPr>
        <w:t>https://pubmed.ncbi.nlm.nih.gov/42904678/</w:t>
      </w:r>
    </w:p>
    <w:p>
      <w:pPr>
        <w:pStyle w:val="Heading2"/>
      </w:pPr>
      <w:r>
        <w:t>Age-Friendly 4Ms in Sicherheitsnetzklnik: Implementierung bei älteren vulnerable Patienten</w:t>
      </w:r>
    </w:p>
    <w:p>
      <w:r>
        <w:rPr>
          <w:i/>
          <w:color w:val="666666"/>
          <w:sz w:val="18"/>
        </w:rPr>
        <w:t>Ohuabunwa UK et al.  ·  NEJM Catal Innov Care Deliv  ·  21.10.2026  ·  PMID 42904677</w:t>
      </w:r>
    </w:p>
    <w:p>
      <w:r>
        <w:t>Implementierungsstudie der 4Ms-Rahmenwerk (What Matters, Medication, Mentation, Mobility) plus Malnutrition und Übergangspflege in Safety-Net-Klinik mit 3427 älteren Patienten (79,3 Jahre, 64% Afroamerikaner).</w:t>
      </w:r>
    </w:p>
    <w:p>
      <w:r>
        <w:rPr>
          <w:b/>
        </w:rPr>
        <w:t xml:space="preserve">Ergebnis: </w:t>
      </w:r>
      <w:r>
        <w:t>Über zwei Jahre (März 2024–März 2026) erreichte die AFHS-Implementierung 100% Einhaltung bei 5 von 14 Protokollen, &gt;90% bei 5 weiteren. Was Matters-Dokumentation 74%, Delirium-Screening 98%, Funktionskapazitätsbewertung 96%. Assoziation mit Deliriumrate-Reduktion und verkürzter Krankenhausliegedauer.</w:t>
      </w:r>
    </w:p>
    <w:p>
      <w:r>
        <w:rPr>
          <w:b/>
          <w:sz w:val="19"/>
        </w:rPr>
        <w:t xml:space="preserve">Übertragbarkeit: </w:t>
      </w:r>
      <w:r>
        <w:rPr>
          <w:sz w:val="19"/>
        </w:rPr>
        <w:t>USA-Sicherheitsnetzkontext, aber 4Ms-Framework und Messmethoden sind übertragbar.</w:t>
      </w:r>
    </w:p>
    <w:p>
      <w:r>
        <w:rPr>
          <w:color w:val="5A7D3A"/>
          <w:sz w:val="18"/>
        </w:rPr>
        <w:t>https://pubmed.ncbi.nlm.nih.gov/42904677/</w:t>
      </w:r>
    </w:p>
    <w:p>
      <w:pPr>
        <w:pStyle w:val="Heading1"/>
      </w:pPr>
      <w:r>
        <w:t>Aufgenommen am 23.10.2026</w:t>
      </w:r>
    </w:p>
    <w:p>
      <w:pPr>
        <w:pStyle w:val="Heading2"/>
      </w:pPr>
      <w:r>
        <w:t>Interprofessionelle Schulung und Workflow verbessern geriatrisches Screening in Hausarztpraxen</w:t>
      </w:r>
    </w:p>
    <w:p>
      <w:r>
        <w:rPr>
          <w:i/>
          <w:color w:val="666666"/>
          <w:sz w:val="18"/>
        </w:rPr>
        <w:t>Litzelman DK et al.  ·  BMC Geriatr  ·  23.07.2026  ·  PMID 42907743</w:t>
      </w:r>
    </w:p>
    <w:p>
      <w:r>
        <w:t>US-amerikanische Studie mit 56 Hausärzten, 180 Assistenzärzten und 8818 älteren Patienten an acht Primärversorgungsstellen evaluierte ein Schulungs- und Systeminterventionsprogramm basierend auf dem Age-Friendly 4Ms-Rahmenwerk.</w:t>
      </w:r>
    </w:p>
    <w:p>
      <w:r>
        <w:rPr>
          <w:b/>
        </w:rPr>
        <w:t xml:space="preserve">Ergebnis: </w:t>
      </w:r>
      <w:r>
        <w:t>Nach Intervention verbesserten sich Screening-Raten für Demenz (OR 1,27, 95%-KI 0,98–1,63) und Sturzrisiko (OR 1,40, 95%-KI 1,00–1,95), mit Sturzrisiko-Screening zeigend die stärksten Verbesserungen (+0,64% pro Monat, p&lt;0,001). Kliniken mit stärkerer Systemintegration zeigten die robustesten Verbesserungen; Opioid-Screening und Advance-Care-Planning-Dokumentation nahmen ab.</w:t>
      </w:r>
    </w:p>
    <w:p>
      <w:r>
        <w:rPr>
          <w:b/>
          <w:sz w:val="19"/>
        </w:rPr>
        <w:t xml:space="preserve">Übertragbarkeit: </w:t>
      </w:r>
      <w:r>
        <w:rPr>
          <w:sz w:val="19"/>
        </w:rPr>
        <w:t>USA, Primärversorgung; Methoden auf deutsches Praxissystem übertragbar, aber Organisationsstruktur unterscheidet sich</w:t>
      </w:r>
    </w:p>
    <w:p>
      <w:r>
        <w:rPr>
          <w:color w:val="5A7D3A"/>
          <w:sz w:val="18"/>
        </w:rPr>
        <w:t>https://pubmed.ncbi.nlm.nih.gov/42907743/</w:t>
      </w:r>
    </w:p>
    <w:p>
      <w:pPr>
        <w:pStyle w:val="Heading2"/>
      </w:pPr>
      <w:r>
        <w:t>COVID-19 und Opioide kürzten Lebenserwartung in Kanada um 0,68 Jahre</w:t>
      </w:r>
    </w:p>
    <w:p>
      <w:r>
        <w:rPr>
          <w:i/>
          <w:color w:val="666666"/>
          <w:sz w:val="18"/>
        </w:rPr>
        <w:t>Sirag A et al.  ·  Health Rep  ·  21.10.2026  ·  PMID 42905875</w:t>
      </w:r>
    </w:p>
    <w:p>
      <w:r>
        <w:t>Kanadische Vital-Statistik-Studie verglich Sterblichkeits-Todesursachen-Stiftung zwischen 2017–2019 und 2020–2022 mittels Arriaga-Dekomposition, um die Beiträge einzelner Todesursachen zum Rückgang der Lebenserwartung bei der Geburt zu quantifizieren.</w:t>
      </w:r>
    </w:p>
    <w:p>
      <w:r>
        <w:rPr>
          <w:b/>
        </w:rPr>
        <w:t xml:space="preserve">Ergebnis: </w:t>
      </w:r>
      <w:r>
        <w:t>COVID-19 war der größte einzelne Beitrag zum Rückgang der Lebenserwartung bei der Geburt in Kanada (–0,46 Jahre für beide Geschlechter). Opioid-bedingte Todesfälle trugen –0,22 Jahre bei, während Krebserkrankungen einen geringen Anstieg (+0,17 Jahre) verursachten. Gesamtrückgang etwa 0,68 Jahre, hauptsächlich durch pandemic-direkte und indirekte Effekte.</w:t>
      </w:r>
    </w:p>
    <w:p>
      <w:r>
        <w:rPr>
          <w:b/>
          <w:sz w:val="19"/>
        </w:rPr>
        <w:t xml:space="preserve">Übertragbarkeit: </w:t>
      </w:r>
      <w:r>
        <w:rPr>
          <w:sz w:val="19"/>
        </w:rPr>
        <w:t>Kanada, vergleichbare Sozialversicherung und Lebenserwartung wie Deutschland; Methode und Prioritäten übertragbar</w:t>
      </w:r>
    </w:p>
    <w:p>
      <w:r>
        <w:rPr>
          <w:color w:val="5A7D3A"/>
          <w:sz w:val="18"/>
        </w:rPr>
        <w:t>https://pubmed.ncbi.nlm.nih.gov/42905875/</w:t>
      </w:r>
    </w:p>
    <w:p>
      <w:pPr>
        <w:pStyle w:val="Heading2"/>
      </w:pPr>
      <w:r>
        <w:t>Pflanzenbasierte Ernährung senkt Frailty-Risiko bei älteren Erwachsenen</w:t>
      </w:r>
    </w:p>
    <w:p>
      <w:r>
        <w:rPr>
          <w:i/>
          <w:color w:val="666666"/>
          <w:sz w:val="18"/>
        </w:rPr>
        <w:t>Lin J et al.  ·  Age Ageing  ·  03.08.2026  ·  PMID 42905723</w:t>
      </w:r>
    </w:p>
    <w:p>
      <w:r>
        <w:t>Studie mit 8628 älteren Erwachsenen aus drei Kohorten (CLHLS, HRS, ELSA) untersuchte die Assoziation verschiedener pflanzlicher Ernährungsmuster mit Frailty mittels Mundlak-Dekomposition.</w:t>
      </w:r>
    </w:p>
    <w:p>
      <w:r>
        <w:rPr>
          <w:b/>
        </w:rPr>
        <w:t xml:space="preserve">Ergebnis: </w:t>
      </w:r>
      <w:r>
        <w:t>Höhere Gesamtscores für pflanzenbasierte Diät waren mit niedrigerem Frailty-Risiko assoziiert (ORs 0,71–0,80 über alle drei Kohorten), während ungesunde pflanzliche Muster mit erhöhtem Risiko verbunden waren (ORs 1,24–1,41). Nüsse, Gemüse und Pflanzenöle zeigten überwiegend inverse Assoziationen mit mehreren Frailty-Domänen.</w:t>
      </w:r>
    </w:p>
    <w:p>
      <w:r>
        <w:rPr>
          <w:b/>
          <w:sz w:val="19"/>
        </w:rPr>
        <w:t xml:space="preserve">Übertragbarkeit: </w:t>
      </w:r>
      <w:r>
        <w:rPr>
          <w:sz w:val="19"/>
        </w:rPr>
        <w:t>UK, China, internationale Kohorten; Ernährungsmessungen und Frailty-Definition übertragbar auf deutsches Gesundheitssystem</w:t>
      </w:r>
    </w:p>
    <w:p>
      <w:r>
        <w:rPr>
          <w:color w:val="5A7D3A"/>
          <w:sz w:val="18"/>
        </w:rPr>
        <w:t>https://pubmed.ncbi.nlm.nih.gov/42905723/</w:t>
      </w:r>
    </w:p>
    <w:p>
      <w:pPr>
        <w:pStyle w:val="Heading2"/>
      </w:pPr>
      <w:r>
        <w:t>Multimorbidität kostet weltweit älteren Menschen 363 Milliarden Dollar pro Jahr</w:t>
      </w:r>
    </w:p>
    <w:p>
      <w:r>
        <w:rPr>
          <w:i/>
          <w:color w:val="666666"/>
          <w:sz w:val="18"/>
        </w:rPr>
        <w:t>Ji W et al.  ·  JAMA Netw Open  ·  01.10.2026  ·  PMID 42905709</w:t>
      </w:r>
    </w:p>
    <w:p>
      <w:r>
        <w:t>Globale ökonomische Evaluationsstudie mit Daten aus 204 Ländern (2000–2023) quantifizierte die gesundheitliche und finanzielle Last von Multimorbidität (78 Kombinationen) bei Erwachsenen ≥60 Jahren mittels Global Burden of Disease 2023 und makroökonomischen Daten.</w:t>
      </w:r>
    </w:p>
    <w:p>
      <w:r>
        <w:rPr>
          <w:b/>
        </w:rPr>
        <w:t xml:space="preserve">Ergebnis: </w:t>
      </w:r>
      <w:r>
        <w:t>Von 2000 bis 2023 stiegen die Jahre mit Behinderung (YLDs) von 2368 auf 2942 pro 100.000 Erwachsene ≥60 Jahren; wirtschaftliche Verluste nahmen von 80,1 Milliarden auf 363,25 Milliarden USD (kaufkraftparitätsbereinigt) zu. Schnellstes Wachstum: Diabetes, Angststörungen und Parkinson (AAPC 9,92% für Kosten). Höchste YLD-Rate: Osteoarthritis mit Alzheimer/Demenz (369,87 pro 100.000).</w:t>
      </w:r>
    </w:p>
    <w:p>
      <w:r>
        <w:rPr>
          <w:b/>
          <w:sz w:val="19"/>
        </w:rPr>
        <w:t xml:space="preserve">Übertragbarkeit: </w:t>
      </w:r>
      <w:r>
        <w:rPr>
          <w:sz w:val="19"/>
        </w:rPr>
        <w:t>Global, 204 Länder; Dimensionen und Trends übertragbar, aber absolute Kosten hängen von Finanzierungssystem und Lebenserwartung ab</w:t>
      </w:r>
    </w:p>
    <w:p>
      <w:r>
        <w:rPr>
          <w:color w:val="5A7D3A"/>
          <w:sz w:val="18"/>
        </w:rPr>
        <w:t>https://pubmed.ncbi.nlm.nih.gov/42905709/</w:t>
      </w:r>
    </w:p>
    <w:p>
      <w:pPr>
        <w:pStyle w:val="Heading2"/>
      </w:pPr>
      <w:r>
        <w:t>Feinstaub beschleunigt kardiovaskuläres Altern über Seneszenz und Entzündung</w:t>
      </w:r>
    </w:p>
    <w:p>
      <w:r>
        <w:rPr>
          <w:i/>
          <w:color w:val="666666"/>
          <w:sz w:val="18"/>
        </w:rPr>
        <w:t>Yadav P et al.  ·  Cardiovasc Toxicol  ·  21.10.2026  ·  PMID 42905338</w:t>
      </w:r>
    </w:p>
    <w:p>
      <w:r>
        <w:t>Scoping Review mit konzeptuellem PACA-Framework (Pollution-Accelerated Cardiovascular Aging) integrierte Evidenz zu Feinstaub-Exposition (PM2,5, ultrafeine Partikel) und kardiovaskulärem Altern durch Mitochondrien-Dysfunktion, Seneszenz, epigenetische Änderungen und autonome Dysregulation.</w:t>
      </w:r>
    </w:p>
    <w:p>
      <w:r>
        <w:rPr>
          <w:b/>
        </w:rPr>
        <w:t xml:space="preserve">Ergebnis: </w:t>
      </w:r>
      <w:r>
        <w:t>Framework schlägt Temporal-Evidence-Matrix vor, die Expositions-Kinetik, Lebensverlauf-Timing, Persistenz nach Expositions-Ende, Dosis-Wirkungs-Beziehungen und longitudinale Veränderungen relativ zu altersreferenzierten Vergleichern nutzt. Persistierende oder unvollständig reversible Defizite deuten auf chronische Verletzung hin; stärkere Evidenz für kardiovaskuläres Aging erfordert wiederholte Demonstration größerer Veränderungsraten als chronologisch erwartet.</w:t>
      </w:r>
    </w:p>
    <w:p>
      <w:r>
        <w:rPr>
          <w:b/>
          <w:sz w:val="19"/>
        </w:rPr>
        <w:t xml:space="preserve">Übertragbarkeit: </w:t>
      </w:r>
      <w:r>
        <w:rPr>
          <w:sz w:val="19"/>
        </w:rPr>
        <w:t>Überwiegend Tiermodelle und mechanistische Daten; PACA-Framework theoretisch, keine klinischen Endpunkte gemessen</w:t>
      </w:r>
    </w:p>
    <w:p>
      <w:r>
        <w:rPr>
          <w:color w:val="5A7D3A"/>
          <w:sz w:val="18"/>
        </w:rPr>
        <w:t>https://pubmed.ncbi.nlm.nih.gov/42905338/</w:t>
      </w:r>
    </w:p>
    <w:p>
      <w:pPr>
        <w:pStyle w:val="Heading2"/>
      </w:pPr>
      <w:r>
        <w:t>Frailty-Index prognostiziert post-ERCP-Pankreatitis bei älteren Patienten</w:t>
      </w:r>
    </w:p>
    <w:p>
      <w:r>
        <w:rPr>
          <w:i/>
          <w:color w:val="666666"/>
          <w:sz w:val="18"/>
        </w:rPr>
        <w:t>Zhang F et al.  ·  Clin Interv Aging  ·  16.10.2026  ·  PMID 42904120</w:t>
      </w:r>
    </w:p>
    <w:p>
      <w:r>
        <w:t>Retrospektive Studie von 696 älteren Patienten (≥65 Jahre), die sich einer endoskopischen retrograden Cholangiopankreatographie unterzogen, untersuchte den Zusammenhang zwischen präoperativer Frailty und post-ERCP-Pankreatitis mittels elektronischem Frailty-Index.</w:t>
      </w:r>
    </w:p>
    <w:p>
      <w:r>
        <w:rPr>
          <w:b/>
        </w:rPr>
        <w:t xml:space="preserve">Ergebnis: </w:t>
      </w:r>
      <w:r>
        <w:t>Von 696 Patienten entwickelten 79 (11,4%) eine post-ERCP-Pankreatitis. Nach multivariater Anpassung war Frailty mit höheren Chancen verbunden (OR 2,09, 95%-KI 1,08–4,05, p=0,028). Hinzunahme von Frailty zum Referenzmodell verbesserte die Diskrimination (AUC 0,714 zu 0,755, p=0,031); Netto-Reklassifizierungsverbesserung betrug 0,516.</w:t>
      </w:r>
    </w:p>
    <w:p>
      <w:r>
        <w:rPr>
          <w:b/>
          <w:sz w:val="19"/>
        </w:rPr>
        <w:t xml:space="preserve">Übertragbarkeit: </w:t>
      </w:r>
      <w:r>
        <w:rPr>
          <w:sz w:val="19"/>
        </w:rPr>
        <w:t>China; Frailty-Messung und Endoskopie-Risiken gelten international, aber Patientenpopulation und Gesundheitssystem unterscheiden sich</w:t>
      </w:r>
    </w:p>
    <w:p>
      <w:r>
        <w:rPr>
          <w:color w:val="5A7D3A"/>
          <w:sz w:val="18"/>
        </w:rPr>
        <w:t>https://pubmed.ncbi.nlm.nih.gov/42904120/</w:t>
      </w:r>
    </w:p>
    <w:p>
      <w:pPr>
        <w:pStyle w:val="Heading1"/>
      </w:pPr>
      <w:r>
        <w:t>Aufgenommen am 22.10.2026</w:t>
      </w:r>
    </w:p>
    <w:p>
      <w:pPr>
        <w:pStyle w:val="Heading2"/>
      </w:pPr>
      <w:r>
        <w:t>Notfallchirurgie bei über 90-Jährigen: regionale Unterschiede in der Langzeitsterblichkeit</w:t>
      </w:r>
    </w:p>
    <w:p>
      <w:r>
        <w:rPr>
          <w:i/>
          <w:color w:val="666666"/>
          <w:sz w:val="18"/>
        </w:rPr>
        <w:t>Suh JM et al.  ·  Crit Care  ·  25.07.2026  ·  PMID 42902313</w:t>
      </w:r>
    </w:p>
    <w:p>
      <w:r>
        <w:t>Nationale bevölkerungsbasierte Kohortenstudie an 4.887 über 90-Jährigen nach Notfalloperation mit Vergleich regionaler vs. metropolitaner Versorgung in Australien.</w:t>
      </w:r>
    </w:p>
    <w:p>
      <w:r>
        <w:rPr>
          <w:b/>
        </w:rPr>
        <w:t xml:space="preserve">Ergebnis: </w:t>
      </w:r>
      <w:r>
        <w:t>ICU- und Krankenhaussterblichkeit regional nicht unterschiedlich. Nach Entlassung regional/remote wohnhafte Patienten mit höherer 5-Jahres-Mortalität (adjustierte HR 1,133, 95%-KI 1,027–1,250, p=0,013). Überlebensvorteil der Metropolen erst nach Entlassung sichtbar.</w:t>
      </w:r>
    </w:p>
    <w:p>
      <w:r>
        <w:rPr>
          <w:b/>
          <w:sz w:val="19"/>
        </w:rPr>
        <w:t xml:space="preserve">Übertragbarkeit: </w:t>
      </w:r>
      <w:r>
        <w:rPr>
          <w:sz w:val="19"/>
        </w:rPr>
        <w:t>Australien, vergleichbare Gesundheitssysteme; zeigt Bedeutung regionaler Nachsorge für universelle Alterspopulation.</w:t>
      </w:r>
    </w:p>
    <w:p>
      <w:r>
        <w:rPr>
          <w:color w:val="5A7D3A"/>
          <w:sz w:val="18"/>
        </w:rPr>
        <w:t>https://pubmed.ncbi.nlm.nih.gov/42902313/</w:t>
      </w:r>
    </w:p>
    <w:p>
      <w:pPr>
        <w:pStyle w:val="Heading2"/>
      </w:pPr>
      <w:r>
        <w:t>Frühe Widrigkeiten und Lebensqualität im Alter: Langzeitfolgen für erfolgreiche Alternstrajectoria</w:t>
      </w:r>
    </w:p>
    <w:p>
      <w:r>
        <w:rPr>
          <w:i/>
          <w:color w:val="666666"/>
          <w:sz w:val="18"/>
        </w:rPr>
        <w:t>Yang K et al.  ·  BMC Geriatr  ·  24.07.2026  ·  PMID 42902202</w:t>
      </w:r>
    </w:p>
    <w:p>
      <w:r>
        <w:t>Prospektive Kohortenstudie an 3.092 älteren Chinesen, die vier Muster ungünstiger Kindheitserfahrungen mit Trajectoria gelungenen Alterns über acht Jahre verband.</w:t>
      </w:r>
    </w:p>
    <w:p>
      <w:r>
        <w:rPr>
          <w:b/>
        </w:rPr>
        <w:t xml:space="preserve">Ergebnis: </w:t>
      </w:r>
      <w:r>
        <w:t>Pervasive Adversität (OR 1,97, 95%-KI 1,10–3,83) und Haushalts-Dysfunktion (OR 1,36, 95%-KI 1,07–1,74) verbunden mit ungünstiger Trajectoria. Niedrige Schulbildung stärkster Prädiktor (OR 5,23, 95%-KI 3,84–7,13). Netzwerk-Analyse zeigte stärkere Koppelung von Kognition und chronischem Leiden in der Gruppe mit schlechterer Trajectoria.</w:t>
      </w:r>
    </w:p>
    <w:p>
      <w:r>
        <w:rPr>
          <w:b/>
          <w:sz w:val="19"/>
        </w:rPr>
        <w:t xml:space="preserve">Übertragbarkeit: </w:t>
      </w:r>
      <w:r>
        <w:rPr>
          <w:sz w:val="19"/>
        </w:rPr>
        <w:t>China, CHARLS-Daten; begrenzte Direktübertragbarkeit auf deutsche Versorgung, psychosoziale Mechanismen aber universal.</w:t>
      </w:r>
    </w:p>
    <w:p>
      <w:r>
        <w:rPr>
          <w:color w:val="5A7D3A"/>
          <w:sz w:val="18"/>
        </w:rPr>
        <w:t>https://pubmed.ncbi.nlm.nih.gov/42902202/</w:t>
      </w:r>
    </w:p>
    <w:p>
      <w:pPr>
        <w:pStyle w:val="Heading2"/>
      </w:pPr>
      <w:r>
        <w:t>Frailty und intraoperative Hypotonie bei älteren Patienten mit Hüftfrakturchirurgie</w:t>
      </w:r>
    </w:p>
    <w:p>
      <w:r>
        <w:rPr>
          <w:i/>
          <w:color w:val="666666"/>
          <w:sz w:val="18"/>
        </w:rPr>
        <w:t>Sutthibenjakul K et al.  ·  BMC Geriatr  ·  22.07.2026  ·  PMID 42902188</w:t>
      </w:r>
    </w:p>
    <w:p>
      <w:r>
        <w:t>Retrospektive Kohortenstudie an 522 Patienten ≥65 Jahren mit modifiziertem Frailty-Index zur Assoziation mit perioperativen Blutdruckabfällen.</w:t>
      </w:r>
    </w:p>
    <w:p>
      <w:r>
        <w:rPr>
          <w:b/>
        </w:rPr>
        <w:t xml:space="preserve">Ergebnis: </w:t>
      </w:r>
      <w:r>
        <w:t>Von 522 Patienten 23,8% gebrechlich, 57,1% mit intraoperativer Hypotonie (MAP &lt;65 mmHg). Frailty war nicht unabhängig mit Auftreten der Hypotonie assoziiert (OR 0,77, 95%-KI 0,38–1,53), aber gebrechliche Patienten zeigten längere kumulative Dauer der Hypotonie (p=0,045).</w:t>
      </w:r>
    </w:p>
    <w:p>
      <w:r>
        <w:rPr>
          <w:b/>
          <w:sz w:val="19"/>
        </w:rPr>
        <w:t xml:space="preserve">Übertragbarkeit: </w:t>
      </w:r>
      <w:r>
        <w:rPr>
          <w:sz w:val="19"/>
        </w:rPr>
        <w:t>Thailand, retrospektive Klinikdaten; Frailty-Assessment und perioperatives Monitoring als universelle Prinzipien übertragbar.</w:t>
      </w:r>
    </w:p>
    <w:p>
      <w:r>
        <w:rPr>
          <w:color w:val="5A7D3A"/>
          <w:sz w:val="18"/>
        </w:rPr>
        <w:t>https://pubmed.ncbi.nlm.nih.gov/42902188/</w:t>
      </w:r>
    </w:p>
    <w:p>
      <w:pPr>
        <w:pStyle w:val="Heading2"/>
      </w:pPr>
      <w:r>
        <w:t>Pflegen im Alter: Belastung, psychische Gesundheit und der Schutzeffekt sozialer Ressourcen</w:t>
      </w:r>
    </w:p>
    <w:p>
      <w:r>
        <w:rPr>
          <w:i/>
          <w:color w:val="666666"/>
          <w:sz w:val="18"/>
        </w:rPr>
        <w:t>Chaaya M et al.  ·  BMC Geriatr  ·  22.07.2026  ·  PMID 42902165</w:t>
      </w:r>
    </w:p>
    <w:p>
      <w:r>
        <w:t>Querschnittsstudie an 434 älteren Pflegepersonen im Libanon zur Assoziation zwischen Pflegebelastung und Depression/Angst sowie moderierenden Effekten.</w:t>
      </w:r>
    </w:p>
    <w:p>
      <w:r>
        <w:rPr>
          <w:b/>
        </w:rPr>
        <w:t xml:space="preserve">Ergebnis: </w:t>
      </w:r>
      <w:r>
        <w:t>36,4% mit hoher Pflegebelastung. Hohe Belastung verbunden mit um 7,65 Punkte höheren Depressionsscores (95%-KI 3,48–11,8) und 2,84 Punkte höheren Angstscores (95%-KI 0,73–4,95). Emotionale Unterstützung minderte signifikant den Belastungs-Depressionseffekt; finanzielle Ressourcen nicht.</w:t>
      </w:r>
    </w:p>
    <w:p>
      <w:r>
        <w:rPr>
          <w:b/>
          <w:sz w:val="19"/>
        </w:rPr>
        <w:t xml:space="preserve">Übertragbarkeit: </w:t>
      </w:r>
      <w:r>
        <w:rPr>
          <w:sz w:val="19"/>
        </w:rPr>
        <w:t>Libanon, ungleiche Gesundheitssysteme und Rentensicherung zu Deutschland, aber Mechanismus psychischer Belastung durch informale Pflege universal relevant.</w:t>
      </w:r>
    </w:p>
    <w:p>
      <w:r>
        <w:rPr>
          <w:color w:val="5A7D3A"/>
          <w:sz w:val="18"/>
        </w:rPr>
        <w:t>https://pubmed.ncbi.nlm.nih.gov/42902165/</w:t>
      </w:r>
    </w:p>
    <w:p>
      <w:pPr>
        <w:pStyle w:val="Heading2"/>
      </w:pPr>
      <w:r>
        <w:t>Lipid-Entzündung und Frailty als gemeinsame Treiber der cardiometabolischen Multimorbidität</w:t>
      </w:r>
    </w:p>
    <w:p>
      <w:r>
        <w:rPr>
          <w:i/>
          <w:color w:val="666666"/>
          <w:sz w:val="18"/>
        </w:rPr>
        <w:t>Zhao S et al.  ·  BMC Cardiovasc Disord  ·  25.07.2026  ·  PMID 42902143</w:t>
      </w:r>
    </w:p>
    <w:p>
      <w:r>
        <w:t>Nationale Kohortenstudie an 5.779 chinesischen Erwachsenen zur gemeinsamen Assoziation von Restcholesterin-Entzündungsindex und Frailty mit neuaufgetretener Multimorbidität.</w:t>
      </w:r>
    </w:p>
    <w:p>
      <w:r>
        <w:rPr>
          <w:b/>
        </w:rPr>
        <w:t xml:space="preserve">Ergebnis: </w:t>
      </w:r>
      <w:r>
        <w:t>510 Fälle Multimorbidität über Beobachtungszeit. Hoher RCII kombiniert mit Frailty zeigte HR 2,622 (95%-KI 1,972–3,488). Kumulativer RCII mit Frailty HR 2,849 (95%-KI 2,178–3,726). Modell mit kumulativem RCII und Frailty zeigte höheres AUC als reiner RCII (0,757 vs. 0,740). Additive/multiplikative Interaktion nach voller Anpassung nicht signifikant.</w:t>
      </w:r>
    </w:p>
    <w:p>
      <w:r>
        <w:rPr>
          <w:b/>
          <w:sz w:val="19"/>
        </w:rPr>
        <w:t xml:space="preserve">Übertragbarkeit: </w:t>
      </w:r>
      <w:r>
        <w:rPr>
          <w:sz w:val="19"/>
        </w:rPr>
        <w:t>China, CHARLS; lipidmetabolische Pathways aber transkulturelles Phänomen, Frailty-Screening in Primärversorgung universell.</w:t>
      </w:r>
    </w:p>
    <w:p>
      <w:r>
        <w:rPr>
          <w:color w:val="5A7D3A"/>
          <w:sz w:val="18"/>
        </w:rPr>
        <w:t>https://pubmed.ncbi.nlm.nih.gov/42902143/</w:t>
      </w:r>
    </w:p>
    <w:p>
      <w:pPr>
        <w:pStyle w:val="Heading2"/>
      </w:pPr>
      <w:r>
        <w:t>Wundinfektion nach Herzbypass bei gebrechlichen älteren Patienten: Risikofaktoren und Intervention</w:t>
      </w:r>
    </w:p>
    <w:p>
      <w:r>
        <w:rPr>
          <w:i/>
          <w:color w:val="666666"/>
          <w:sz w:val="18"/>
        </w:rPr>
        <w:t>Guerrieri M et al.  ·  JMIR Cardio  ·  16.10.2026  ·  PMID 42886572</w:t>
      </w:r>
    </w:p>
    <w:p>
      <w:r>
        <w:t>Retrospektive Multicenter-Studie an 467 gebrechlichen/pregebrechlichen Patienten ≥60 Jahren nach Koronarchirurgie zur Assoziation mit Wundinfektionen.</w:t>
      </w:r>
    </w:p>
    <w:p>
      <w:r>
        <w:rPr>
          <w:b/>
        </w:rPr>
        <w:t xml:space="preserve">Ergebnis: </w:t>
      </w:r>
      <w:r>
        <w:t>Wundinfektionsrate 5,6% (26/467). Im multivariaten Modell unabhängig assoziiert: Charlson-Komorbiditätsindex (OR 1,58, 95%-KI 1,25–1,99, p&lt;0,001) und Einsatz kardiopulmonaler Bypass (OR 4,89, 95%-KI 1,71–13,94, p=0,003). Komplikationsraten sonst zwischen Gruppen ähnlich.</w:t>
      </w:r>
    </w:p>
    <w:p>
      <w:r>
        <w:rPr>
          <w:b/>
          <w:sz w:val="19"/>
        </w:rPr>
        <w:t xml:space="preserve">Übertragbarkeit: </w:t>
      </w:r>
      <w:r>
        <w:rPr>
          <w:sz w:val="19"/>
        </w:rPr>
        <w:t>Brasilien, andere Gesundheitsfinanzierung; Frailty-stratifizierte perioperative Risikoadjustierung aber prinzipiell übertragbar.</w:t>
      </w:r>
    </w:p>
    <w:p>
      <w:r>
        <w:rPr>
          <w:color w:val="5A7D3A"/>
          <w:sz w:val="18"/>
        </w:rPr>
        <w:t>https://pubmed.ncbi.nlm.nih.gov/42886572/</w:t>
      </w:r>
    </w:p>
    <w:p>
      <w:pPr>
        <w:pStyle w:val="Heading1"/>
      </w:pPr>
      <w:r>
        <w:t>Aufgenommen am 21.10.2026</w:t>
      </w:r>
    </w:p>
    <w:p>
      <w:pPr>
        <w:pStyle w:val="Heading2"/>
      </w:pPr>
      <w:r>
        <w:t>Soziale Vulnerabilität als Frailty-Dimension in neurodegenerativen Erkrankungen</w:t>
      </w:r>
    </w:p>
    <w:p>
      <w:r>
        <w:rPr>
          <w:i/>
          <w:color w:val="666666"/>
          <w:sz w:val="18"/>
        </w:rPr>
        <w:t>Panzavolta A et al.  ·  Neurol Sci  ·  20.10.2026  ·  PMID 42900408</w:t>
      </w:r>
    </w:p>
    <w:p>
      <w:r>
        <w:t>Querschnittsstudie mit 47 Alzheimer-, 24 Frontotemporale-Demenz- und 66 Kontrollpersonen zur Messung physischer und sozialer Frailty mittels 60-Item-Fragebogen.</w:t>
      </w:r>
    </w:p>
    <w:p>
      <w:r>
        <w:rPr>
          <w:b/>
        </w:rPr>
        <w:t xml:space="preserve">Ergebnis: </w:t>
      </w:r>
      <w:r>
        <w:t>Demenzpatienten zeigten signifikant höhere globale (gFI) und soziale Frailty-Scores (sFI) als Kontrollen; sFI korrelierte mit Schweregrad und kognitiven Mustern bei beiden Demenzformen. Physische Frailty unterschied sich nicht zwischen Gruppen.</w:t>
      </w:r>
    </w:p>
    <w:p>
      <w:r>
        <w:rPr>
          <w:b/>
          <w:sz w:val="19"/>
        </w:rPr>
        <w:t xml:space="preserve">Übertragbarkeit: </w:t>
      </w:r>
      <w:r>
        <w:rPr>
          <w:sz w:val="19"/>
        </w:rPr>
        <w:t>Italien, europäische Versorgungsstruktur; soziale Frailty-Dimension relevant für deutschsprachige geriatrische Praxis.</w:t>
      </w:r>
    </w:p>
    <w:p>
      <w:r>
        <w:rPr>
          <w:color w:val="5A7D3A"/>
          <w:sz w:val="18"/>
        </w:rPr>
        <w:t>https://pubmed.ncbi.nlm.nih.gov/42900408/</w:t>
      </w:r>
    </w:p>
    <w:p>
      <w:pPr>
        <w:pStyle w:val="Heading2"/>
      </w:pPr>
      <w:r>
        <w:t>Unterschiedliche Verlaufsmuster oraler Frailty nach Zahnimplantaten im Alter</w:t>
      </w:r>
    </w:p>
    <w:p>
      <w:r>
        <w:rPr>
          <w:i/>
          <w:color w:val="666666"/>
          <w:sz w:val="18"/>
        </w:rPr>
        <w:t>Zhang Y et al.  ·  Front Public Health  ·  05.10.2026  ·  PMID 42898353</w:t>
      </w:r>
    </w:p>
    <w:p>
      <w:r>
        <w:t>Prospektive Kohortenstudie mit 211 älteren Patienten ≥60 Jahre, die Zahnimplantate erhielten, zur Identifizierung von Frailty-Trajektorien über 12 Monate mittels latent class growth modelling.</w:t>
      </w:r>
    </w:p>
    <w:p>
      <w:r>
        <w:rPr>
          <w:b/>
        </w:rPr>
        <w:t xml:space="preserve">Ergebnis: </w:t>
      </w:r>
      <w:r>
        <w:t>Drei Trajektorien wurden identifiziert: Rascher Rückgang-Stabil (42,7 %), Gradueller Rückgang-Plateau (35,1 %), Persistiert-Hohes-Risiko (22,2 %). Unabhängige Prädiktoren für die Hochrisiko-Gruppe: Alter (aOR 1,12), Polypharmazie (aOR 1,25), fehlende Zähne (aOR 1,09).</w:t>
      </w:r>
    </w:p>
    <w:p>
      <w:r>
        <w:rPr>
          <w:b/>
          <w:sz w:val="19"/>
        </w:rPr>
        <w:t xml:space="preserve">Übertragbarkeit: </w:t>
      </w:r>
      <w:r>
        <w:rPr>
          <w:sz w:val="19"/>
        </w:rPr>
        <w:t>China, aber klinisch-geriatrische Fragestellung; Polypharmazie-Effekt global relevant.</w:t>
      </w:r>
    </w:p>
    <w:p>
      <w:r>
        <w:rPr>
          <w:color w:val="5A7D3A"/>
          <w:sz w:val="18"/>
        </w:rPr>
        <w:t>https://pubmed.ncbi.nlm.nih.gov/42898353/</w:t>
      </w:r>
    </w:p>
    <w:p>
      <w:pPr>
        <w:pStyle w:val="Heading2"/>
      </w:pPr>
      <w:r>
        <w:t>Ernährungsvielfalt und gewonnene gesunde Lebensjahre bei älteren Erwachsenen</w:t>
      </w:r>
    </w:p>
    <w:p>
      <w:r>
        <w:rPr>
          <w:i/>
          <w:color w:val="666666"/>
          <w:sz w:val="18"/>
        </w:rPr>
        <w:t>Shi J et al.  ·  Front Public Health  ·  05.10.2026  ·  PMID 42898119</w:t>
      </w:r>
    </w:p>
    <w:p>
      <w:r>
        <w:t>Prospektive Kohortenstudie mit 9.953 Teilnehmern ≥65 Jahre zur Assoziation zwischen Ernährungsvielfalt und gewonnenen gesunden Lebensjahren (HLE) mittels Multistate-Analyse.</w:t>
      </w:r>
    </w:p>
    <w:p>
      <w:r>
        <w:rPr>
          <w:b/>
        </w:rPr>
        <w:t xml:space="preserve">Ergebnis: </w:t>
      </w:r>
      <w:r>
        <w:t>Bei hoher vs. niedriger Ernährungsvielfalt verlängerte sich die Lebenserwartung mit 65 Jahren um 1,26 Jahre (14,54 vs. 15,80 Jahre) und die HLE um 0,90 Jahre (13,32 vs. 14,22 Jahre). Höhere Ernährungsvielfalt war mit niedrigeren Sterblichkeitsübergängen aus Gesundheit und Behinderung verbunden; diese Unterschiede waren bei Männern und Stadtbewohnern ausgeprägter.</w:t>
      </w:r>
    </w:p>
    <w:p>
      <w:r>
        <w:rPr>
          <w:b/>
          <w:sz w:val="19"/>
        </w:rPr>
        <w:t xml:space="preserve">Übertragbarkeit: </w:t>
      </w:r>
      <w:r>
        <w:rPr>
          <w:sz w:val="19"/>
        </w:rPr>
        <w:t>China, nur bedingt übertragbar - andere Ernährungsmuster und Kohorte ohne europäische Sozialversicherung.</w:t>
      </w:r>
    </w:p>
    <w:p>
      <w:r>
        <w:rPr>
          <w:color w:val="5A7D3A"/>
          <w:sz w:val="18"/>
        </w:rPr>
        <w:t>https://pubmed.ncbi.nlm.nih.gov/42898119/</w:t>
      </w:r>
    </w:p>
    <w:p>
      <w:pPr>
        <w:pStyle w:val="Heading2"/>
      </w:pPr>
      <w:r>
        <w:t>Frailty und atherogenic Index kombiniert vorhersagen Herz-Metab.-Multimorbidität bei Älteren</w:t>
      </w:r>
    </w:p>
    <w:p>
      <w:r>
        <w:rPr>
          <w:i/>
          <w:color w:val="666666"/>
          <w:sz w:val="18"/>
        </w:rPr>
        <w:t>Wu H et al.  ·  J Glob Health  ·  19.10.2026  ·  PMID 42895260</w:t>
      </w:r>
    </w:p>
    <w:p>
      <w:r>
        <w:t>Prospektive Kohortenstudie mit 4.157 Teilnehmern ≥45 Jahre (CHARLS) zur Assoziation zwischen kumulativem AIP-FI-Index (atherogenic index × 37-Deficit-Frailty-Index) und incident cardiometabolic multimorbidity über 8,5 Jahre mittels Cox-Modelle und Machine Learning.</w:t>
      </w:r>
    </w:p>
    <w:p>
      <w:r>
        <w:rPr>
          <w:b/>
        </w:rPr>
        <w:t xml:space="preserve">Ergebnis: </w:t>
      </w:r>
      <w:r>
        <w:t>612 CMM-Fälle: Kumulative AIP-FI zeigte stärkere Assoziation mit CMM-Risiko als Baseline-Wert (HR 1,46 pro SD). Höchstes vs. niedrigstes Quartil: HR 3,95 (95% CI 2,95–5,29). Prädiktive AUC 0,7117 mit NRI 0,157 über traditionelle Marker. Bidirektionale Synergieeffekte zwischen AIP und FI.</w:t>
      </w:r>
    </w:p>
    <w:p>
      <w:r>
        <w:rPr>
          <w:b/>
          <w:sz w:val="19"/>
        </w:rPr>
        <w:t xml:space="preserve">Übertragbarkeit: </w:t>
      </w:r>
      <w:r>
        <w:rPr>
          <w:sz w:val="19"/>
        </w:rPr>
        <w:t>China (CHARLS), aber Konzept der kombinierten Vulnerabilität-Marker übertragbar auf deutsches Assessment.</w:t>
      </w:r>
    </w:p>
    <w:p>
      <w:r>
        <w:rPr>
          <w:color w:val="5A7D3A"/>
          <w:sz w:val="18"/>
        </w:rPr>
        <w:t>https://pubmed.ncbi.nlm.nih.gov/42895260/</w:t>
      </w:r>
    </w:p>
    <w:p>
      <w:pPr>
        <w:pStyle w:val="Heading2"/>
      </w:pPr>
      <w:r>
        <w:t>Triglycerid-Glukose-Frailty-Index bei Rheumatoider Arthritis vorhersagt Herz-Mortalität</w:t>
      </w:r>
    </w:p>
    <w:p>
      <w:r>
        <w:rPr>
          <w:i/>
          <w:color w:val="666666"/>
          <w:sz w:val="18"/>
        </w:rPr>
        <w:t>Xu Y et al.  ·  Medicine (Baltimore)  ·  16.10.2026  ·  PMID 42888590</w:t>
      </w:r>
    </w:p>
    <w:p>
      <w:r>
        <w:t>Querschnitt-Kohortenstudie mit 1.090 US-amerikanischen RA-Patienten aus NHANES 1999–2018 zur Assoziation zwischen TyG-FI (Triglycerid-Glukose-Index × 49-Item-Frailty-Index) und prevalent CVD sowie kardiovaskulärer Mortalität.</w:t>
      </w:r>
    </w:p>
    <w:p>
      <w:r>
        <w:rPr>
          <w:b/>
        </w:rPr>
        <w:t xml:space="preserve">Ergebnis: </w:t>
      </w:r>
      <w:r>
        <w:t>TyG-FI pro Einheit: OR 4,50 (95% CI 3,20–6,33) für prävalente CVD; HR 1,77 (95% CI 1,16–2,70) für Herz-Mortalität. AUC-Modelle mit TyG-FI (0,80 CVD, 0,81 Mortalität) überlegen vs. TyG allein (0,73, 0,80). Stärkere Assoziation bei Alter ≤65 Jahren.</w:t>
      </w:r>
    </w:p>
    <w:p>
      <w:r>
        <w:rPr>
          <w:b/>
          <w:sz w:val="19"/>
        </w:rPr>
        <w:t xml:space="preserve">Übertragbarkeit: </w:t>
      </w:r>
      <w:r>
        <w:rPr>
          <w:sz w:val="19"/>
        </w:rPr>
        <w:t>USA-Kohort, aber RA-assoziierte Multimorbidität und kombinierte Indizes relevant für deutsches Risiko-Assessment.</w:t>
      </w:r>
    </w:p>
    <w:p>
      <w:r>
        <w:rPr>
          <w:color w:val="5A7D3A"/>
          <w:sz w:val="18"/>
        </w:rPr>
        <w:t>https://pubmed.ncbi.nlm.nih.gov/42888590/</w:t>
      </w:r>
    </w:p>
    <w:p>
      <w:pPr>
        <w:pStyle w:val="Heading2"/>
      </w:pPr>
      <w:r>
        <w:t>Gesundheit im Alter als multidimensionales System: Validierung an 46.317 Europäern</w:t>
      </w:r>
    </w:p>
    <w:p>
      <w:r>
        <w:rPr>
          <w:i/>
          <w:color w:val="666666"/>
          <w:sz w:val="18"/>
        </w:rPr>
        <w:t>Tun T et al.  ·  Soc Sci Med  ·  16.09.2026  ·  PMID 42766933</w:t>
      </w:r>
    </w:p>
    <w:p>
      <w:r>
        <w:t>Sekundäranalyse von SHARE Wave 8 mit 46.317 Teilnehmern 50–104 Jahre zur psychometrischen Validierung eines sechsdimensionalen Gesundheitskonstrukts mittels Strukturgleichungsmodellierung.</w:t>
      </w:r>
    </w:p>
    <w:p>
      <w:r>
        <w:rPr>
          <w:b/>
        </w:rPr>
        <w:t xml:space="preserve">Ergebnis: </w:t>
      </w:r>
      <w:r>
        <w:t>Bestätigung einer zweiten Ordnung SEM mit sechs Dimensionen (Physische Gesundheit, Funktionsfähigkeit, Kognition, psychisches Wohlbefinden, finanzielle Autonomie, soziales Engagement) mit Faktorladungen 0,579–0,832 und guten Modellfit-Indizes (RMSEA 0,054, CFI 0,904). Modell war in europäischen Ländern konsistent.</w:t>
      </w:r>
    </w:p>
    <w:p>
      <w:r>
        <w:rPr>
          <w:b/>
          <w:sz w:val="19"/>
        </w:rPr>
        <w:t xml:space="preserve">Übertragbarkeit: </w:t>
      </w:r>
      <w:r>
        <w:rPr>
          <w:sz w:val="19"/>
        </w:rPr>
        <w:t>SHARE-Daten aus 28 europäischen Ländern, direkt auf Deutschland anwendbar.</w:t>
      </w:r>
    </w:p>
    <w:p>
      <w:r>
        <w:rPr>
          <w:color w:val="5A7D3A"/>
          <w:sz w:val="18"/>
        </w:rPr>
        <w:t>https://pubmed.ncbi.nlm.nih.gov/42766933/</w:t>
      </w:r>
    </w:p>
    <w:p>
      <w:pPr>
        <w:pStyle w:val="Heading1"/>
      </w:pPr>
      <w:r>
        <w:t>Aufgenommen am 20.10.2026</w:t>
      </w:r>
    </w:p>
    <w:p>
      <w:pPr>
        <w:pStyle w:val="Heading2"/>
      </w:pPr>
      <w:r>
        <w:t>Ösophagusspasmus bei Hochbetagter: Dysphagie-Diagnose bricht Teufelskreis aus Gewichtsverlust, Sarkopenie und Sturzrisiko</w:t>
      </w:r>
    </w:p>
    <w:p>
      <w:r>
        <w:rPr>
          <w:i/>
          <w:color w:val="666666"/>
          <w:sz w:val="18"/>
        </w:rPr>
        <w:t>Klein J et al.  ·  Dtsch Med Wochenschr  ·  19.10.2026  ·  PMID 42896540</w:t>
      </w:r>
    </w:p>
    <w:p>
      <w:r>
        <w:t>Fallbericht einer 93-jährigen sarkopenen Patientin mit Appetitlosigkeit, Übelkeit und Erbrechen in einer deutschen geriatrischen Klinik, bei der eine Breischluck-Untersuchung einen Ösophagussphinkterspasmus nachwies.</w:t>
      </w:r>
    </w:p>
    <w:p>
      <w:r>
        <w:rPr>
          <w:b/>
        </w:rPr>
        <w:t xml:space="preserve">Ergebnis: </w:t>
      </w:r>
      <w:r>
        <w:t>Nach Diagnose des distalen Motilitätsverluste durch Breischluck-Untersuchung konservative Therapie mit Botulinumtoxin-Injektionen durchgeführt, was kurzfristig zur Symptomverbesserung führte. Patientin kam aus dem Zyklus von Dysphagie → Gewichtsverlust → Sarkopenie → Frailty → Sturz heraus. Fallbericht unterstreicht Notwendigkeit gezielter Diagnostik und Therapie zur Prävention von Komplikationen.</w:t>
      </w:r>
    </w:p>
    <w:p>
      <w:r>
        <w:rPr>
          <w:b/>
          <w:sz w:val="19"/>
        </w:rPr>
        <w:t xml:space="preserve">Übertragbarkeit: </w:t>
      </w:r>
      <w:r>
        <w:rPr>
          <w:sz w:val="19"/>
        </w:rPr>
        <w:t>Deutschland (Bonn); geriatrisches Versorgungssystem und Versorgungskontext direkt anwendbar</w:t>
      </w:r>
    </w:p>
    <w:p>
      <w:r>
        <w:rPr>
          <w:color w:val="5A7D3A"/>
          <w:sz w:val="18"/>
        </w:rPr>
        <w:t>https://pubmed.ncbi.nlm.nih.gov/42896540/</w:t>
      </w:r>
    </w:p>
    <w:p>
      <w:pPr>
        <w:pStyle w:val="Heading2"/>
      </w:pPr>
      <w:r>
        <w:t>Zweistufiges Frailty-Screening in Hepatologie: Stuhl-Test und Griffstärke ersparen zwei Drittel der vollständigen Assessments</w:t>
      </w:r>
    </w:p>
    <w:p>
      <w:r>
        <w:rPr>
          <w:i/>
          <w:color w:val="666666"/>
          <w:sz w:val="18"/>
        </w:rPr>
        <w:t>Wang J et al.  ·  Nurs Open  ·  Okt. 2026  ·  PMID 42896173</w:t>
      </w:r>
    </w:p>
    <w:p>
      <w:r>
        <w:t>Querschnittstudie bei 606 hospitalisierten Patienten mit chronischer Lebererkrankung (August 2021–August 2025), die eine Pflegekraft-getragene Screening-Strategie mit Timed-Chair-Stand und Griffstärke gegen den Liver Frailty Index validierte.</w:t>
      </w:r>
    </w:p>
    <w:p>
      <w:r>
        <w:rPr>
          <w:b/>
        </w:rPr>
        <w:t xml:space="preserve">Ergebnis: </w:t>
      </w:r>
      <w:r>
        <w:t>Frailty-Prävalenz 18,6%. Einstufiges Screening (Chair-Stands ≥16,55 s oder Griffstärke ≤23,42 kg) erreichte 100% Sensitivität (Negative Predictive Value 1,000), identifizierte alle frailen Fälle und vermied 62,3% der vollständigen Assessments. Null verpasste Fälle in fünf Split-Sample-Analysen reproduziert.</w:t>
      </w:r>
    </w:p>
    <w:p>
      <w:r>
        <w:rPr>
          <w:b/>
          <w:sz w:val="19"/>
        </w:rPr>
        <w:t xml:space="preserve">Übertragbarkeit: </w:t>
      </w:r>
      <w:r>
        <w:rPr>
          <w:sz w:val="19"/>
        </w:rPr>
        <w:t>China; aber Screening-Kriterien und hepatologische Versorgung international ähnlich, externe Validierung ausstehend</w:t>
      </w:r>
    </w:p>
    <w:p>
      <w:r>
        <w:rPr>
          <w:color w:val="5A7D3A"/>
          <w:sz w:val="18"/>
        </w:rPr>
        <w:t>https://pubmed.ncbi.nlm.nih.gov/42896173/</w:t>
      </w:r>
    </w:p>
    <w:p>
      <w:pPr>
        <w:pStyle w:val="Heading2"/>
      </w:pPr>
      <w:r>
        <w:t>Frailty reduziert Arbeitsfähigkeit im Alter um vier bis acht Jahre</w:t>
      </w:r>
    </w:p>
    <w:p>
      <w:r>
        <w:rPr>
          <w:i/>
          <w:color w:val="666666"/>
          <w:sz w:val="18"/>
        </w:rPr>
        <w:t>Shui Y et al.  ·  J Glob Health  ·  19.10.2026  ·  PMID 42895270</w:t>
      </w:r>
    </w:p>
    <w:p>
      <w:r>
        <w:t>Multistate-Markov-Modelle bei 180.314 Personen ≥50 Jahren aus fünf harmonisierten Kohorten (33 Länder) zur Assoziation von Frailty-Status (robust, pre-frail, frail) mit gesunder Arbeitslebenserwartung (HWLE) im Alter von 50 Jahren.</w:t>
      </w:r>
    </w:p>
    <w:p>
      <w:r>
        <w:rPr>
          <w:b/>
        </w:rPr>
        <w:t xml:space="preserve">Ergebnis: </w:t>
      </w:r>
      <w:r>
        <w:t>HWLE bei 50 Jahren: 11,87 Jahre (95%-KI 11,74–12,00) robust, 7,34 Jahre (7,19–7,50) pre-frail, 3,77 Jahre (3,57–3,97) frail. Gegenüber robusten Personen: 4,53 Jahre kürzer (95%-KI −4,76, −4,29) pre-frail, 8,11 Jahre kürzer (−8,38, −7,84) frail. Männer hatten längere HWLE als Frauen in robusten und pre-frailen Gruppen. Höhere Bildung, Nichtrauchen und günstige nationale Faktoren verlängerten HWLE.</w:t>
      </w:r>
    </w:p>
    <w:p>
      <w:r>
        <w:rPr>
          <w:b/>
          <w:sz w:val="19"/>
        </w:rPr>
        <w:t xml:space="preserve">Übertragbarkeit: </w:t>
      </w:r>
      <w:r>
        <w:rPr>
          <w:sz w:val="19"/>
        </w:rPr>
        <w:t>33 Länder inklusive europäische; Frailty-Index robust, Bezug zu Arbeitsmarkt und Rente unterscheidet sich, aber Grundmechanismus universell</w:t>
      </w:r>
    </w:p>
    <w:p>
      <w:r>
        <w:rPr>
          <w:color w:val="5A7D3A"/>
          <w:sz w:val="18"/>
        </w:rPr>
        <w:t>https://pubmed.ncbi.nlm.nih.gov/42895270/</w:t>
      </w:r>
    </w:p>
    <w:p>
      <w:pPr>
        <w:pStyle w:val="Heading2"/>
      </w:pPr>
      <w:r>
        <w:t>Frailty-Trajektoren vorhersagen Osteoporose-Risiko stärker als einzelne Messungen</w:t>
      </w:r>
    </w:p>
    <w:p>
      <w:r>
        <w:rPr>
          <w:i/>
          <w:color w:val="666666"/>
          <w:sz w:val="18"/>
        </w:rPr>
        <w:t>Zhou J et al.  ·  J Glob Health  ·  19.10.2026  ·  PMID 42895262</w:t>
      </w:r>
    </w:p>
    <w:p>
      <w:r>
        <w:t>Longitudinale Kohortenstudie mit drei großen harmonisierten Datensätzen (HRS, ELSA, SHARE; ≥50 Jahre) zum Zusammenhang zwischen Frailty-Index-Verlauf und neuaufgetretener Osteoporose über 4–8 Jahre Nachbeobachtung.</w:t>
      </w:r>
    </w:p>
    <w:p>
      <w:r>
        <w:rPr>
          <w:b/>
        </w:rPr>
        <w:t xml:space="preserve">Ergebnis: </w:t>
      </w:r>
      <w:r>
        <w:t>Insgesamt 244 (ELSA), 2.693 (SHARE) und 1.986 (HRS) Neuerkrankungen mit Osteoporose. Höherer baseline Frailty Index unabhängig assoziiert mit erhöhtem Osteoporose-Risiko (HRS HR 1,43; 95%-KI 1,36–1,50; ELSA HR 1,36; 1,19–1,57; SHARE HR 1,39; 1,33–1,45, alle p&lt;0,001). Vier identifizierte Frailty-Trajektoren zeigten generell erhöhte Osteoporose-Risiken. Nichtlineare Analysen wiesen Schwellenwerteffekte auf (steilere Anstiege bei niedrigeren FI-Werten). Griffstärke vermittelte Assoziation partiell.</w:t>
      </w:r>
    </w:p>
    <w:p>
      <w:r>
        <w:rPr>
          <w:b/>
          <w:sz w:val="19"/>
        </w:rPr>
        <w:t xml:space="preserve">Übertragbarkeit: </w:t>
      </w:r>
      <w:r>
        <w:rPr>
          <w:sz w:val="19"/>
        </w:rPr>
        <w:t>Europäische und US-Kohorten; Frailty Index und Osteoporose-Definitions vergleichbar international</w:t>
      </w:r>
    </w:p>
    <w:p>
      <w:r>
        <w:rPr>
          <w:color w:val="5A7D3A"/>
          <w:sz w:val="18"/>
        </w:rPr>
        <w:t>https://pubmed.ncbi.nlm.nih.gov/42895262/</w:t>
      </w:r>
    </w:p>
    <w:p>
      <w:pPr>
        <w:pStyle w:val="Heading2"/>
      </w:pPr>
      <w:r>
        <w:t>Schädlicher Alkoholkonsum bei älteren Sturzpatienten häufig, mit Hyponatriämie assoziiert</w:t>
      </w:r>
    </w:p>
    <w:p>
      <w:r>
        <w:rPr>
          <w:i/>
          <w:color w:val="666666"/>
          <w:sz w:val="18"/>
        </w:rPr>
        <w:t>Rogmark C et al.  ·  Acta Orthop  ·  19.10.2026  ·  PMID 42894497</w:t>
      </w:r>
    </w:p>
    <w:p>
      <w:r>
        <w:t>Prospektive Kohortenstudie bei 505 Personen ≥65 Jahren mit akuter Sturz-bedingter Fraktur (Februar 2023–August 2024), die Phosphatidylethanol (PEth) als objektiven Marker für chronischen Alkoholkonsum zur Risikostratifizierung nutzte.</w:t>
      </w:r>
    </w:p>
    <w:p>
      <w:r>
        <w:rPr>
          <w:b/>
        </w:rPr>
        <w:t xml:space="preserve">Ergebnis: </w:t>
      </w:r>
      <w:r>
        <w:t>13% zeigten schädlichen Alkoholkonsum (PEth &gt;0,30 µmol/L), 8,9% intermediären Konsum (0,05–0,30), 78% keinen/niedrigen Konsum (&lt;0,05). Von nicht-frailen Patienten hatten 18% schädlichen und 11% intermediären Konsum. In der propensity-score-gematchten Kohorte: Alkoholkonsum assoziiert mit höherer Hyponatriämie-Wahrscheinlichkeit (OR 2,3; 95%-KI 1,1–4,5; p=0,02). Trend zu niedrigerer 90-Tages-Mortalität (OR 0,2; 95%-KI 0,1–1,0; p=0,05).</w:t>
      </w:r>
    </w:p>
    <w:p>
      <w:r>
        <w:rPr>
          <w:b/>
          <w:sz w:val="19"/>
        </w:rPr>
        <w:t xml:space="preserve">Übertragbarkeit: </w:t>
      </w:r>
      <w:r>
        <w:rPr>
          <w:sz w:val="19"/>
        </w:rPr>
        <w:t>Schweden (Lund/Malmö); Trauma-Management und Frailty-Screening vergleichbar mit Deutschland</w:t>
      </w:r>
    </w:p>
    <w:p>
      <w:r>
        <w:rPr>
          <w:color w:val="5A7D3A"/>
          <w:sz w:val="18"/>
        </w:rPr>
        <w:t>https://pubmed.ncbi.nlm.nih.gov/42894497/</w:t>
      </w:r>
    </w:p>
    <w:p>
      <w:pPr>
        <w:pStyle w:val="Heading2"/>
      </w:pPr>
      <w:r>
        <w:t>Soziale Kontakte fördern Grundfähigkeiten im Alter weltweit</w:t>
      </w:r>
    </w:p>
    <w:p>
      <w:r>
        <w:rPr>
          <w:i/>
          <w:color w:val="666666"/>
          <w:sz w:val="18"/>
        </w:rPr>
        <w:t>Lai ETC et al.  ·  Lancet Healthy Longev  ·  12.10.2026  ·  PMID 42863480</w:t>
      </w:r>
    </w:p>
    <w:p>
      <w:r>
        <w:t>Harmonisierte Längsschnittstudie zu 39.021 Personen ab 50 Jahren aus fünf Kohorten (USA, England, Europa, China, Japan), die den Zusammenhang zwischen sozialer Vernetzung und intrinsischer Kapazität (fünf Domänen: Kognition, Psyche, Sinne, Bewegung, Vitalität) untersuchte.</w:t>
      </w:r>
    </w:p>
    <w:p>
      <w:r>
        <w:rPr>
          <w:b/>
        </w:rPr>
        <w:t xml:space="preserve">Ergebnis: </w:t>
      </w:r>
      <w:r>
        <w:t>Höhere baseline soziale Vernetzung korrelierte mit besserer gesamter intrinsischer Kapazität (β=0,04 SD pro Punkt; 95%-KI 0,03–0,06). Stärkste Assoziationen zeigten sich in psychologischer (β=0,05 SD) und kognitiver Domäne (β=0,03 SD), beide p&lt;0,001. Soziale Partizipation und Partnerschaft waren am konsistentesten mit höherer Kapazität assoziiert. Baseline-Vernetzung sagte jedoch keine unterschiedlichen Raten des Funktionsverfalls über Follow-up voraus (β=0,0024 SD/Jahr; 95%-KI −0,0004 bis 0,0053).</w:t>
      </w:r>
    </w:p>
    <w:p>
      <w:r>
        <w:rPr>
          <w:b/>
          <w:sz w:val="19"/>
        </w:rPr>
        <w:t xml:space="preserve">Übertragbarkeit: </w:t>
      </w:r>
      <w:r>
        <w:rPr>
          <w:sz w:val="19"/>
        </w:rPr>
        <w:t>England und europäische Kohorten, vergleichbare Altersstrukturen und Sozialversicherungssysteme (SHARE-Daten)</w:t>
      </w:r>
    </w:p>
    <w:p>
      <w:r>
        <w:rPr>
          <w:color w:val="5A7D3A"/>
          <w:sz w:val="18"/>
        </w:rPr>
        <w:t>https://pubmed.ncbi.nlm.nih.gov/42863480/</w:t>
      </w:r>
    </w:p>
    <w:p>
      <w:pPr>
        <w:pStyle w:val="Heading2"/>
      </w:pPr>
      <w:r>
        <w:t>Bessere Grundfähigkeiten in neueren Generationen Europas – aber mit wachsenden Ungleichheiten</w:t>
      </w:r>
    </w:p>
    <w:p>
      <w:r>
        <w:rPr>
          <w:i/>
          <w:color w:val="666666"/>
          <w:sz w:val="18"/>
        </w:rPr>
        <w:t>Beard JR et al.  ·  Lancet Healthy Longev  ·  09.10.2026  ·  PMID 42854708</w:t>
      </w:r>
    </w:p>
    <w:p>
      <w:r>
        <w:t>Analyse von sieben Wellen der SHARE-Studie (2004–2022) bei 80.105 Personen ab 50 Jahren aus zehn europäischen Ländern zur Entwicklung der intrinsischen Kapazität über Geburtskohorten.</w:t>
      </w:r>
    </w:p>
    <w:p>
      <w:r>
        <w:rPr>
          <w:b/>
        </w:rPr>
        <w:t xml:space="preserve">Ergebnis: </w:t>
      </w:r>
      <w:r>
        <w:t>Neuere Geburtskohorten zeigten bei Studieneintritt höhere intrinsische Kapazität (Geburtsjahrkoeffizient 0,797; 95%-KI 0,780–0,815, p&lt;0,0001) und langsamere 10-Jahres-Rückgänge (0,426; 95%-KI 0,372–0,480, p&lt;0,0001). Frauen verzeichneten größere Gewinne als Männer. Länder mit niedrigerer Ausgangskapazität (z. B. Italien) zeigten größere Verbesserungen, aber kleinere Verlangsamungen im Rückgang. Höherer sozioökonomischer Status war mit größeren Gewinnen assoziiert, was Ungleichheiten verschärfte.</w:t>
      </w:r>
    </w:p>
    <w:p>
      <w:r>
        <w:rPr>
          <w:b/>
          <w:sz w:val="19"/>
        </w:rPr>
        <w:t xml:space="preserve">Übertragbarkeit: </w:t>
      </w:r>
      <w:r>
        <w:rPr>
          <w:sz w:val="19"/>
        </w:rPr>
        <w:t>10 europäische SHARE-Länder inklusive Deutschland; direkt auf deutsches Gesundheitssystem übertragbar</w:t>
      </w:r>
    </w:p>
    <w:p>
      <w:r>
        <w:rPr>
          <w:color w:val="5A7D3A"/>
          <w:sz w:val="18"/>
        </w:rPr>
        <w:t>https://pubmed.ncbi.nlm.nih.gov/42854708/</w:t>
      </w:r>
    </w:p>
    <w:p>
      <w:pPr>
        <w:pStyle w:val="Heading1"/>
      </w:pPr>
      <w:r>
        <w:t>Aufgenommen am 19.10.2026</w:t>
      </w:r>
    </w:p>
    <w:p>
      <w:pPr>
        <w:pStyle w:val="Heading2"/>
      </w:pPr>
      <w:r>
        <w:t>Geriatrische Schulungslücken in ambulanter Versorgung: Bedarfsanalyse aus 41 europäischen Ländern</w:t>
      </w:r>
    </w:p>
    <w:p>
      <w:r>
        <w:rPr>
          <w:i/>
          <w:color w:val="666666"/>
          <w:sz w:val="18"/>
        </w:rPr>
        <w:t>Kravvariti E et al.  ·  Age Ageing  ·  03.08.2026  ·  PMID 42891966</w:t>
      </w:r>
    </w:p>
    <w:p>
      <w:r>
        <w:t>Querschnittsbefragung von 2380 Fachkräften (Ärzte, Pflege, Diätassistenten, Therapeuten) aus Ambulanzen und häuslichen Diensten zur Selbsteinschätzung ihres Wissensstands bei 33 geriatrischen Themen.</w:t>
      </w:r>
    </w:p>
    <w:p>
      <w:r>
        <w:rPr>
          <w:b/>
        </w:rPr>
        <w:t xml:space="preserve">Ergebnis: </w:t>
      </w:r>
      <w:r>
        <w:t>Erhebliche Wissenslücken in allen Berufsgruppen: Umfassendes geriatrisches Assessment, Frailty-Screening, Polymedikation und Deprescribing, Sarkopenie, Dysphagie sowie Verhaltens- und Depressionssymptome bei Demenz zählten zu den Top-Defiziten. Profession-spezifische Prioritäten: Kommunikation und Vorsorgeverfügungen für Pflege, Deprescribing für Ärzte und Apotheker, Ernährungsassessment für Diätassistenten.</w:t>
      </w:r>
    </w:p>
    <w:p>
      <w:r>
        <w:rPr>
          <w:b/>
          <w:sz w:val="19"/>
        </w:rPr>
        <w:t xml:space="preserve">Übertragbarkeit: </w:t>
      </w:r>
      <w:r>
        <w:rPr>
          <w:sz w:val="19"/>
        </w:rPr>
        <w:t>41 europäische Länder, direkt relevant für deutschsprachigen Raum und Versorgungsstrukturen</w:t>
      </w:r>
    </w:p>
    <w:p>
      <w:r>
        <w:rPr>
          <w:color w:val="5A7D3A"/>
          <w:sz w:val="18"/>
        </w:rPr>
        <w:t>https://pubmed.ncbi.nlm.nih.gov/42891966/</w:t>
      </w:r>
    </w:p>
    <w:p>
      <w:pPr>
        <w:pStyle w:val="Heading2"/>
      </w:pPr>
      <w:r>
        <w:t>Elektronischer Frailty-Index sagt Sterblichkeit bei älteren Menschen voraus</w:t>
      </w:r>
    </w:p>
    <w:p>
      <w:r>
        <w:rPr>
          <w:i/>
          <w:color w:val="666666"/>
          <w:sz w:val="18"/>
        </w:rPr>
        <w:t>Du X et al.  ·  Front Public Health  ·  02.10.2026  ·  PMID 42890831</w:t>
      </w:r>
    </w:p>
    <w:p>
      <w:r>
        <w:t>Systematische Übersichtsarbeit und Meta-Analyse von 12 Studien (13 Kohorten mit 11 Hazard-Ratio- und 2 Odds-Ratio-Analysen) zur Assoziation zwischen elektronischem Frailty-Index (eFI) und Mortalität.</w:t>
      </w:r>
    </w:p>
    <w:p>
      <w:r>
        <w:rPr>
          <w:b/>
        </w:rPr>
        <w:t xml:space="preserve">Ergebnis: </w:t>
      </w:r>
      <w:r>
        <w:t>Dosisabhängige Assoziation: Milde Frailty (HR 1,81), moderate Frailty (HR 2,95) und schwere Frailty (HR 4,41) gegenüber nicht-frailer Gruppe. Erhebliche Heterogenität zwischen Studien je nach Nachbeobachtungsdauer, eFI-Schwellenwert und Studienumfeld. eFI scheint nützlich für Frailty-Screening und Risikostratifizierung, aber Ergebnisse erfordern vorsichtige Interpretation.</w:t>
      </w:r>
    </w:p>
    <w:p>
      <w:r>
        <w:rPr>
          <w:b/>
          <w:sz w:val="19"/>
        </w:rPr>
        <w:t xml:space="preserve">Übertragbarkeit: </w:t>
      </w:r>
      <w:r>
        <w:rPr>
          <w:sz w:val="19"/>
        </w:rPr>
        <w:t>UK Biobank und andere, elektronische Gesundheitsregisterdaten wie in Deutschland verfügbar</w:t>
      </w:r>
    </w:p>
    <w:p>
      <w:r>
        <w:rPr>
          <w:color w:val="5A7D3A"/>
          <w:sz w:val="18"/>
        </w:rPr>
        <w:t>https://pubmed.ncbi.nlm.nih.gov/42890831/</w:t>
      </w:r>
    </w:p>
    <w:p>
      <w:pPr>
        <w:pStyle w:val="Heading2"/>
      </w:pPr>
      <w:r>
        <w:t>Orale Frailty bei älteren Menschen mit Multimorbidität: Prävalenz 71,2%, verknüpft mit körperlicher Frailty</w:t>
      </w:r>
    </w:p>
    <w:p>
      <w:r>
        <w:rPr>
          <w:i/>
          <w:color w:val="666666"/>
          <w:sz w:val="18"/>
        </w:rPr>
        <w:t>Zhou Y et al.  ·  Front Public Health  ·  02.10.2026  ·  PMID 42890626</w:t>
      </w:r>
    </w:p>
    <w:p>
      <w:r>
        <w:t>Querschnittsstudie von 393 Personen ≥60 Jahre mit ≥1 chronischer Erkrankung in Nordostchina zur Prävalenz oraler Frailty mittels Oral Frailty Index-8 (OFI-8) und assoziierten Faktoren.</w:t>
      </w:r>
    </w:p>
    <w:p>
      <w:r>
        <w:rPr>
          <w:b/>
        </w:rPr>
        <w:t xml:space="preserve">Ergebnis: </w:t>
      </w:r>
      <w:r>
        <w:t>71,2% (n=280) orale Frailty (OFI-8: 5,61±2,58). Häufigste Items: Schwierigkeiten mit harter Nahrung 62,3%, Verschlucken 48,6%, Mundtrockenheit 45,8%. Unabhängig assoziiert: höheres Alter, weibliches Geschlecht, niedriges Einkommen, niedriger/hoher BMI, Alkoholkonsum, körperliche Frailty, Schlafstörung, negative Altersattitude, ≥3 Erkrankungen, Diabetes (alle p&lt;0,05).</w:t>
      </w:r>
    </w:p>
    <w:p>
      <w:r>
        <w:rPr>
          <w:b/>
          <w:sz w:val="19"/>
        </w:rPr>
        <w:t xml:space="preserve">Übertragbarkeit: </w:t>
      </w:r>
      <w:r>
        <w:rPr>
          <w:sz w:val="19"/>
        </w:rPr>
        <w:t>China, ethnische Minderheit – überwiegend strukturelle Befunde, Screening-Befund direkt relevant</w:t>
      </w:r>
    </w:p>
    <w:p>
      <w:r>
        <w:rPr>
          <w:color w:val="5A7D3A"/>
          <w:sz w:val="18"/>
        </w:rPr>
        <w:t>https://pubmed.ncbi.nlm.nih.gov/42890626/</w:t>
      </w:r>
    </w:p>
    <w:p>
      <w:pPr>
        <w:pStyle w:val="Heading2"/>
      </w:pPr>
      <w:r>
        <w:t>Frailty mit multilokulalen Schmerzen vergesellschaftet, teilweise durch Depression vermittelt</w:t>
      </w:r>
    </w:p>
    <w:p>
      <w:r>
        <w:rPr>
          <w:i/>
          <w:color w:val="666666"/>
          <w:sz w:val="18"/>
        </w:rPr>
        <w:t>Cheng Y et al.  ·  Medicine (Baltimore)  ·  16.10.2026  ·  PMID 42888628</w:t>
      </w:r>
    </w:p>
    <w:p>
      <w:r>
        <w:t>Querschnittsanalyse von 5281 Personen ≥45 Jahre aus China Health and Retirement Longitudinal Study zu Assoziation zwischen korrigiertem modifiziertem Frailty-Index (CMFI) und chronischen Schmerzen mit Mediationsanalyse.</w:t>
      </w:r>
    </w:p>
    <w:p>
      <w:r>
        <w:rPr>
          <w:b/>
        </w:rPr>
        <w:t xml:space="preserve">Ergebnis: </w:t>
      </w:r>
      <w:r>
        <w:t>Höherer CMFI stark mit erhöhtem Schmerz-Risiko assoziiert: Höchstes vs. niedrigstes CMFI-Quartil zeigte 11,6-fach erhöhtes Risiko für Kreuzschmerzen, 17,0-fach für Multisite-Schmerzen und 11,5-fach höhere Schmerzlokalisationen. Depression vermittelte ca. 30% dieser Assoziationen. Unterschiede nach Alter, Bildung und Wohnort.</w:t>
      </w:r>
    </w:p>
    <w:p>
      <w:r>
        <w:rPr>
          <w:b/>
          <w:sz w:val="19"/>
        </w:rPr>
        <w:t xml:space="preserve">Übertragbarkeit: </w:t>
      </w:r>
      <w:r>
        <w:rPr>
          <w:sz w:val="19"/>
        </w:rPr>
        <w:t>China, vergleichbare Altersstruktur – Befunde aber nicht direkt auf deutsche Sozialversicherung übertragbar</w:t>
      </w:r>
    </w:p>
    <w:p>
      <w:r>
        <w:rPr>
          <w:color w:val="5A7D3A"/>
          <w:sz w:val="18"/>
        </w:rPr>
        <w:t>https://pubmed.ncbi.nlm.nih.gov/42888628/</w:t>
      </w:r>
    </w:p>
    <w:p>
      <w:pPr>
        <w:pStyle w:val="Heading2"/>
      </w:pPr>
      <w:r>
        <w:t>Höhere Frailty mit schlechterer Herzgesundheit: Dosis-Wirkungs-Beziehung in US-Stichprobe</w:t>
      </w:r>
    </w:p>
    <w:p>
      <w:r>
        <w:rPr>
          <w:i/>
          <w:color w:val="666666"/>
          <w:sz w:val="18"/>
        </w:rPr>
        <w:t>Yan W et al.  ·  Medicine (Baltimore)  ·  16.10.2026  ·  PMID 42888560</w:t>
      </w:r>
    </w:p>
    <w:p>
      <w:r>
        <w:t>Querschnittsanalyse von 8015 Erwachsenen ≥20 Jahre aus NHANES 2007–2018 zur Assoziation zwischen Frailty-Index und kardiovaskulärer Gesundheit nach American Heart Association Definition.</w:t>
      </w:r>
    </w:p>
    <w:p>
      <w:r>
        <w:rPr>
          <w:b/>
        </w:rPr>
        <w:t xml:space="preserve">Ergebnis: </w:t>
      </w:r>
      <w:r>
        <w:t>Höhere Frailty-Niveaus linear mit erhöhtem Risiko schlechter kardiovaskulärer Gesundheit assoziiert (dosisabhängig). Serum-25(OH)D-Level unabhängig invers mit schlechter kardiovaskulärer Gesundheit assoziiert. Keine statistisch signifikante multiplikative Interaktion zwischen Frailty und 25(OH)D. Assoziationen variierten nach Geschlecht und 25(OH)D-Status.</w:t>
      </w:r>
    </w:p>
    <w:p>
      <w:r>
        <w:rPr>
          <w:b/>
          <w:sz w:val="19"/>
        </w:rPr>
        <w:t xml:space="preserve">Übertragbarkeit: </w:t>
      </w:r>
      <w:r>
        <w:rPr>
          <w:sz w:val="19"/>
        </w:rPr>
        <w:t>USA, aber Frailty-Kardiovaskularität-Assoziation prinzipiell übertragbar</w:t>
      </w:r>
    </w:p>
    <w:p>
      <w:r>
        <w:rPr>
          <w:color w:val="5A7D3A"/>
          <w:sz w:val="18"/>
        </w:rPr>
        <w:t>https://pubmed.ncbi.nlm.nih.gov/42888560/</w:t>
      </w:r>
    </w:p>
    <w:p>
      <w:pPr>
        <w:pStyle w:val="Heading2"/>
      </w:pPr>
      <w:r>
        <w:t>Handgriffkraft und Stuhlaufstehen als Functional-Indikatoren: Methodische Vorbehalte bei multizentrischen Studien</w:t>
      </w:r>
    </w:p>
    <w:p>
      <w:r>
        <w:rPr>
          <w:i/>
          <w:color w:val="666666"/>
          <w:sz w:val="18"/>
        </w:rPr>
        <w:t>Kudratova Z et al.  ·  Aging Clin Exp Res  ·  15.10.2026  ·  PMID 42875631</w:t>
      </w:r>
    </w:p>
    <w:p>
      <w:r>
        <w:t>Methodologischer Kommentar zu Prospektivanalyse über kumulative Handgriffkraft und erfolgreiches Altern in drei internationalen Kohorten, kritische Bewertung von Studiendesign und Vergleichbarkeit.</w:t>
      </w:r>
    </w:p>
    <w:p>
      <w:r>
        <w:rPr>
          <w:b/>
        </w:rPr>
        <w:t xml:space="preserve">Ergebnis: </w:t>
      </w:r>
      <w:r>
        <w:t>Handgriffkraft erfasst nicht alle funktionellen Determinanten erfolgreiches Alterns. Selbstberichtete chronische Erkrankungen verursachen Klassifizierungsfehler (unterschiedlich nach Sozioökonomie). Zwei-Phasen-Temporaldesign adressiert Selektionsbias und Kohortengrenzen unzureichend. Kohorten-relatives kognitives Schwellenwert gefährdet Bevölkerungsvergleichbarkeit. Empfehlung: stärkere methodologische Reflexion und Standardisierung.</w:t>
      </w:r>
    </w:p>
    <w:p>
      <w:r>
        <w:rPr>
          <w:b/>
          <w:sz w:val="19"/>
        </w:rPr>
        <w:t xml:space="preserve">Übertragbarkeit: </w:t>
      </w:r>
      <w:r>
        <w:rPr>
          <w:sz w:val="19"/>
        </w:rPr>
        <w:t>Internationale Kohorten (USA, Asien, Europa), Methoden-Review – Design-Kritik grundsätzlich relevant</w:t>
      </w:r>
    </w:p>
    <w:p>
      <w:r>
        <w:rPr>
          <w:color w:val="5A7D3A"/>
          <w:sz w:val="18"/>
        </w:rPr>
        <w:t>https://pubmed.ncbi.nlm.nih.gov/42875631/</w:t>
      </w:r>
    </w:p>
    <w:p>
      <w:pPr>
        <w:pStyle w:val="Heading1"/>
      </w:pPr>
      <w:r>
        <w:t>Aufgenommen am 18.10.2026</w:t>
      </w:r>
    </w:p>
    <w:p>
      <w:pPr>
        <w:pStyle w:val="Heading2"/>
      </w:pPr>
      <w:r>
        <w:t>Krafttraining senkt Gebrechlichkeit im Alter stärker als Gehen oder Tai Chi</w:t>
      </w:r>
    </w:p>
    <w:p>
      <w:r>
        <w:rPr>
          <w:i/>
          <w:color w:val="666666"/>
          <w:sz w:val="18"/>
        </w:rPr>
        <w:t>Li J et al.  ·  Front Public Health  ·  02.10.2026  ·  PMID 42891303</w:t>
      </w:r>
    </w:p>
    <w:p>
      <w:r>
        <w:t>Systematische Übersicht mit Metaanalyse von randomisierten Studien zu Krafttraining, Gehen und Tai Chi bei älteren Menschen mit Gebrechlichkeit (Frailty).</w:t>
      </w:r>
    </w:p>
    <w:p>
      <w:r>
        <w:rPr>
          <w:b/>
        </w:rPr>
        <w:t xml:space="preserve">Ergebnis: </w:t>
      </w:r>
      <w:r>
        <w:t>Bei 1.361 Teilnehmern zeigte Krafttraining eine signifikante Reduktion von Gebrechlichkeit (SMD = -0,78, 95%-KI -1,22 bis -0,35), während Gehen und Tai Chi keine statistisch signifikanten Effekte aufwiesen. Heterogenität war erheblich (I² = 88%), und optimale Dosierungsempfehlungen konnten nicht abgeleitet werden.</w:t>
      </w:r>
    </w:p>
    <w:p>
      <w:r>
        <w:rPr>
          <w:b/>
          <w:sz w:val="19"/>
        </w:rPr>
        <w:t xml:space="preserve">Übertragbarkeit: </w:t>
      </w:r>
      <w:r>
        <w:rPr>
          <w:sz w:val="19"/>
        </w:rPr>
        <w:t>Internationale Evidenz, direkt auf deutsches Versorgungssystem übertragbar</w:t>
      </w:r>
    </w:p>
    <w:p>
      <w:r>
        <w:rPr>
          <w:color w:val="5A7D3A"/>
          <w:sz w:val="18"/>
        </w:rPr>
        <w:t>https://pubmed.ncbi.nlm.nih.gov/42891303/</w:t>
      </w:r>
    </w:p>
    <w:p>
      <w:pPr>
        <w:pStyle w:val="Heading1"/>
      </w:pPr>
      <w:r>
        <w:t>Aufgenommen am 17.10.2026</w:t>
      </w:r>
    </w:p>
    <w:p>
      <w:pPr>
        <w:pStyle w:val="Heading2"/>
      </w:pPr>
      <w:r>
        <w:t>Vitamin-D-Mangel und Frailty-Risiko im Alter: Assoziationen in USA-Daten</w:t>
      </w:r>
    </w:p>
    <w:p>
      <w:r>
        <w:rPr>
          <w:i/>
          <w:color w:val="666666"/>
          <w:sz w:val="18"/>
        </w:rPr>
        <w:t>Zheng J et al.  ·  Aging Male  ·  31.12.2026  ·  PMID 42886648</w:t>
      </w:r>
    </w:p>
    <w:p>
      <w:r>
        <w:t>Querschnittanalyse von 8.064 US-Amerikanern über 40 Jahren, untersucht die Beziehung zwischen Serum-Vitamin-D und Gebrechlichkeit mit einem 49-Item-Frailty-Index.</w:t>
      </w:r>
    </w:p>
    <w:p>
      <w:r>
        <w:rPr>
          <w:b/>
        </w:rPr>
        <w:t xml:space="preserve">Ergebnis: </w:t>
      </w:r>
      <w:r>
        <w:t>Vitamin-D-Mangel (&lt;25 nmol/L) war mit erhöhtem Frailty-Risiko assoziiert (OR 2,15, 95% CI 1,42–3,25), während Insuffizienz nicht signifikant war (OR 1,15, 95% CI 0,95–1,38). Gebrechlichkeitsprävalenz: Mangel 55,9%, Insuffizienz 42,9%, ausreichend 37,2%. U-förmiger Zusammenhang zwischen Vitamin-D und Frailty-Index.</w:t>
      </w:r>
    </w:p>
    <w:p>
      <w:r>
        <w:rPr>
          <w:b/>
          <w:sz w:val="19"/>
        </w:rPr>
        <w:t xml:space="preserve">Übertragbarkeit: </w:t>
      </w:r>
      <w:r>
        <w:rPr>
          <w:sz w:val="19"/>
        </w:rPr>
        <w:t>USA-Daten, aber Assoziationsfrage unabhängig von Gesundheitssystem, große bevölkerungsrepräsentative Stichprobe.</w:t>
      </w:r>
    </w:p>
    <w:p>
      <w:r>
        <w:rPr>
          <w:color w:val="5A7D3A"/>
          <w:sz w:val="18"/>
        </w:rPr>
        <w:t>https://pubmed.ncbi.nlm.nih.gov/42886648/</w:t>
      </w:r>
    </w:p>
    <w:p>
      <w:pPr>
        <w:pStyle w:val="Heading2"/>
      </w:pPr>
      <w:r>
        <w:t>Mundgesundheit und Gebrechlichkeit im Alter: Geschlechtsunterschiede</w:t>
      </w:r>
    </w:p>
    <w:p>
      <w:r>
        <w:rPr>
          <w:i/>
          <w:color w:val="666666"/>
          <w:sz w:val="18"/>
        </w:rPr>
        <w:t>Yang JE et al.  ·  PLoS One  ·  16.10.2026  ·  PMID 42886645</w:t>
      </w:r>
    </w:p>
    <w:p>
      <w:r>
        <w:t>Südkoreanische Querschnittstudie mit 3.729 älteren Menschen (≥65 Jahre) untersucht Assoziationen zwischen Mundgesundheit und Frailty-Status (robust, Prä-Frailty, Frailty).</w:t>
      </w:r>
    </w:p>
    <w:p>
      <w:r>
        <w:rPr>
          <w:b/>
        </w:rPr>
        <w:t xml:space="preserve">Ergebnis: </w:t>
      </w:r>
      <w:r>
        <w:t>16% waren gebrechlich, 84% nicht gebrechlich. Zahnlosigkeit ohne Zahnersatz war stärkster Faktor (Frauen: OR 3,76; Männer: OR 2,95). Zahnlosigkeit, Kau-/Schluckstörungen und Zahnschmerzen waren signifikant mit Frailty assoziiert. Geschlechtsspezifische Unterschiede: Zahnempfindlichkeit erhöhte Frailty-Risiko bei Frauen (OR 1,82), senkte es bei Männern (OR 0,85).</w:t>
      </w:r>
    </w:p>
    <w:p>
      <w:r>
        <w:rPr>
          <w:b/>
          <w:sz w:val="19"/>
        </w:rPr>
        <w:t xml:space="preserve">Übertragbarkeit: </w:t>
      </w:r>
      <w:r>
        <w:rPr>
          <w:sz w:val="19"/>
        </w:rPr>
        <w:t>Korea, Datenqualität hoch, aber Übertragbarkeit auf Deutschland eingeschränkt durch unterschiedliche Zahnversorgung und Mundgesundheit.</w:t>
      </w:r>
    </w:p>
    <w:p>
      <w:r>
        <w:rPr>
          <w:color w:val="5A7D3A"/>
          <w:sz w:val="18"/>
        </w:rPr>
        <w:t>https://pubmed.ncbi.nlm.nih.gov/42886645/</w:t>
      </w:r>
    </w:p>
    <w:p>
      <w:pPr>
        <w:pStyle w:val="Heading2"/>
      </w:pPr>
      <w:r>
        <w:t>Ernährungsinterventionen bei Mangelernährung, Sarkopenie und Frailty im Alter</w:t>
      </w:r>
    </w:p>
    <w:p>
      <w:r>
        <w:rPr>
          <w:i/>
          <w:color w:val="666666"/>
          <w:sz w:val="18"/>
        </w:rPr>
        <w:t>Khalaf H et al.  ·  Nutrients  ·  27.09.2026  ·  PMID 42884640</w:t>
      </w:r>
    </w:p>
    <w:p>
      <w:r>
        <w:t>Narrative Übersichtsarbeit zur Evidenz für Ernährungsmassnahmen (Food First, Lebensmittelfortifikation, orale Nahrungsergänzungen) bei älteren Menschen und Pflegeheimbewohnern.</w:t>
      </w:r>
    </w:p>
    <w:p>
      <w:r>
        <w:rPr>
          <w:b/>
        </w:rPr>
        <w:t xml:space="preserve">Ergebnis: </w:t>
      </w:r>
      <w:r>
        <w:t>Lebensmittelfortifikation erhöht effektiv Energie- und Proteinaufnahme; orale Nahrungsergänzungen (ONS) verbessern BMI und Alltagsfunktion und senken Hospitalisierungsraten. Multimodale Ansätze (Ernährung plus Bewegung) sind wirksamer; geringe Therapieadhärenz bleibt Barriere. Food-First-Ansatz in Kombination mit ONS zeigt beste Ergebnisse.</w:t>
      </w:r>
    </w:p>
    <w:p>
      <w:r>
        <w:rPr>
          <w:b/>
          <w:sz w:val="19"/>
        </w:rPr>
        <w:t xml:space="preserve">Übertragbarkeit: </w:t>
      </w:r>
      <w:r>
        <w:rPr>
          <w:sz w:val="19"/>
        </w:rPr>
        <w:t>UK/Europa-Daten, transferierbar auf deutschsprachige Pflegeheimversorgung.</w:t>
      </w:r>
    </w:p>
    <w:p>
      <w:r>
        <w:rPr>
          <w:color w:val="5A7D3A"/>
          <w:sz w:val="18"/>
        </w:rPr>
        <w:t>https://pubmed.ncbi.nlm.nih.gov/42884640/</w:t>
      </w:r>
    </w:p>
    <w:p>
      <w:pPr>
        <w:pStyle w:val="Heading2"/>
      </w:pPr>
      <w:r>
        <w:t>Hochverarbeitete Lebensmittel und Frailty im Alter: Assoziationen in Südkorea</w:t>
      </w:r>
    </w:p>
    <w:p>
      <w:r>
        <w:rPr>
          <w:i/>
          <w:color w:val="666666"/>
          <w:sz w:val="18"/>
        </w:rPr>
        <w:t>Lee H et al.  ·  Nutrients  ·  23.09.2026  ·  PMID 42884586</w:t>
      </w:r>
    </w:p>
    <w:p>
      <w:r>
        <w:t>Querschnittanalyse von 9.861 südkoreanischen Älteren (≥65 Jahre) untersucht die Beziehung zwischen Anteil hochverarbeiteter Lebensmittel (UPF) an der Gesamtenergieaufnahme und Gebrechlichkeit.</w:t>
      </w:r>
    </w:p>
    <w:p>
      <w:r>
        <w:rPr>
          <w:b/>
        </w:rPr>
        <w:t xml:space="preserve">Ergebnis: </w:t>
      </w:r>
      <w:r>
        <w:t>Höchstes Quartil UPF-Energieanteil zeigte 31% höheres Frailty-Risiko als niedrigstes (OR 1,31, 95% CI 1,08–1,59, p=0,002). Besondere Assoziation mit niedriger körperlicher Aktivität (OR 1,31, 95% CI 1,13–1,51). Linearer Dosis-Wirkungs-Zusammenhang (keine Nicht-Linearität, p=0,8).</w:t>
      </w:r>
    </w:p>
    <w:p>
      <w:r>
        <w:rPr>
          <w:b/>
          <w:sz w:val="19"/>
        </w:rPr>
        <w:t xml:space="preserve">Übertragbarkeit: </w:t>
      </w:r>
      <w:r>
        <w:rPr>
          <w:sz w:val="19"/>
        </w:rPr>
        <w:t>Korea, Ernährungsassoziationen sind kulturabhängig und weniger auf Deutschland übertragbar als mediterrane oder nordeuropäische Diätmuster.</w:t>
      </w:r>
    </w:p>
    <w:p>
      <w:r>
        <w:rPr>
          <w:color w:val="5A7D3A"/>
          <w:sz w:val="18"/>
        </w:rPr>
        <w:t>https://pubmed.ncbi.nlm.nih.gov/42884586/</w:t>
      </w:r>
    </w:p>
    <w:p>
      <w:pPr>
        <w:pStyle w:val="Heading2"/>
      </w:pPr>
      <w:r>
        <w:t>Alltagsmessung psychischer Symptome im älteren Alter: Machbarkeit und Prädiktoren</w:t>
      </w:r>
    </w:p>
    <w:p>
      <w:r>
        <w:rPr>
          <w:i/>
          <w:color w:val="666666"/>
          <w:sz w:val="18"/>
        </w:rPr>
        <w:t>Kang J et al.  ·  J Affect Disord  ·  01.01.2027  ·  PMID 42785391</w:t>
      </w:r>
    </w:p>
    <w:p>
      <w:r>
        <w:t>US-amerikanische Studie mit 64 älteren Erwachsenen (Durchschnittsalter 63,4 Jahre; 31 gesund, 33 mit Depression), die zweimal täglich über ~10 Wochen Symptome via Smartphone berichteten.</w:t>
      </w:r>
    </w:p>
    <w:p>
      <w:r>
        <w:rPr>
          <w:b/>
        </w:rPr>
        <w:t xml:space="preserve">Ergebnis: </w:t>
      </w:r>
      <w:r>
        <w:t>Gesamtausfallquote 76% (SD 22,1). Gesunde Teilnehmer zeigten höhere Compliance (81% vs. 71% bei Depression, p=0,04). Schnellere Antwortlatenz sagte höhere Adhärenz voraus. Rasche affektive Schwankungen am Anfang waren Prädiktoren niedriger Adhärenz. EMA ist mit Anpassungen im späteren Alter durchführbar.</w:t>
      </w:r>
    </w:p>
    <w:p>
      <w:r>
        <w:rPr>
          <w:b/>
          <w:sz w:val="19"/>
        </w:rPr>
        <w:t xml:space="preserve">Übertragbarkeit: </w:t>
      </w:r>
      <w:r>
        <w:rPr>
          <w:sz w:val="19"/>
        </w:rPr>
        <w:t>USA, Methode unabhängig von Gesundheitssystem, aber Adhärenz-Faktoren in älteren Erwachsenen noch wenig erforscht.</w:t>
      </w:r>
    </w:p>
    <w:p>
      <w:r>
        <w:rPr>
          <w:color w:val="5A7D3A"/>
          <w:sz w:val="18"/>
        </w:rPr>
        <w:t>https://pubmed.ncbi.nlm.nih.gov/42785391/</w:t>
      </w:r>
    </w:p>
    <w:p>
      <w:pPr>
        <w:pStyle w:val="Heading2"/>
      </w:pPr>
      <w:r>
        <w:t>Funktionsfähigkeit am Lebensende: Drei Verlaufsmuster in den letzten Lebensjahren</w:t>
      </w:r>
    </w:p>
    <w:p>
      <w:r>
        <w:rPr>
          <w:i/>
          <w:color w:val="666666"/>
          <w:sz w:val="18"/>
        </w:rPr>
        <w:t>Kyrönlahti S et al.  ·  J Gerontol A Biol Sci Med Sci  ·  06.10.2026  ·  PMID 42720597</w:t>
      </w:r>
    </w:p>
    <w:p>
      <w:r>
        <w:t>Schwedische Längsschnittstudie mit 2.294 älteren Menschen (62% Frauen, Durchschnittsalter 89,8 Jahre), die verfolgte, wie sich Alltagsfähigkeiten (ADL-Einschränkungen) zeitlich vor dem Tod entwickelten.</w:t>
      </w:r>
    </w:p>
    <w:p>
      <w:r>
        <w:rPr>
          <w:b/>
        </w:rPr>
        <w:t xml:space="preserve">Ergebnis: </w:t>
      </w:r>
      <w:r>
        <w:t>53% zeigten durchgehend niedrige ADL-Einschränkungen bis zum Tod, 36% einen flachen Anstieg und 11% einen steilen Anstieg. Frauen, niedriger gebildete Personen und älter Verstorbene hatten häufiger zunehmende Behinderung. Kognitives Defizit war mit steiler Verschlechterung assoziiert. Für die meisten blieb die funktionale Fähigkeit bis 2 Jahre vor dem Tod erhalten.</w:t>
      </w:r>
    </w:p>
    <w:p>
      <w:r>
        <w:rPr>
          <w:b/>
          <w:sz w:val="19"/>
        </w:rPr>
        <w:t xml:space="preserve">Übertragbarkeit: </w:t>
      </w:r>
      <w:r>
        <w:rPr>
          <w:sz w:val="19"/>
        </w:rPr>
        <w:t>Schwedische Daten, vergleichbare nordeuropäische Altersstruktur und Versorgungssystem.</w:t>
      </w:r>
    </w:p>
    <w:p>
      <w:r>
        <w:rPr>
          <w:color w:val="5A7D3A"/>
          <w:sz w:val="18"/>
        </w:rPr>
        <w:t>https://pubmed.ncbi.nlm.nih.gov/42720597/</w:t>
      </w:r>
    </w:p>
    <w:p>
      <w:pPr>
        <w:pStyle w:val="Heading1"/>
      </w:pPr>
      <w:r>
        <w:t>Aufgenommen am 16.10.2026</w:t>
      </w:r>
    </w:p>
    <w:p>
      <w:pPr>
        <w:pStyle w:val="Heading2"/>
      </w:pPr>
      <w:r>
        <w:t>Hörverfall in der Lebensmitte: Metabolische Gesundheit und Lärmexposition prägen Verlauf</w:t>
      </w:r>
    </w:p>
    <w:p>
      <w:r>
        <w:rPr>
          <w:i/>
          <w:color w:val="666666"/>
          <w:sz w:val="18"/>
        </w:rPr>
        <w:t>Smit AL et al.  ·  PLoS One  ·  15.10.2026  ·  PMID 42879410</w:t>
      </w:r>
    </w:p>
    <w:p>
      <w:r>
        <w:t>Sechsjährige Längsschnittstudie an 3.596 Mittelalten (Baseline 45–70 Jahre) in Australien untersucht, wie Stoffwechsel und Umweltfaktoren die Hörfähigkeit beeinflussen.</w:t>
      </w:r>
    </w:p>
    <w:p>
      <w:r>
        <w:rPr>
          <w:b/>
        </w:rPr>
        <w:t xml:space="preserve">Ergebnis: </w:t>
      </w:r>
      <w:r>
        <w:t>Hörschwellen verschlechterten sich über 6 Jahre; Prävalenz mild-oder-stärkerer Hörverlust stieg von 14 % auf 26 % (4FPTA) und 53 % auf 71 % (HFPTA). Größerer Verfall bei Männern und Hochfrequenzen. Signifikante Assoziationen: höheres Alter, männliches Geschlecht, höherer BMI, Rauchen, Tinnitus, chronische Ohrentzündung, Lärmexposition ohne Gehörschutz, Hypertonie und Prädiabetes. Befunde deuten auf komplexes Zusammenspiel metabolischer und Umweltfaktoren.</w:t>
      </w:r>
    </w:p>
    <w:p>
      <w:r>
        <w:rPr>
          <w:b/>
          <w:sz w:val="19"/>
        </w:rPr>
        <w:t xml:space="preserve">Übertragbarkeit: </w:t>
      </w:r>
      <w:r>
        <w:rPr>
          <w:sz w:val="19"/>
        </w:rPr>
        <w:t>Australien, vergleichbar Deutschland und Westeuropa; Gehörverlust in der Lebensmitte auch in Deutschland relevant.</w:t>
      </w:r>
    </w:p>
    <w:p>
      <w:r>
        <w:rPr>
          <w:color w:val="5A7D3A"/>
          <w:sz w:val="18"/>
        </w:rPr>
        <w:t>https://pubmed.ncbi.nlm.nih.gov/42879410/</w:t>
      </w:r>
    </w:p>
    <w:p>
      <w:pPr>
        <w:pStyle w:val="Heading2"/>
      </w:pPr>
      <w:r>
        <w:t>Frailty bei rheumatoider Arthritis: Häufig, prognostisch bedeutsam, teilweise modifizierbar</w:t>
      </w:r>
    </w:p>
    <w:p>
      <w:r>
        <w:rPr>
          <w:i/>
          <w:color w:val="666666"/>
          <w:sz w:val="18"/>
        </w:rPr>
        <w:t>Legge A et al.  ·  Curr Rheumatol Rep  ·  15.10.2026  ·  PMID 42878990</w:t>
      </w:r>
    </w:p>
    <w:p>
      <w:r>
        <w:t>Übersichtsarbeit zur Prävalenz, Messung und klinischen Bedeutung von Frailty bei rheumatoider Arthritis – ein häufiges Merkmal vorzeitigen Alterns.</w:t>
      </w:r>
    </w:p>
    <w:p>
      <w:r>
        <w:rPr>
          <w:b/>
        </w:rPr>
        <w:t xml:space="preserve">Ergebnis: </w:t>
      </w:r>
      <w:r>
        <w:t>Frailty betrifft etwa ein Drittel der RA-Patienten; Prävalenz variiert mit Messinstrument. Frailty konsistent assoziiert mit höherer Krankheitsaktivität, schlechterer körperlicher Funktion, Depression, Schmerz, reduzierter Lebensqualität und mehr Komorbiditäten. Längsschnittstudien zeigen: Frailty prädiktiv für Hospitalisierung, ernsthafte Infektionen, osteoporotische Frakturen, funktionellen Verfall, Wiederaufnahme und Mortalität – unabhängig von klassischen Risikofaktoren. Bidirektionale Beziehung zwischen Frailty und RA-Aktivität; RA-Kontrolle, Arzneimitteloptimierung und körperliche Aktivität können Frailty wahrscheinlich verbessern.</w:t>
      </w:r>
    </w:p>
    <w:p>
      <w:r>
        <w:rPr>
          <w:b/>
          <w:sz w:val="19"/>
        </w:rPr>
        <w:t xml:space="preserve">Übertragbarkeit: </w:t>
      </w:r>
      <w:r>
        <w:rPr>
          <w:sz w:val="19"/>
        </w:rPr>
        <w:t>Versorgungsfrage weltweit; Frailty-Assessment und -Interventionen universell anwendbar.</w:t>
      </w:r>
    </w:p>
    <w:p>
      <w:r>
        <w:rPr>
          <w:color w:val="5A7D3A"/>
          <w:sz w:val="18"/>
        </w:rPr>
        <w:t>https://pubmed.ncbi.nlm.nih.gov/42878990/</w:t>
      </w:r>
    </w:p>
    <w:p>
      <w:pPr>
        <w:pStyle w:val="Heading2"/>
      </w:pPr>
      <w:r>
        <w:t>Psychologische Folgen von Stürzen im Alter: internationale Konsensusdefinition</w:t>
      </w:r>
    </w:p>
    <w:p>
      <w:r>
        <w:rPr>
          <w:i/>
          <w:color w:val="666666"/>
          <w:sz w:val="18"/>
        </w:rPr>
        <w:t>Okrah AK et al.  ·  Age Ageing  ·  03.08.2026  ·  PMID 42878245</w:t>
      </w:r>
    </w:p>
    <w:p>
      <w:r>
        <w:t>Internationale Expertengruppe entwickelt erste formale Definition der psychologischen Schäden nach Stürzen älterer Menschen.</w:t>
      </w:r>
    </w:p>
    <w:p>
      <w:r>
        <w:rPr>
          <w:b/>
        </w:rPr>
        <w:t xml:space="preserve">Ergebnis: </w:t>
      </w:r>
      <w:r>
        <w:t>93 % (28/30) der Panel-Mitglieder bestätigten Bedarf für eine formale Definition. Konsensus erreicht in Runde 4 (n=48, 77,4%), stabilisiert in Runde 5 (n=49, 86,0%). Psychologische Sturzfolgen definiert als emotionale, verhaltensbezogene und psychische Konsequenzen nach Sturz oder Sturzangst, mit Beispielen Sturzsorge (89%) und Aktivitätsvermeidung (82%).</w:t>
      </w:r>
    </w:p>
    <w:p>
      <w:r>
        <w:rPr>
          <w:b/>
          <w:sz w:val="19"/>
        </w:rPr>
        <w:t xml:space="preserve">Übertragbarkeit: </w:t>
      </w:r>
      <w:r>
        <w:rPr>
          <w:sz w:val="19"/>
        </w:rPr>
        <w:t>UK, Australien, Deutschland – Sturzprävention ist universelle Versorgungsfrage.</w:t>
      </w:r>
    </w:p>
    <w:p>
      <w:r>
        <w:rPr>
          <w:color w:val="5A7D3A"/>
          <w:sz w:val="18"/>
        </w:rPr>
        <w:t>https://pubmed.ncbi.nlm.nih.gov/42878245/</w:t>
      </w:r>
    </w:p>
    <w:p>
      <w:pPr>
        <w:pStyle w:val="Heading2"/>
      </w:pPr>
      <w:r>
        <w:t>Soziale Teilhabe stärker mit gesundem Altern verbunden als einzelne Verhaltensweisen</w:t>
      </w:r>
    </w:p>
    <w:p>
      <w:r>
        <w:rPr>
          <w:i/>
          <w:color w:val="666666"/>
          <w:sz w:val="18"/>
        </w:rPr>
        <w:t>Sahab L et al.  ·  Front Public Health  ·  30.09.2026  ·  PMID 42876511</w:t>
      </w:r>
    </w:p>
    <w:p>
      <w:r>
        <w:t>Longitudinale Analyse von 9.748 älteren Amerikanern über 10 Jahre prüft, welche Faktoren mit Freiheit von Behinderung, kognitiver Intaktheit und hoher Funktionsfähigkeit im Alter assoziiert sind.</w:t>
      </w:r>
    </w:p>
    <w:p>
      <w:r>
        <w:rPr>
          <w:b/>
        </w:rPr>
        <w:t xml:space="preserve">Ergebnis: </w:t>
      </w:r>
      <w:r>
        <w:t>Soziale Teilhabe 2006 signifikant assoziiert mit gesundem Altern 2016 (Schätzer 0,09, 95%-KI 0,08–0,11). Körperliche Aktivität zeigte stärkste Assoziation (0,31, 95%-KI 0,29–0,33). Gesundes Altern 2010 prädiktiv für 2016 (0,46, 95%-KI 0,45–0,47). Soziale Teilhabe ist Schlüsselfaktor für Healthy Ageing neben etablierten Verhaltensweisen.</w:t>
      </w:r>
    </w:p>
    <w:p>
      <w:r>
        <w:rPr>
          <w:b/>
          <w:sz w:val="19"/>
        </w:rPr>
        <w:t xml:space="preserve">Übertragbarkeit: </w:t>
      </w:r>
      <w:r>
        <w:rPr>
          <w:sz w:val="19"/>
        </w:rPr>
        <w:t>USA, Datenbasis Health and Retirement Study – Sozialsystem unterscheidet sich; Kernbefund zu sozialer Teilhabe aber universell relevant.</w:t>
      </w:r>
    </w:p>
    <w:p>
      <w:r>
        <w:rPr>
          <w:color w:val="5A7D3A"/>
          <w:sz w:val="18"/>
        </w:rPr>
        <w:t>https://pubmed.ncbi.nlm.nih.gov/42876511/</w:t>
      </w:r>
    </w:p>
    <w:p>
      <w:pPr>
        <w:pStyle w:val="Heading2"/>
      </w:pPr>
      <w:r>
        <w:t>Frailty-Assessment in Alzheimer-Therapieentscheidungen: Expertenkonsens</w:t>
      </w:r>
    </w:p>
    <w:p>
      <w:r>
        <w:rPr>
          <w:i/>
          <w:color w:val="666666"/>
          <w:sz w:val="18"/>
        </w:rPr>
        <w:t>Bellelli G et al.  ·  J Prev Alzheimers Dis  ·  04.09.2026  ·  PMID 42697176</w:t>
      </w:r>
    </w:p>
    <w:p>
      <w:r>
        <w:t>Europäische und internationale Expertengruppe empfiehlt systematische Frailty-Bewertung bei Auswahl von Disease-modifying-Therapien im Alter.</w:t>
      </w:r>
    </w:p>
    <w:p>
      <w:r>
        <w:rPr>
          <w:b/>
        </w:rPr>
        <w:t xml:space="preserve">Ergebnis: </w:t>
      </w:r>
      <w:r>
        <w:t>Frailty betrifft etwa ein Drittel der Alzheimer-Patienten. Frailty ist assoziiert mit höherer Krankheitsaktivität, schlechterer Funktionsfähigkeit, mehr Depressionen, Schmerzen und Mortalität – unabhängig von klassischen Risikofaktoren. Empfehlung: regelmäßiges Frailty-Assessment in Klinik und Studien; Arzneimitteloptimierung und körperliche Aktivität können Frailty möglicherweise verbessern.</w:t>
      </w:r>
    </w:p>
    <w:p>
      <w:r>
        <w:rPr>
          <w:b/>
          <w:sz w:val="19"/>
        </w:rPr>
        <w:t xml:space="preserve">Übertragbarkeit: </w:t>
      </w:r>
      <w:r>
        <w:rPr>
          <w:sz w:val="19"/>
        </w:rPr>
        <w:t>Europäische Versorgungssysteme (Italien, UK, Frankreich, Schweiz, Skandinavien, Irland); direkt auf deutsches Setting übertragbar.</w:t>
      </w:r>
    </w:p>
    <w:p>
      <w:r>
        <w:rPr>
          <w:color w:val="5A7D3A"/>
          <w:sz w:val="18"/>
        </w:rPr>
        <w:t>https://pubmed.ncbi.nlm.nih.gov/42697176/</w:t>
      </w:r>
    </w:p>
    <w:p>
      <w:pPr>
        <w:pStyle w:val="Heading2"/>
      </w:pPr>
      <w:r>
        <w:t>Kognitiver Abbau beginnt bereits in den 30ern: Längsschnittpool aus drei Kontinenten</w:t>
      </w:r>
    </w:p>
    <w:p>
      <w:r>
        <w:rPr>
          <w:i/>
          <w:color w:val="666666"/>
          <w:sz w:val="18"/>
        </w:rPr>
        <w:t>Novotný JS et al.  ·  J Prev Alzheimers Dis  ·  07.08.2026  ·  PMID 42566820</w:t>
      </w:r>
    </w:p>
    <w:p>
      <w:r>
        <w:t>Gepoolte Längsschnittstudie mit 14.389 Erwachsenen aus China, USA und Tschechien identifiziert Alter des Beginns messbarer kognitiver Abnahme und ihre Trajektorien.</w:t>
      </w:r>
    </w:p>
    <w:p>
      <w:r>
        <w:rPr>
          <w:b/>
        </w:rPr>
        <w:t xml:space="preserve">Ergebnis: </w:t>
      </w:r>
      <w:r>
        <w:t>Messbarer kognitiver Abbau erste Mal in der Altersgruppe 31–40 Jahre erkannt (durchschnittliche Änderung −1,2 Punkte, 95%-KI −2,1 bis −0,3). Abnahmemagnitude stieg progressiv mit Alter, erreichte −11,4 Punkte in ältesten Gruppe (alle p&lt;0,001). Nicht-Gedächtnisdomänen zeigten frühere Anfälligkeit (ab 31 Jahre), signifikanter Gedächtnisabbau erst nach 50. Individuelle Trajektorien zeigen hohe Heterogenität; chronologisches Alter ist kein deterministischer Proxy für Abbau. Befunde unterstützen Lebenskurs-Ansätze zur Gehirngesundheit.</w:t>
      </w:r>
    </w:p>
    <w:p>
      <w:r>
        <w:rPr>
          <w:b/>
          <w:sz w:val="19"/>
        </w:rPr>
        <w:t xml:space="preserve">Übertragbarkeit: </w:t>
      </w:r>
      <w:r>
        <w:rPr>
          <w:sz w:val="19"/>
        </w:rPr>
        <w:t>Asien, Nordamerika, Europa – Datenkohärenz über drei Kontinente; universell für frühe Überwachung relevant.</w:t>
      </w:r>
    </w:p>
    <w:p>
      <w:r>
        <w:rPr>
          <w:color w:val="5A7D3A"/>
          <w:sz w:val="18"/>
        </w:rPr>
        <w:t>https://pubmed.ncbi.nlm.nih.gov/42566820/</w:t>
      </w:r>
    </w:p>
    <w:p>
      <w:pPr>
        <w:pStyle w:val="Heading1"/>
      </w:pPr>
      <w:r>
        <w:t>Aufgenommen am 15.10.2026</w:t>
      </w:r>
    </w:p>
    <w:p>
      <w:pPr>
        <w:pStyle w:val="Heading2"/>
      </w:pPr>
      <w:r>
        <w:t>Blutmetaboliten als Sterblichkeitsuhr: Beschleunigte Metabolomic-Alterung erhöht Mortalität um 60%</w:t>
      </w:r>
    </w:p>
    <w:p>
      <w:r>
        <w:rPr>
          <w:i/>
          <w:color w:val="666666"/>
          <w:sz w:val="18"/>
        </w:rPr>
        <w:t>Cao L et al.  ·  Sci Transl Med  ·  14.10.2026  ·  PMID 42873893</w:t>
      </w:r>
    </w:p>
    <w:p>
      <w:r>
        <w:t>Entwicklung von Metabolomic-Alterungsuhr (mAA) und Mortalitäts-Metrik (Age Deviation) an 18.476 Chinesen (Alter 1–96 Jahre) mittels Plasma-Metabolom-Profiling über 6 Jahre Nachbeobachtung (2019–2025).</w:t>
      </w:r>
    </w:p>
    <w:p>
      <w:r>
        <w:rPr>
          <w:b/>
        </w:rPr>
        <w:t xml:space="preserve">Ergebnis: </w:t>
      </w:r>
      <w:r>
        <w:t>56 altersassoziierte Metabolite wurden identifiziert. Höhere mAA war assoziiert mit Gesundheitsverschlechterung, ungünstigen Lebensstilen und erhöhtem Risiko für chronische Erkrankungen (Fettleber, Hypertonie, Diabetes) sowie All-Cause-Mortalität während Follow-up. Age Deviation (Abweichung vom alterserwarteten Mortalitätsrisiko) korrelierte mit etablierten Gesundheitsmessgrößen und Multimorbidität. Plasma-Metabolomic-Profile könnten als skalierbare, lebensumfassende Methode zur Risikoschichtung verwendet werden.</w:t>
      </w:r>
    </w:p>
    <w:p>
      <w:r>
        <w:rPr>
          <w:b/>
          <w:sz w:val="19"/>
        </w:rPr>
        <w:t xml:space="preserve">Übertragbarkeit: </w:t>
      </w:r>
      <w:r>
        <w:rPr>
          <w:sz w:val="19"/>
        </w:rPr>
        <w:t>China; Metabolomic-Biomarker erfordern Validierung in europäischen Kohorten</w:t>
      </w:r>
    </w:p>
    <w:p>
      <w:r>
        <w:rPr>
          <w:color w:val="5A7D3A"/>
          <w:sz w:val="18"/>
        </w:rPr>
        <w:t>https://pubmed.ncbi.nlm.nih.gov/42873893/</w:t>
      </w:r>
    </w:p>
    <w:p>
      <w:pPr>
        <w:pStyle w:val="Heading2"/>
      </w:pPr>
      <w:r>
        <w:t>Frailty und Hypoalbuminämie als Prädiktoren für Funktionsverlust nach Schlaganfall</w:t>
      </w:r>
    </w:p>
    <w:p>
      <w:r>
        <w:rPr>
          <w:i/>
          <w:color w:val="666666"/>
          <w:sz w:val="18"/>
        </w:rPr>
        <w:t>Yang J et al.  ·  Nurs Open  ·  Okt. 2026  ·  PMID 42872623</w:t>
      </w:r>
    </w:p>
    <w:p>
      <w:r>
        <w:t>Prospektive Kohortenstudie an 175 Schlaganfallpatienten, die untersuchte, ob Hypoalbuminämie die Beziehung zwischen Gebrechlichkeit und schlechtem funktionellem Outcome vermittelt.</w:t>
      </w:r>
    </w:p>
    <w:p>
      <w:r>
        <w:rPr>
          <w:b/>
        </w:rPr>
        <w:t xml:space="preserve">Ergebnis: </w:t>
      </w:r>
      <w:r>
        <w:t>Von 175 Patienten waren 29,7% gebrechlich und 36,6% entwickelten Hypoalbuminämie. Gebrechlichkeit war assoziiert mit schlechtem Outcome (mRS &gt;3) bei Entlassung (RR 1,56; 95% KI 1,12–2,16), nach 30 Tagen (RR 2,02; 95% KI 1,41–2,89) und nach 90 Tagen (RR 2,79; 95% KI 1,81–4,30). Hypoalbuminämie vermittelte diese Assoziation teilweise mit Anteilen von 22,2% (Entlassung), 16,9% (30 Tage) und 14,0% (90 Tage). Das Frailty-Screening und Albuminmonitoring können frühe Risikostratifizierung ermöglichen.</w:t>
      </w:r>
    </w:p>
    <w:p>
      <w:r>
        <w:rPr>
          <w:b/>
          <w:sz w:val="19"/>
        </w:rPr>
        <w:t xml:space="preserve">Übertragbarkeit: </w:t>
      </w:r>
      <w:r>
        <w:rPr>
          <w:sz w:val="19"/>
        </w:rPr>
        <w:t>China-Daten, aber Frailty-Assessment und Ernährungsmonitoring sind universal anwendbar</w:t>
      </w:r>
    </w:p>
    <w:p>
      <w:r>
        <w:rPr>
          <w:color w:val="5A7D3A"/>
          <w:sz w:val="18"/>
        </w:rPr>
        <w:t>https://pubmed.ncbi.nlm.nih.gov/42872623/</w:t>
      </w:r>
    </w:p>
    <w:p>
      <w:pPr>
        <w:pStyle w:val="Heading2"/>
      </w:pPr>
      <w:r>
        <w:t>Neurotoxische Berufsexpositionen beschleunigen Gehirnalterung: Scoping Review zu Kognitiver Reserve</w:t>
      </w:r>
    </w:p>
    <w:p>
      <w:r>
        <w:rPr>
          <w:i/>
          <w:color w:val="666666"/>
          <w:sz w:val="18"/>
        </w:rPr>
        <w:t>Leton N et al.  ·  Front Public Health  ·  29.09.2026  ·  PMID 42871458</w:t>
      </w:r>
    </w:p>
    <w:p>
      <w:r>
        <w:t>Systematische Scoping Review (16 Studien, 2011–2026) zur Assoziation beruflicher Neurotoxinexpositionen (Blei, Aluminium, Lösungsmittel) mit kognitiven Defiziten und Gehirnalterung.</w:t>
      </w:r>
    </w:p>
    <w:p>
      <w:r>
        <w:rPr>
          <w:b/>
        </w:rPr>
        <w:t xml:space="preserve">Ergebnis: </w:t>
      </w:r>
      <w:r>
        <w:t>Studien zeigten durchgehend Assoziationen zwischen Exposition (Blei, Lösungsmittel, Verbrennungsprodukte) und kognitiven oder neurologischen Defiziten relevant für Gehirnalterung. Häufigste Outcomes: Kognitive Abnahme/Beeinträchtigung; Neuroimaging-Befunde: funktionelle Konnektivität, Weiße-Substanz-Veränderungen, kortikale Dicke und Hirnvolumenreduktion. Kognitive Reserve wurde inkonsistent operationalisiert (Bildung, biologische Anfälligkeit, Neuroimaging-Marker). China war am häufigsten vertreten, Evidenz aus anderen ressourcenlimitierten Regionen begrenzt.</w:t>
      </w:r>
    </w:p>
    <w:p>
      <w:r>
        <w:rPr>
          <w:b/>
          <w:sz w:val="19"/>
        </w:rPr>
        <w:t xml:space="preserve">Übertragbarkeit: </w:t>
      </w:r>
      <w:r>
        <w:rPr>
          <w:sz w:val="19"/>
        </w:rPr>
        <w:t>Internationale Berufsgesundheit; Deutschland mit vergleichbarer Expositionserfassung</w:t>
      </w:r>
    </w:p>
    <w:p>
      <w:r>
        <w:rPr>
          <w:color w:val="5A7D3A"/>
          <w:sz w:val="18"/>
        </w:rPr>
        <w:t>https://pubmed.ncbi.nlm.nih.gov/42871458/</w:t>
      </w:r>
    </w:p>
    <w:p>
      <w:pPr>
        <w:pStyle w:val="Heading2"/>
      </w:pPr>
      <w:r>
        <w:t>Altersstigma fördert Depression im Alter: Soziale Unterstützung als Schutzfaktor</w:t>
      </w:r>
    </w:p>
    <w:p>
      <w:r>
        <w:rPr>
          <w:i/>
          <w:color w:val="666666"/>
          <w:sz w:val="18"/>
        </w:rPr>
        <w:t>Karasoy G et al.  ·  Psychogeriatrics  ·  Nov. 2026  ·  PMID 42870687</w:t>
      </w:r>
    </w:p>
    <w:p>
      <w:r>
        <w:t>Querschnittstudie an 162 Personen ab 65 Jahren zur Assoziation von internalisiertem Altersstigma und wahrgenommener sozialer Unterstützung mit depressiven Symptomen.</w:t>
      </w:r>
    </w:p>
    <w:p>
      <w:r>
        <w:rPr>
          <w:b/>
        </w:rPr>
        <w:t xml:space="preserve">Ergebnis: </w:t>
      </w:r>
      <w:r>
        <w:t>Höheres Altersstigma war assoziiert mit höheren depressiven Symptomen (β=0,205; 95% KI 0,099–0,311), höhere soziale Unterstützung mit niedrigeren Symptomen (β=−0,506; 95% KI −0,636 bis −0,375). Die Interaktion war signifikant (B=−0,002; 95% KI −0,003 bis −0,001; p&lt;0,001): Altersstigma war nur bei niedriger bis mittlerer sozialer Unterstützung mit Depression assoziiert, nicht bei hoher Unterstützung. Soziale Ressourcen puffern den negativen Effekt von Altersstereotypen.</w:t>
      </w:r>
    </w:p>
    <w:p>
      <w:r>
        <w:rPr>
          <w:b/>
          <w:sz w:val="19"/>
        </w:rPr>
        <w:t xml:space="preserve">Übertragbarkeit: </w:t>
      </w:r>
      <w:r>
        <w:rPr>
          <w:sz w:val="19"/>
        </w:rPr>
        <w:t>Türkei; Psychosoziale Mechanismen universal, aber Sozialversicherung unterschiedlich</w:t>
      </w:r>
    </w:p>
    <w:p>
      <w:r>
        <w:rPr>
          <w:color w:val="5A7D3A"/>
          <w:sz w:val="18"/>
        </w:rPr>
        <w:t>https://pubmed.ncbi.nlm.nih.gov/42870687/</w:t>
      </w:r>
    </w:p>
    <w:p>
      <w:pPr>
        <w:pStyle w:val="Heading2"/>
      </w:pPr>
      <w:r>
        <w:t>Sozioräumliche Ungleichheit und vorzeitige Alterung: Schwarze Amerikaner mit 5- bis 6-fach höherer Exposition</w:t>
      </w:r>
    </w:p>
    <w:p>
      <w:r>
        <w:rPr>
          <w:i/>
          <w:color w:val="666666"/>
          <w:sz w:val="18"/>
        </w:rPr>
        <w:t>Martin CL et al.  ·  J Gerontol B Psychol Sci Soc Sci  ·  01.10.2026  ·  PMID 42837511</w:t>
      </w:r>
    </w:p>
    <w:p>
      <w:r>
        <w:t>Analyse der National Longitudinal Study of Adolescent to Adult Health (Add Health), die umfangreiche, zeitvariable sozioräumliche Indikatoren (Wohnen, Justiz, Gewalt, Wirtschaft) mit geografischen Ebenen verknüpfte, um Altersungleichheiten vom Jugendalter (12–20 Jahre) bis ins frühe mittlere Alter (33–42 Jahre) zu dokumentieren.</w:t>
      </w:r>
    </w:p>
    <w:p>
      <w:r>
        <w:rPr>
          <w:b/>
        </w:rPr>
        <w:t xml:space="preserve">Ergebnis: </w:t>
      </w:r>
      <w:r>
        <w:t>Erhebliche und persistente Black-White-Disparitäten über alle Bereiche hinweg: Schwarze Befragte lebten signifikant häufiger in Counties mit höherer Zwangsräumungsquote, ökonomischer Segregation, höherer Haftquote und mehr Hate-Crime-Vorfällen. Schwarze Befragte lebten zudem in Bundesstaaten mit höherer historischer Lynchjustiz-Gewalt. Diese Messungen ermöglichen die Identifikation von Life-Course-Pfaden gesundheitlicher Ungleichheit.</w:t>
      </w:r>
    </w:p>
    <w:p>
      <w:r>
        <w:rPr>
          <w:b/>
          <w:sz w:val="19"/>
        </w:rPr>
        <w:t xml:space="preserve">Übertragbarkeit: </w:t>
      </w:r>
      <w:r>
        <w:rPr>
          <w:sz w:val="19"/>
        </w:rPr>
        <w:t>USA-Studie; Konzept der strukturellen Determinanten auf DACH übertragbar, aber Ausprägung völlig anders</w:t>
      </w:r>
    </w:p>
    <w:p>
      <w:r>
        <w:rPr>
          <w:color w:val="5A7D3A"/>
          <w:sz w:val="18"/>
        </w:rPr>
        <w:t>https://pubmed.ncbi.nlm.nih.gov/42837511/</w:t>
      </w:r>
    </w:p>
    <w:p>
      <w:pPr>
        <w:pStyle w:val="Heading2"/>
      </w:pPr>
      <w:r>
        <w:t>Geschlechtsspezifische Osteoporose-Progression: Knochendichteverlust ab 56 Jahren bei Männern, ab 64 Jahren bei Frauen</w:t>
      </w:r>
    </w:p>
    <w:p>
      <w:r>
        <w:rPr>
          <w:i/>
          <w:color w:val="666666"/>
          <w:sz w:val="18"/>
        </w:rPr>
        <w:t>Schröder G et al.  ·  PLoS One  ·  28.09.2026  ·  PMID 42804446</w:t>
      </w:r>
    </w:p>
    <w:p>
      <w:r>
        <w:t>Retrospektive Analyse von 71 CT-Aufnahmen der Wirbelsäule (C3–L5, Alter 4–102 Jahre) zur Quantifizierung altersbezogener Knochendichteverluste.</w:t>
      </w:r>
    </w:p>
    <w:p>
      <w:r>
        <w:rPr>
          <w:b/>
        </w:rPr>
        <w:t xml:space="preserve">Ergebnis: </w:t>
      </w:r>
      <w:r>
        <w:t>Hounsfield-Einheiten (HU) nahmen mit dem Alter ab (p&lt;0,001), mit ausgeprägtem Rückgang nach dem 60. Lebensjahr. Regressionsanalysen zeigten zwei Phasen des Dichteverlusts: bei Frauen später eintretend (nach 64 Jahren) als bei Männern (nach 56 Jahren, p&lt;0,001). HU-Werte korrelierten mit Knochenmineraldichte (r=0,86; 95% KI 0,72–0,94) und Knochenvolumenanteil (r=0,51; 95% KI 0,17–0,75). Ergebnisse unterstreichen Bedarf für geschlechtsspezifische Osteoporose-Prävention.</w:t>
      </w:r>
    </w:p>
    <w:p>
      <w:r>
        <w:rPr>
          <w:b/>
          <w:sz w:val="19"/>
        </w:rPr>
        <w:t xml:space="preserve">Übertragbarkeit: </w:t>
      </w:r>
      <w:r>
        <w:rPr>
          <w:sz w:val="19"/>
        </w:rPr>
        <w:t>Deutsche Kliniken mit CT-Daten vergleichbar; Altersgradienten international übertragbar</w:t>
      </w:r>
    </w:p>
    <w:p>
      <w:r>
        <w:rPr>
          <w:color w:val="5A7D3A"/>
          <w:sz w:val="18"/>
        </w:rPr>
        <w:t>https://pubmed.ncbi.nlm.nih.gov/42804446/</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2026-10-24T06:00:00Z</dcterms:created>
  <dcterms:modified xsi:type="dcterms:W3CDTF">2026-10-24T06:00:00Z</dcterms:modified>
  <cp:category/>
</cp:coreProperties>
</file>