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03.09.2026  |  6 Studien  |  longevity.m-vf.de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Hausarzt-Vertragsdienst in China verbessert Gesundheit älterer Erwachsener</w:t>
      </w:r>
    </w:p>
    <w:p>
      <w:r>
        <w:rPr>
          <w:i/>
          <w:color w:val="666666"/>
          <w:sz w:val="18"/>
        </w:rPr>
        <w:t>Jia C et al.  ·  Front Public Health  ·  18.08.2026  ·  PMID 42682531</w:t>
      </w:r>
    </w:p>
    <w:p>
      <w:r>
        <w:t>Nationale chinesische Querschnittsstudie (n = 11.455, ≥ 65 Jahre) aus der China Longitudinal Aging Social Survey 2023 zur Assoziation zwischen Teilnahme am Family Doctor Contract Service (FDCS) und Selbstbewertung, körperlichem Unbehagen und Lebenszufriedenheit, stratifiziert nach Land/Stadt und Bildung.</w:t>
      </w:r>
    </w:p>
    <w:p>
      <w:r>
        <w:rPr>
          <w:b/>
        </w:rPr>
        <w:t xml:space="preserve">Ergebnis: </w:t>
      </w:r>
      <w:r>
        <w:t>FDCS-Teilnahme assoziiert mit besseren Ergebnissen in allen drei Dimensionen. Ländliche und weniger gebildete Ältere zeigten stärkere Assoziationen mit geringerem körperlichem Unbehagen und höherer Lebenszufriedenheit; urbane und höher gebildete mit besserer Selbstbewertung. Heterogene Effekte nach Wohnort und 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anderes System; Konzept der primärärztlichen Gatekeeping-Funktion teils übertragbar, Effektgrößen jedoch kontextabhängig.</w:t>
      </w:r>
    </w:p>
    <w:p>
      <w:r>
        <w:rPr>
          <w:color w:val="5A7D3A"/>
          <w:sz w:val="18"/>
        </w:rPr>
        <w:t>https://pubmed.ncbi.nlm.nih.gov/42682531/</w:t>
      </w:r>
    </w:p>
    <w:p>
      <w:pPr>
        <w:pStyle w:val="Heading2"/>
      </w:pPr>
      <w:r>
        <w:t>Serum-Periostin als Biomarker für Frailty bei Typ-2-Diabetes</w:t>
      </w:r>
    </w:p>
    <w:p>
      <w:r>
        <w:rPr>
          <w:i/>
          <w:color w:val="666666"/>
          <w:sz w:val="18"/>
        </w:rPr>
        <w:t>González-Salvatierra S et al.  ·  Int J Mol Sci  ·  21.08.2026  ·  PMID 42653500</w:t>
      </w:r>
    </w:p>
    <w:p>
      <w:r>
        <w:t>Spanische Querschnittsstudie (n = 137, Alter 65 ± 8 Jahre) zur Assoziation zwischen serum-Periostin und Frailty-Status (FRAIL-Skala: robust, pre-frail, frail) bei Typ-2-Diabetes.</w:t>
      </w:r>
    </w:p>
    <w:p>
      <w:r>
        <w:rPr>
          <w:b/>
        </w:rPr>
        <w:t xml:space="preserve">Ergebnis: </w:t>
      </w:r>
      <w:r>
        <w:t>Frailty korrelierte positiv mit Alter (p &lt; 0,001), BMI (p = 0,006), Taille (p = 0,01) und Diabetes-Dauer (p = 0,040), negativ mit TBS, HDL und eGFR. Periostin zeigte stärkste Korrelation mit Frailty (p &lt; 0,001). Frail: höhere Periostin als pre-frail (p = 0,006) und robust (p = 0,008). AUC für Frailty-Diskrimination 0,710 (p &lt; 0,001); kombiniert mit klinischen Variablen AUC 0,900 vs. 0,858. Schwellenwert &gt; 1307 pmol/L: 77,8% Sensitivität, 66,7% Spezifität.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System, vergleichbar; Biomarker-Entwicklung in progress.</w:t>
      </w:r>
    </w:p>
    <w:p>
      <w:r>
        <w:rPr>
          <w:color w:val="5A7D3A"/>
          <w:sz w:val="18"/>
        </w:rPr>
        <w:t>https://pubmed.ncbi.nlm.nih.gov/42653500/</w:t>
      </w:r>
    </w:p>
    <w:p>
      <w:pPr>
        <w:pStyle w:val="Heading2"/>
      </w:pPr>
      <w:r>
        <w:t>Geschlechtsspezifische Determinanten von Frailty bei alternden Menschen mit HIV</w:t>
      </w:r>
    </w:p>
    <w:p>
      <w:r>
        <w:rPr>
          <w:i/>
          <w:color w:val="666666"/>
          <w:sz w:val="18"/>
        </w:rPr>
        <w:t>Echeverría P et al.  ·  Viruses  ·  04.07.2026  ·  PMID 42515594</w:t>
      </w:r>
    </w:p>
    <w:p>
      <w:r>
        <w:t>Querschnittsstudie zu Frailty (Fried-Kriterien) bei 588 älteren Menschen mit HIV in Spanien, untersucht nach Geschlecht stratifiziert mittels geriatrischem Assessment.</w:t>
      </w:r>
    </w:p>
    <w:p>
      <w:r>
        <w:rPr>
          <w:b/>
        </w:rPr>
        <w:t xml:space="preserve">Ergebnis: </w:t>
      </w:r>
      <w:r>
        <w:t>Frauen mit HIV zeigten höhere Frailty-Prävalenz (17% vs. 9%) trotz jüngeren Alters und besserer Immunstatus. Bei Frauen waren muskuloskelettale Erkrankung (OR 3,85), kognitive Beeinträchtigung (OR 3,21), depressive Symptome (OR 2,67) und Mangelernährung (OR 2,14) unabhängig mit Frailty assoziiert; bei Männern alterstypischere Muster. Forderung nach geschlechtsspezifischer, ganzheitlicher geriatrischer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System, direkt vergleichbare Versorgungsstrukturen.</w:t>
      </w:r>
    </w:p>
    <w:p>
      <w:r>
        <w:rPr>
          <w:color w:val="5A7D3A"/>
          <w:sz w:val="18"/>
        </w:rPr>
        <w:t>https://pubmed.ncbi.nlm.nih.gov/42515594/</w:t>
      </w:r>
    </w:p>
    <w:p>
      <w:pPr>
        <w:pStyle w:val="Heading2"/>
      </w:pPr>
      <w:r>
        <w:t>Express-Screening für Frailty verbessert Versorgung älteren Patienten mit Notfallbedarf</w:t>
      </w:r>
    </w:p>
    <w:p>
      <w:r>
        <w:rPr>
          <w:i/>
          <w:color w:val="666666"/>
          <w:sz w:val="18"/>
        </w:rPr>
        <w:t>Ilnitski AN et al.  ·  Adv Gerontol  ·  2026  ·  PMID 42502931</w:t>
      </w:r>
    </w:p>
    <w:p>
      <w:r>
        <w:t>Russische Studie an 333 älteren Patienten (65–90 Jahre) in Notfallambulanz: Vergleich zwischen 234 Patienten mit Frailty-Screening (Gruppe 1) und 99 ohne Screening (Gruppe 2); Nachverfolgung 1 Monat.</w:t>
      </w:r>
    </w:p>
    <w:p>
      <w:r>
        <w:rPr>
          <w:b/>
        </w:rPr>
        <w:t xml:space="preserve">Ergebnis: </w:t>
      </w:r>
      <w:r>
        <w:t>Gruppe 1: 62,8% unter hausärztlicher Beobachtung, 0% Wiedervorstellungen, 0,4% Mortalität. Gruppe 2: 41,4% beobachtet, 6,1% Wiedervorstellungen, 2% Mortalität (p &lt; 0,001). Express-Screening ermöglichte bessere Nachbeobachtung und senkte Sterblichkeit und Inanspruchnahme.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weniger direkt übertragbar; Konzept des Frailty-Screening in Notfallambulanzen adaptierbar.</w:t>
      </w:r>
    </w:p>
    <w:p>
      <w:r>
        <w:rPr>
          <w:color w:val="5A7D3A"/>
          <w:sz w:val="18"/>
        </w:rPr>
        <w:t>https://pubmed.ncbi.nlm.nih.gov/42502931/</w:t>
      </w:r>
    </w:p>
    <w:p>
      <w:pPr>
        <w:pStyle w:val="Heading2"/>
      </w:pPr>
      <w:r>
        <w:t>Geschlechtsspezifische Heterogenität der Handkraftveränderung im Alter: UK Biobank</w:t>
      </w:r>
    </w:p>
    <w:p>
      <w:r>
        <w:rPr>
          <w:i/>
          <w:color w:val="666666"/>
          <w:sz w:val="18"/>
        </w:rPr>
        <w:t>Fortinsky RH et al.  ·  J Gerontol A Biol Sci Med Sci  ·  04.08.2026  ·  PMID 42435411</w:t>
      </w:r>
    </w:p>
    <w:p>
      <w:r>
        <w:t>Longitudinale Kohorte aus UK Biobank (n = 73.134, 52% Frauen, 40–69 Jahre bei Baseline, 4–18 Jahre Nachverfolgung) zur Analyse der Varianz in Handkraft nach Altersgruppen und Geschlecht.</w:t>
      </w:r>
    </w:p>
    <w:p>
      <w:r>
        <w:rPr>
          <w:b/>
        </w:rPr>
        <w:t xml:space="preserve">Ergebnis: </w:t>
      </w:r>
      <w:r>
        <w:t>Frauen zeigten stabile Handkraft-Varianz über alle Altersgruppen querschnittlich und longitudinal; Männer zeigten cross-sectional Varianzabnahme mit Alter, longitudinal aber Varianzanstieg. Kovariaten schwächten Trends ab, eliminierten sie aber nicht. Heterogenität des Alterns operiert bei Männern und Frauen unterschiedlich; longitudinale und querschnittliche Muster divergieren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vergleichbares englisches System, hohe Übertragbarkeit auf deutsche Bevölkerung.</w:t>
      </w:r>
    </w:p>
    <w:p>
      <w:r>
        <w:rPr>
          <w:color w:val="5A7D3A"/>
          <w:sz w:val="18"/>
        </w:rPr>
        <w:t>https://pubmed.ncbi.nlm.nih.gov/42435411/</w:t>
      </w:r>
    </w:p>
    <w:p>
      <w:pPr>
        <w:pStyle w:val="Heading2"/>
      </w:pPr>
      <w:r>
        <w:t>Gezielte epigenetische Uhr (TaM-Uhr) zeigt Grenzen bei Frailty-Vorhersage</w:t>
      </w:r>
    </w:p>
    <w:p>
      <w:r>
        <w:rPr>
          <w:i/>
          <w:color w:val="666666"/>
          <w:sz w:val="18"/>
        </w:rPr>
        <w:t>Awuah J et al.  ·  Clin Epigenetics  ·  07.07.2026  ·  PMID 42415175</w:t>
      </w:r>
    </w:p>
    <w:p>
      <w:r>
        <w:t>Deutsche Studie (Ulm, Aachen) zur Validierung einer verkürzten epigenetischen Uhr basierend auf drei Sterblichkeits-assoziierten CpG-Stellen gegen Frailty und Mortalität in der ActiFE-Kohorte (n = 446 bzw. 20 Frail/non-Frail).</w:t>
      </w:r>
    </w:p>
    <w:p>
      <w:r>
        <w:rPr>
          <w:b/>
        </w:rPr>
        <w:t xml:space="preserve">Ergebnis: </w:t>
      </w:r>
      <w:r>
        <w:t>In der kleinen Subset (n = 40) war das Delta-Alter mit Frailty assoziiert, jedoch in der größeren Kohorte keine signifikanten Assoziationen mit Frailty oder Mortalität. Ein CpG-Locus (cg20595453) zeigte Assoziation mit beiden Endpunkten, doch insgesamt war die Vorhersagekraft begrenzt. Die Autoren konstatieren, dass epigenetische Uhren in relativ gesunden Populationen nicht sensitiv genug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(Aachen, Ulm), deutsches Studiendesign, hohe Übertragbarkeit; zeigt jedoch auch Grenzen der Methode.</w:t>
      </w:r>
    </w:p>
    <w:p>
      <w:r>
        <w:rPr>
          <w:color w:val="5A7D3A"/>
          <w:sz w:val="18"/>
        </w:rPr>
        <w:t>https://pubmed.ncbi.nlm.nih.gov/42415175/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