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02.10.2026  |  5 Studien  |  longevity.m-vf.de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Körperliche Aktivität senkt Risiko für intrinsische Kapazitätsverluste bei hospitalisierten Älteren</w:t>
      </w:r>
    </w:p>
    <w:p>
      <w:r>
        <w:rPr>
          <w:i/>
          <w:color w:val="666666"/>
          <w:sz w:val="18"/>
        </w:rPr>
        <w:t>Fan W et al.  ·  Australas J Ageing  ·  Dez. 2026  ·  PMID 42820336</w:t>
      </w:r>
    </w:p>
    <w:p>
      <w:r>
        <w:t>Querschnittsstudie mit 534 hospitalisierten älteren Patienten (China) zur Dosis-Wirkungs-Beziehung zwischen körperlicher Aktivität und Verfall der intrinsischen Kapazität.</w:t>
      </w:r>
    </w:p>
    <w:p>
      <w:r>
        <w:rPr>
          <w:b/>
        </w:rPr>
        <w:t xml:space="preserve">Ergebnis: </w:t>
      </w:r>
      <w:r>
        <w:t>Moderate körperliche Aktivität reduzierte Risiko für Kapazitätsverlust um 66% (OR=0,34, 95%-KI 0,23–0,50), hohe Aktivität um 74% (OR=0,26, KI 0,14–0,49). J-förmige nichtlineare Assoziation nachgewiesen. Subgruppenanalysen deuteten auf Geschlecht als potenziellen Moderator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Daten aus Akutkliniken; intrinsische Kapazität international anerkanntes Konzept</w:t>
      </w:r>
    </w:p>
    <w:p>
      <w:r>
        <w:rPr>
          <w:color w:val="5A7D3A"/>
          <w:sz w:val="18"/>
        </w:rPr>
        <w:t>https://pubmed.ncbi.nlm.nih.gov/42820336/</w:t>
      </w:r>
    </w:p>
    <w:p>
      <w:pPr>
        <w:pStyle w:val="Heading2"/>
      </w:pPr>
      <w:r>
        <w:t>Intrinsische Kapazität und Frailty Index prognostizieren Behinderung und Mortalität</w:t>
      </w:r>
    </w:p>
    <w:p>
      <w:r>
        <w:rPr>
          <w:i/>
          <w:color w:val="666666"/>
          <w:sz w:val="18"/>
        </w:rPr>
        <w:t>Feng B et al.  ·  Front Public Health  ·  16.09.2026  ·  PMID 42818694</w:t>
      </w:r>
    </w:p>
    <w:p>
      <w:r>
        <w:t>Prospektive Kohorte mit 7.168 Erwachsenen ≥60 Jahren (China) zur Vorhersagekraft von intrinsischer Kapazität und Frailty-Index für neue Behinderung und Gesamtsterblichkeit.</w:t>
      </w:r>
    </w:p>
    <w:p>
      <w:r>
        <w:rPr>
          <w:b/>
        </w:rPr>
        <w:t xml:space="preserve">Ergebnis: </w:t>
      </w:r>
      <w:r>
        <w:t>Höhere intrinsische Kapazität: niedrigere Behinderungsodds (OR=0,79 pro Punkt, 95%-KI 0,74–0,84) und reduziertes Mortalitätsrisiko (HR=0,84, KI 0,82–0,85). Höherer Frailty-Index: höhere Behinderungsodds (OR=1,93 pro 0,1-Punkte-Steigerung, KI 1,67–2,23). Kombiniert niedrige IC + hoher FI: größtes Behinderungsrisiko (OR=4,31, KI 2,65–7,04) und Mortalitätsrisiko (HR=2,66, KI 2,32–3,04).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beide Konzepte international etabliert, IC und Frailty-Metriken WHO-anerkannt</w:t>
      </w:r>
    </w:p>
    <w:p>
      <w:r>
        <w:rPr>
          <w:color w:val="5A7D3A"/>
          <w:sz w:val="18"/>
        </w:rPr>
        <w:t>https://pubmed.ncbi.nlm.nih.gov/42818694/</w:t>
      </w:r>
    </w:p>
    <w:p>
      <w:pPr>
        <w:pStyle w:val="Heading2"/>
      </w:pPr>
      <w:r>
        <w:t>Gesundheitskompetenz fördert aktives und erfolgreiches Altern</w:t>
      </w:r>
    </w:p>
    <w:p>
      <w:r>
        <w:rPr>
          <w:i/>
          <w:color w:val="666666"/>
          <w:sz w:val="18"/>
        </w:rPr>
        <w:t>Akdeniz Ş et al.  ·  BMC Geriatr  ·  29.09.2026  ·  PMID 42816844</w:t>
      </w:r>
    </w:p>
    <w:p>
      <w:r>
        <w:t>Querschnittsstudie an 306 älteren Erwachsenen (Ø 67,8 Jahre) in der Türkei zu Zusammenhängen zwischen Gesundheitskompetenz, aktivem Altern und erfolgreichem Altern.</w:t>
      </w:r>
    </w:p>
    <w:p>
      <w:r>
        <w:rPr>
          <w:b/>
        </w:rPr>
        <w:t xml:space="preserve">Ergebnis: </w:t>
      </w:r>
      <w:r>
        <w:t>Höhere Gesundheitskompetenz war signifikant mit besserem aktivem Altern assoziiert (p&lt;0,01) und erklärte 56,4% der Varianz des Active-Ageing-Scores (R²=0,564). Regelmäßige mentale Aktivität und Gesundheitskompetenz waren unabhängige Prädiktoren; Bildung und regelmäßiges Training waren im Gesamtmodell nicht signifikant. Zentrale Erkenntnis: Gesundheitskompetenz ist Schlüsselfaktor für aktives Altern.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mit vergleichbarer Sozialversicherung, Health-Literacy-Instrumente international validiert</w:t>
      </w:r>
    </w:p>
    <w:p>
      <w:r>
        <w:rPr>
          <w:color w:val="5A7D3A"/>
          <w:sz w:val="18"/>
        </w:rPr>
        <w:t>https://pubmed.ncbi.nlm.nih.gov/42816844/</w:t>
      </w:r>
    </w:p>
    <w:p>
      <w:pPr>
        <w:pStyle w:val="Heading2"/>
      </w:pPr>
      <w:r>
        <w:t>Metabolische Dysregulation vorhersagt Frailty-Entwicklung bei älteren Erwachsenen</w:t>
      </w:r>
    </w:p>
    <w:p>
      <w:r>
        <w:rPr>
          <w:i/>
          <w:color w:val="666666"/>
          <w:sz w:val="18"/>
        </w:rPr>
        <w:t>Wang H et al.  ·  Front Public Health  ·  14.09.2026  ·  PMID 42807462</w:t>
      </w:r>
    </w:p>
    <w:p>
      <w:r>
        <w:t>Prospektive Kohortenstudie (n=2.476, China, 2018–2021) zur zeitlichen Assoziation zwischen TyG-CVAI (Triglycerid-Glukose × viszerales Adipositas-Index) und Frailty-Index.</w:t>
      </w:r>
    </w:p>
    <w:p>
      <w:r>
        <w:rPr>
          <w:b/>
        </w:rPr>
        <w:t xml:space="preserve">Ergebnis: </w:t>
      </w:r>
      <w:r>
        <w:t>Baseline TyG-CVAI prägt Follow-up-Frailty signifikant (standardisiert β=0,165, p&lt;0,001), inverse Assoziation deutlich schwächer (β=0,035, p&lt;0,001). Nichtlineares Verhältnis mit Wendepunkt TyG-CVAI≈750. Subgruppen: stärkere Assoziation unter 60 Jahren, bei ethnischen Minderheiten, ohne Hypertonie/Diabetes. TyG-CVAI als Routine-Biomarker für Früh-Screening geeignet.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TyG-Index und viszerales Adipositas-Index aus Routineparametern</w:t>
      </w:r>
    </w:p>
    <w:p>
      <w:r>
        <w:rPr>
          <w:color w:val="5A7D3A"/>
          <w:sz w:val="18"/>
        </w:rPr>
        <w:t>https://pubmed.ncbi.nlm.nih.gov/42807462/</w:t>
      </w:r>
    </w:p>
    <w:p>
      <w:pPr>
        <w:pStyle w:val="Heading2"/>
      </w:pPr>
      <w:r>
        <w:t>Pilocarpin-Tropfen bei Xerostomie in Palliativversorgung: randomisierte Studie</w:t>
      </w:r>
    </w:p>
    <w:p>
      <w:r>
        <w:rPr>
          <w:i/>
          <w:color w:val="666666"/>
          <w:sz w:val="18"/>
        </w:rPr>
        <w:t>van der Meulen A et al.  ·  J Am Med Dir Assoc  ·  25.08.2026  ·  PMID 42641502</w:t>
      </w:r>
    </w:p>
    <w:p>
      <w:r>
        <w:t>Randomisierte, doppelblinde Placebo-kontrollierte Studie (n=92, Niederlande) zu Wirksamkeit von topischem Pilocarpin gegen Mundtrockenheit bei Patienten mit lebensverkürzender Erkrankung und/oder Frailty.</w:t>
      </w:r>
    </w:p>
    <w:p>
      <w:r>
        <w:rPr>
          <w:b/>
        </w:rPr>
        <w:t xml:space="preserve">Ergebnis: </w:t>
      </w:r>
      <w:r>
        <w:t>Kein signifikanter Unterschied zwischen Pilocarpin und Placebo in Xerostomie-Schweregrad Woche 2 oder 4 (adjustiertes β=–0,37, KI –1,31 bis 0,58 Woche 4). Nur Pilocarpin zeigte kontinuierliche Reduktion Woche 2–4 (–0,86, KI –1,56 bis –0,15). Mundgesundheits-Lebensqualität verbesserte sich unter Pilocarpin Woche 2 (β=2,8, KI 0,91–4,65). Studie unterversorgt; Verträglichkeit gut.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Versicherungssystem; Palliativversorgung älterer Patienten</w:t>
      </w:r>
    </w:p>
    <w:p>
      <w:r>
        <w:rPr>
          <w:color w:val="5A7D3A"/>
          <w:sz w:val="18"/>
        </w:rPr>
        <w:t>https://pubmed.ncbi.nlm.nih.gov/42641502/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