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30.08.2026  |  7 Studien  |  longevity.m-vf.de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Frailty und Ernährung bei Herzinsuffizienz im Alter: prognostische Faktoren</w:t>
      </w:r>
    </w:p>
    <w:p>
      <w:r>
        <w:rPr>
          <w:i/>
          <w:color w:val="666666"/>
          <w:sz w:val="18"/>
        </w:rPr>
        <w:t>Li J et al.  ·  Front Public Health  ·  14.08.2026  ·  PMID 42666459</w:t>
      </w:r>
    </w:p>
    <w:p>
      <w:r>
        <w:t>Retrospektive Studie an 200 älteren Patienten mit Herzinsuffizienz untersuchte Frailty und Ernährungsstatus als Prognosefaktoren für 6-Monats-Ergebnisse.</w:t>
      </w:r>
    </w:p>
    <w:p>
      <w:r>
        <w:rPr>
          <w:b/>
        </w:rPr>
        <w:t xml:space="preserve">Ergebnis: </w:t>
      </w:r>
      <w:r>
        <w:t>Bei gebrechlichen Patienten (n=92) waren Mortalität (4,35 % vs. 0,93 %) und Rehospitalisierungsrate (14,13 % vs. 1,85 %) höher als bei nicht gebrechlichen (n=108). Unter gebrechlichen Patienten stieg die Ereignisrate mit Mangelernährung: moderat-schwer 26,19 %, mild 16,13 %, normal 5,26 %. GNRI und HDL waren unabhängig mit ungünstiger Prognose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internationales Instrument (Fried-Kriterien), begrenzte Direktübertragung auf Deutschland</w:t>
      </w:r>
    </w:p>
    <w:p>
      <w:r>
        <w:rPr>
          <w:color w:val="5A7D3A"/>
          <w:sz w:val="18"/>
        </w:rPr>
        <w:t>https://pubmed.ncbi.nlm.nih.gov/42666459/</w:t>
      </w:r>
    </w:p>
    <w:p>
      <w:pPr>
        <w:pStyle w:val="Heading2"/>
      </w:pPr>
      <w:r>
        <w:t>Gastrointestinale Erkrankungen und funktioneller Verfall im Alter: CHARLS und ELSA</w:t>
      </w:r>
    </w:p>
    <w:p>
      <w:r>
        <w:rPr>
          <w:i/>
          <w:color w:val="666666"/>
          <w:sz w:val="18"/>
        </w:rPr>
        <w:t>Peng D et al.  ·  Geriatr Gerontol Int  ·  Sept. 2026  ·  PMID 42665870</w:t>
      </w:r>
    </w:p>
    <w:p>
      <w:r>
        <w:t>Longitudinale Analyse in zwei Kohorten (CHARLS China; ELSA England) untersuchte, ob wiederholte Meldungen gastrointestinaler Erkrankungen mit kognitiven, ADL- oder depressiven Verschlechterungen assoziiert sind.</w:t>
      </w:r>
    </w:p>
    <w:p>
      <w:r>
        <w:rPr>
          <w:b/>
        </w:rPr>
        <w:t xml:space="preserve">Ergebnis: </w:t>
      </w:r>
      <w:r>
        <w:t>CHARLS (n=9.555): wiederholte Meldung war mit 6–10 % erhöhtem Relativrisiko für Multidomain-Verschlechterung assoziiert (aRR 1,06–1,10). ELSA-Schätzungen waren richtungsgleich aber weniger präzise (aOR 1,21; 95%-KI 0,90–1,63). Gastrointestinale Exposition bot geringe diskriminative Aussagekraft.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und Großbritannien; Ergebnisse konsistent aber schwach, begrenzte Übertragbarkeit</w:t>
      </w:r>
    </w:p>
    <w:p>
      <w:r>
        <w:rPr>
          <w:color w:val="5A7D3A"/>
          <w:sz w:val="18"/>
        </w:rPr>
        <w:t>https://pubmed.ncbi.nlm.nih.gov/42665870/</w:t>
      </w:r>
    </w:p>
    <w:p>
      <w:pPr>
        <w:pStyle w:val="Heading2"/>
      </w:pPr>
      <w:r>
        <w:t>Schlafqualität und Sturzrisiko im Alter: prospektive Kohortenstudie</w:t>
      </w:r>
    </w:p>
    <w:p>
      <w:r>
        <w:rPr>
          <w:i/>
          <w:color w:val="666666"/>
          <w:sz w:val="18"/>
        </w:rPr>
        <w:t>Li Y et al.  ·  Brain Behav  ·  Aug. 2026  ·  PMID 42644837</w:t>
      </w:r>
    </w:p>
    <w:p>
      <w:r>
        <w:t>Prospektive Kohorte mit 3.224 Personen (≥50 Jahre) aus der English Longitudinal Study of Ageing; Schlafroutenuntersuchung über 4 Jahre mit Analyse der Assoziation zwischen Schlafqualität und neuaufgetretenen Stürzen.</w:t>
      </w:r>
    </w:p>
    <w:p>
      <w:r>
        <w:rPr>
          <w:b/>
        </w:rPr>
        <w:t xml:space="preserve">Ergebnis: </w:t>
      </w:r>
      <w:r>
        <w:t>Schlechtere Schlafqualität war mit höherem Sturzrisiko assoziiert (OR 1,04; 95%-KI 1,01–1,07). Depressive Symptome vermittelten 28,2 % dieser Assoziation. Dosisabhängige Beziehung zwischen Schlafqualität und Sturzrisiko.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vergleichbare Gesundheitsversorgung und Altersstruktur</w:t>
      </w:r>
    </w:p>
    <w:p>
      <w:r>
        <w:rPr>
          <w:color w:val="5A7D3A"/>
          <w:sz w:val="18"/>
        </w:rPr>
        <w:t>https://pubmed.ncbi.nlm.nih.gov/42644837/</w:t>
      </w:r>
    </w:p>
    <w:p>
      <w:pPr>
        <w:pStyle w:val="Heading2"/>
      </w:pPr>
      <w:r>
        <w:t>Lebensstil, Übergewicht und Lebenserwartung in der EU: Systemanalyse</w:t>
      </w:r>
    </w:p>
    <w:p>
      <w:r>
        <w:rPr>
          <w:i/>
          <w:color w:val="666666"/>
          <w:sz w:val="18"/>
        </w:rPr>
        <w:t>Vărzaru AA  ·  Nutrients  ·  11.07.2026  ·  PMID 42514344</w:t>
      </w:r>
    </w:p>
    <w:p>
      <w:r>
        <w:t>Querschnittsanalyse von 27 EU-Ländern mittels EHIS und Eurostat untersuchte Assoziationen zwischen Ernährung, körperlicher Aktivität, Rauchen, Übergewicht und Lebenserwartung sowie Healthy Life Years.</w:t>
      </w:r>
    </w:p>
    <w:p>
      <w:r>
        <w:rPr>
          <w:b/>
        </w:rPr>
        <w:t xml:space="preserve">Ergebnis: </w:t>
      </w:r>
      <w:r>
        <w:t>Gesunde Ernährung korrelierte mit Lebenserwartung (r=0,459; p=0,016), ebenso körperliche Aktivität (r=0,435; p=0,023). Übergewichtsprävalenz war invers mit Lebenserwartung assoziiert (r=−0,505; p=0,007). Das reduzierte Modell erklärte 47,4 % der Varianz in der Lebenserwartung. Clusteranalyse identifizierte drei Lebensstil-Gesundheits-Profile mit unterschiedlichen Outcomes.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EU-weit, direkt auf deutsches Gesundheitssystem übertragbar</w:t>
      </w:r>
    </w:p>
    <w:p>
      <w:r>
        <w:rPr>
          <w:color w:val="5A7D3A"/>
          <w:sz w:val="18"/>
        </w:rPr>
        <w:t>https://pubmed.ncbi.nlm.nih.gov/42514344/</w:t>
      </w:r>
    </w:p>
    <w:p>
      <w:pPr>
        <w:pStyle w:val="Heading2"/>
      </w:pPr>
      <w:r>
        <w:t>Frailty im Hämodialyse: Visuelle Analogskala vereinfacht Screening</w:t>
      </w:r>
    </w:p>
    <w:p>
      <w:r>
        <w:rPr>
          <w:i/>
          <w:color w:val="666666"/>
          <w:sz w:val="18"/>
        </w:rPr>
        <w:t>Schulte-Kemna L et al.  ·  BMC Nephrol  ·  22.07.2026  ·  PMID 42493781</w:t>
      </w:r>
    </w:p>
    <w:p>
      <w:r>
        <w:t>Studie untersuchte die Genauigkeit einer Selbst-Rating-Skala (VAS) zur Frailty-Früherkennung bei 122 Hämodialysepatienten und identifizierte klinische Prädiktoren der Gebrechlichkeit anhand modifizierter Fried-Kriterien.</w:t>
      </w:r>
    </w:p>
    <w:p>
      <w:r>
        <w:rPr>
          <w:b/>
        </w:rPr>
        <w:t xml:space="preserve">Ergebnis: </w:t>
      </w:r>
      <w:r>
        <w:t>Die VAS hatte gute Spezifität (94,3%), übersah aber viele gebrechliche Patienten (Sensitivität 36,5%). Ein Modell mit Routineparametern zeigte gute Vorhersageleistung (AUC 0,816). Patienten mit Fried-Frailty hatten häufiger zentrale Venenkatheter, niedrigere Diurese, Kreatinin und Albumin sowie mehr Herz-Kreislauf-Erkrankungen.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Kliniken, vergleichbare Dialysedokumentation und Versorgungsstrukturen</w:t>
      </w:r>
    </w:p>
    <w:p>
      <w:r>
        <w:rPr>
          <w:color w:val="5A7D3A"/>
          <w:sz w:val="18"/>
        </w:rPr>
        <w:t>https://pubmed.ncbi.nlm.nih.gov/42493781/</w:t>
      </w:r>
    </w:p>
    <w:p>
      <w:pPr>
        <w:pStyle w:val="Heading2"/>
      </w:pPr>
      <w:r>
        <w:t>Diabetes-Epidemiologie in Dänemark: Trends von 1996 bis 2024</w:t>
      </w:r>
    </w:p>
    <w:p>
      <w:r>
        <w:rPr>
          <w:i/>
          <w:color w:val="666666"/>
          <w:sz w:val="18"/>
        </w:rPr>
        <w:t>Wibaek R et al.  ·  BMJ Open Diabetes Res Care  ·  10.07.2026  ·  PMID 42431705</w:t>
      </w:r>
    </w:p>
    <w:p>
      <w:r>
        <w:t>Nationale Register-Kohortenstudie (1996–2024) quantifizierte Trends in Prävalenz, Inzidenz, Mortalität und Lebensjahren verloren durch Diabetes in Dänemark.</w:t>
      </w:r>
    </w:p>
    <w:p>
      <w:r>
        <w:rPr>
          <w:b/>
        </w:rPr>
        <w:t xml:space="preserve">Ergebnis: </w:t>
      </w:r>
      <w:r>
        <w:t>Diabetes-Prävalenz verdreifachte sich auf 6,1 % (366.174 Personen); Typ 2 Diabetes stieg jährlich ~4,1 %. Typ 1 Inzidenz sank um 1,1 % pro Jahr. Mortalität sank bis 2012, dann Stabilisierung. Standardisierte Mortalitätsquoten sanken für Typ 1 (nach 2008), stiegen aber für Typ 2. Männer hatten höhere Typ 2 Inzidenz als Frauen.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vergleichbares Sozialversicherungssystem und Datenzugang</w:t>
      </w:r>
    </w:p>
    <w:p>
      <w:r>
        <w:rPr>
          <w:color w:val="5A7D3A"/>
          <w:sz w:val="18"/>
        </w:rPr>
        <w:t>https://pubmed.ncbi.nlm.nih.gov/42431705/</w:t>
      </w:r>
    </w:p>
    <w:p>
      <w:pPr>
        <w:pStyle w:val="Heading2"/>
      </w:pPr>
      <w:r>
        <w:t>Darmmikrobiota und Frailty bei älteren Frauen: europäische Validierung</w:t>
      </w:r>
    </w:p>
    <w:p>
      <w:r>
        <w:rPr>
          <w:i/>
          <w:color w:val="666666"/>
          <w:sz w:val="18"/>
        </w:rPr>
        <w:t>Vilar Geraldi M et al.  ·  Nat Commun  ·  08.07.2026  ·  PMID 42420265</w:t>
      </w:r>
    </w:p>
    <w:p>
      <w:r>
        <w:t>Studie analysierte Darmmetagenomik-Profile bei 2.081 schwedischen Frauen (75-80 Jahre) im Bezug auf einen entwickelten Frailty-Mortality-Index (FMI) und validierte Ergebnisse in einer chinesischen Kohorte.</w:t>
      </w:r>
    </w:p>
    <w:p>
      <w:r>
        <w:rPr>
          <w:b/>
        </w:rPr>
        <w:t xml:space="preserve">Ergebnis: </w:t>
      </w:r>
      <w:r>
        <w:t>FMI war invers assoziiert mit mikrobieller Diversität, Genreichtum und funktionaler Kapazität. 404 Bakterienarten waren signifikant mit FMI assoziiert; die meisten zeigten konsistente Assoziationen in der chinesischen Kohorte (n=1.448). Mikrobielle Signaturen waren mit Mortalität und funktioneller Einschränkung verknüpft.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 Sozialversicherung und Alterspopulation</w:t>
      </w:r>
    </w:p>
    <w:p>
      <w:r>
        <w:rPr>
          <w:color w:val="5A7D3A"/>
          <w:sz w:val="18"/>
        </w:rPr>
        <w:t>https://pubmed.ncbi.nlm.nih.gov/42420265/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2026-08-30T06:00:00Z</dcterms:created>
  <dcterms:modified xsi:type="dcterms:W3CDTF">2026-08-30T06:00:00Z</dcterms:modified>
  <cp:category/>
</cp:coreProperties>
</file>