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07.10.2026  |  5 Studien  |  longevity.m-vf.de</w:t>
      </w:r>
    </w:p>
    <w:p>
      <w:pPr>
        <w:pStyle w:val="Heading1"/>
      </w:pPr>
      <w:r>
        <w:t>Aufgenommen am 07.10.2026</w:t>
      </w:r>
    </w:p>
    <w:p>
      <w:pPr>
        <w:pStyle w:val="Heading2"/>
      </w:pPr>
      <w:r>
        <w:t>Kohorte der Altern-Studie Add Health in mittlerem Alter mit schlechterer Gesundheit als Vorgängergenerationen</w:t>
      </w:r>
    </w:p>
    <w:p>
      <w:r>
        <w:rPr>
          <w:i/>
          <w:color w:val="666666"/>
          <w:sz w:val="18"/>
        </w:rPr>
        <w:t>Gaydosh L et al.  ·  J Gerontol B Psychol Sci Soc Sci  ·  01.10.2026  ·  PMID 42837509</w:t>
      </w:r>
    </w:p>
    <w:p>
      <w:r>
        <w:t>Add Health Welle VI (Durchschnittsalter 44 Jahre, n=11.979) und Vergleich mit NHANES-Kohorten: Analyse von Altersmustern in Allgemeingesundheit, psychischer Gesundheit, Gesundheitsverhalten und chronischen Erkrankungen über Lebensabschnitte.</w:t>
      </w:r>
    </w:p>
    <w:p>
      <w:r>
        <w:rPr>
          <w:b/>
        </w:rPr>
        <w:t xml:space="preserve">Ergebnis: </w:t>
      </w:r>
      <w:r>
        <w:t>Add Health zeigte beim Alterungsübergang in Mittelalter Verschlechterung in Allgemeingesundheit, psychischer Gesundheit und chronischen Erkrankungen, während Gesundheitsverhalten sich verbesserte. Im Vergleich zu NHANES-Kohorten: Add Health-Kohorte hat schlechtere Gesundheit als ältere Kohorten und teilweise schlechter als eigene Geburtskohorte zu früheren Zeitpunkten. Bildungsgradienten sind relativ stabil, mit einigen Anzeichen von Zunahme über Zeit.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begrenzt auf US-Versorgungskontext; Trends sozioökonomischer Disparitäten aber universal relevant</w:t>
      </w:r>
    </w:p>
    <w:p>
      <w:r>
        <w:rPr>
          <w:color w:val="5A7D3A"/>
          <w:sz w:val="18"/>
        </w:rPr>
        <w:t>https://pubmed.ncbi.nlm.nih.gov/42837509/</w:t>
      </w:r>
    </w:p>
    <w:p>
      <w:pPr>
        <w:pStyle w:val="Heading2"/>
      </w:pPr>
      <w:r>
        <w:t>Soziale Isolation und Einsamkeit vorhersagend für kognitive Verschlechterung von Jugend bis Alter</w:t>
      </w:r>
    </w:p>
    <w:p>
      <w:r>
        <w:rPr>
          <w:i/>
          <w:color w:val="666666"/>
          <w:sz w:val="18"/>
        </w:rPr>
        <w:t>Yang YC et al.  ·  J Gerontol B Psychol Sci Soc Sci  ·  01.10.2026  ·  PMID 42837505</w:t>
      </w:r>
    </w:p>
    <w:p>
      <w:r>
        <w:t>Koordinierte Längsschnittanalyse von drei großen US-Kohorten (Add Health, MIDUS, HRS; n=18.553, Alter 11+), um Zusammenhang zwischen Isolations-/Einsamkeitsmuster und Gedächtnisschwund über Lebensverlauf zu prüfen.</w:t>
      </w:r>
    </w:p>
    <w:p>
      <w:r>
        <w:rPr>
          <w:b/>
        </w:rPr>
        <w:t xml:space="preserve">Ergebnis: </w:t>
      </w:r>
      <w:r>
        <w:t>Starke negative Effekte sozialer Isolation in jungem und älterem Erwachsenenalter, Einsamkeit besonders im Alter auf Gedächtnisfunktion. Persistente (nicht nur transiente) Isolation und Einsamkeit waren mit schlechteren Merkfähigkeitswerten verbunden (p&lt;0,05 nach Adjustierung). Effekte blieben signifikant auch nach Anpassung für soziodemografische und Verhaltensfaktoren, zeigten sich aber weniger konsistent als Niveau-Effekte.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USA-Kohorten, Mechanismen wahrscheinlich übertragbar; Ausmaß hängt von Sozialstruktur ab</w:t>
      </w:r>
    </w:p>
    <w:p>
      <w:r>
        <w:rPr>
          <w:color w:val="5A7D3A"/>
          <w:sz w:val="18"/>
        </w:rPr>
        <w:t>https://pubmed.ncbi.nlm.nih.gov/42837505/</w:t>
      </w:r>
    </w:p>
    <w:p>
      <w:pPr>
        <w:pStyle w:val="Heading2"/>
      </w:pPr>
      <w:r>
        <w:t>Soziale Teilhabe vor Schlaganfall assoziiert mit physischer Resilienz nach Schlaganfall</w:t>
      </w:r>
    </w:p>
    <w:p>
      <w:r>
        <w:rPr>
          <w:i/>
          <w:color w:val="666666"/>
          <w:sz w:val="18"/>
        </w:rPr>
        <w:t>Zhang Y et al.  ·  PLoS One  ·  06.10.2026  ·  PMID 42837339</w:t>
      </w:r>
    </w:p>
    <w:p>
      <w:r>
        <w:t>Querschnittsstudie an 314 Schlaganfallpatienten (≥45 Jahre) in China, die retrospektive soziale Partizipation vor dem Ereignis mit aktueller physischer Resilienz verknüpfte.</w:t>
      </w:r>
    </w:p>
    <w:p>
      <w:r>
        <w:rPr>
          <w:b/>
        </w:rPr>
        <w:t xml:space="preserve">Ergebnis: </w:t>
      </w:r>
      <w:r>
        <w:t>Schwache positive Korrelation zwischen sozialer Teilhabe und physischer Resilienz (r=0,295, p&lt;0,001). Pro Punkt höherer sozialer Partizipationsscore war physische Resilienz um 0,725 Punkte höher (95%-KI 0,405–1,044, p&lt;0,001), Effekt über alle Frailty-Level konsistent. Belastende retrospektive Erhebung schließt aber kausale Aussagen 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begrenzt übertragbar; Mechanismus unterscheidet sich von Deutschland</w:t>
      </w:r>
    </w:p>
    <w:p>
      <w:r>
        <w:rPr>
          <w:color w:val="5A7D3A"/>
          <w:sz w:val="18"/>
        </w:rPr>
        <w:t>https://pubmed.ncbi.nlm.nih.gov/42837339/</w:t>
      </w:r>
    </w:p>
    <w:p>
      <w:pPr>
        <w:pStyle w:val="Heading2"/>
      </w:pPr>
      <w:r>
        <w:t>Gemeinschaftsgaststätten für Senioren fördern Nutzung durch Awareness-Partizipation-Kaufverhalten-Weitersagen-Sequenz</w:t>
      </w:r>
    </w:p>
    <w:p>
      <w:r>
        <w:rPr>
          <w:i/>
          <w:color w:val="666666"/>
          <w:sz w:val="18"/>
        </w:rPr>
        <w:t>Wang S et al.  ·  Front Public Health  ·  21.09.2026  ·  PMID 42836140</w:t>
      </w:r>
    </w:p>
    <w:p>
      <w:r>
        <w:t>Querschnittsstudie in Nanjing (China) mit 1.568 älteren Erwachsenen (≥60 Jahre) zur Nutzung von Seniorengaststätten, strukturelle Gleichungsmodellierung zur Assoziation von Bewusstsein, Interaktion, Kauf und Weitergabe.</w:t>
      </w:r>
    </w:p>
    <w:p>
      <w:r>
        <w:rPr>
          <w:b/>
        </w:rPr>
        <w:t xml:space="preserve">Ergebnis: </w:t>
      </w:r>
      <w:r>
        <w:t>Strukturmodell zeigte signifikante sequenziell positive Assoziationen: Awareness→Interaction (p&lt;0,001), Interaction→Purchase (p&lt;0,001), Purchase→Sharing (p&lt;0,001). Alle Pfade statistisch signifikant, gutes Modellfit. Querschnittdesign erlaubt aber keine Kausalaussagen – hilfreich aber für Serviceoptimierung.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teilweise übertragbar; Versorgungskontext unterscheidet sich von Deutschland</w:t>
      </w:r>
    </w:p>
    <w:p>
      <w:r>
        <w:rPr>
          <w:color w:val="5A7D3A"/>
          <w:sz w:val="18"/>
        </w:rPr>
        <w:t>https://pubmed.ncbi.nlm.nih.gov/42836140/</w:t>
      </w:r>
    </w:p>
    <w:p>
      <w:pPr>
        <w:pStyle w:val="Heading2"/>
      </w:pPr>
      <w:r>
        <w:t>Nierentransplantation verbessert Gebrechlichkeit und kognitive Funktion über zwei Jahre</w:t>
      </w:r>
    </w:p>
    <w:p>
      <w:r>
        <w:rPr>
          <w:i/>
          <w:color w:val="666666"/>
          <w:sz w:val="18"/>
        </w:rPr>
        <w:t>Beerli N et al.  ·  Transpl Int  ·  21.09.2026  ·  PMID 42835482</w:t>
      </w:r>
    </w:p>
    <w:p>
      <w:r>
        <w:t>Prospektive multizentrische Schweizer Kohortenstudie mit 230 Nierentransplantatierten, die Frailty und milde kognitive Beeinträchtigung (MCI) vor und nach Transplantation über bis zu zwei Jahre verfolgten.</w:t>
      </w:r>
    </w:p>
    <w:p>
      <w:r>
        <w:rPr>
          <w:b/>
        </w:rPr>
        <w:t xml:space="preserve">Ergebnis: </w:t>
      </w:r>
      <w:r>
        <w:t>Frailty sank von 8,3% vor Transplantation auf unter 2% im Follow-up, Präfrailty von 54,3% auf 27,6% nach zwei Jahren; MCI-Prävalenz fiel von 42,6% auf 31,3%. Bessere kognitive Funktion vorhersagte niedrigere nachfolgende Frailty, aber nicht umgekehrt. Das Ergebnis zeigt, dass Nierenverpflanzung funktionelle Gebrechlichkeit deutlich reduziert.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Schweizer Universitätskliniken, vergleichbares deutschsprachiges Versorgungssystem</w:t>
      </w:r>
    </w:p>
    <w:p>
      <w:r>
        <w:rPr>
          <w:color w:val="5A7D3A"/>
          <w:sz w:val="18"/>
        </w:rPr>
        <w:t>https://pubmed.ncbi.nlm.nih.gov/42835482/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2026-10-07T06:00:00Z</dcterms:created>
  <dcterms:modified xsi:type="dcterms:W3CDTF">2026-10-07T06:00:00Z</dcterms:modified>
  <cp:category/>
</cp:coreProperties>
</file>