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Gesundes Altern und Longevity</w:t>
      </w:r>
    </w:p>
    <w:p>
      <w:r>
        <w:rPr>
          <w:i/>
          <w:color w:val="666666"/>
          <w:sz w:val="18"/>
        </w:rPr>
        <w:t>Stand: 29.10.2026  |  411 Studien  |  longevity.m-vf.de</w:t>
      </w:r>
    </w:p>
    <w:p>
      <w:pPr>
        <w:pStyle w:val="Heading1"/>
      </w:pPr>
      <w:r>
        <w:t>Aufgenommen am 29.10.2026</w:t>
      </w:r>
    </w:p>
    <w:p>
      <w:pPr>
        <w:pStyle w:val="Heading2"/>
      </w:pPr>
      <w:r>
        <w:t>Frailty-Vorhersage per Machine Learning aus Kliniksystemen innerhalb 72 Stunden</w:t>
      </w:r>
    </w:p>
    <w:p>
      <w:r>
        <w:rPr>
          <w:i/>
          <w:color w:val="666666"/>
          <w:sz w:val="18"/>
        </w:rPr>
        <w:t>Laurea Szabo GC et al.  ·  JMIR Med Inform  ·  28.10.2026  ·  PMID 42950281</w:t>
      </w:r>
    </w:p>
    <w:p>
      <w:r>
        <w:t>An 26.824 stationären Aufnahmen (Royal Adelaide Hospital, Juli 2023–Dezember 2024) wurde ein XGBoost-Modell entwickelt und validiert, das aus EMR-Daten der ersten 72 Stunden Frailty (HFRS&gt;4) vorhersagt.</w:t>
      </w:r>
    </w:p>
    <w:p>
      <w:r>
        <w:rPr>
          <w:b/>
        </w:rPr>
        <w:t xml:space="preserve">Ergebnis: </w:t>
      </w:r>
      <w:r>
        <w:t>Das finale XGBoost-Modell erreichte F2-Score 0,755 (95%-KI 0,741–0,768), AUROC 0,777 (0,764–0,790), Recall 0,873 (0,857–0,887). Wichtigste Prädiktoren: Polypharmazi, Laborwerte (Kreatinin, Albumin, Natrium), konsultierte Fachgruppen, Pflegeassessments. Performance war zu 24 Stunden niedrig, verbesserte sich bis Entlassung. Reduzierte Performance bei Indigenous-Patienten zeigte Bedarf für kulturelle Validierung.</w:t>
      </w:r>
    </w:p>
    <w:p>
      <w:r>
        <w:rPr>
          <w:b/>
          <w:sz w:val="19"/>
        </w:rPr>
        <w:t xml:space="preserve">Übertragbarkeit: </w:t>
      </w:r>
      <w:r>
        <w:rPr>
          <w:sz w:val="19"/>
        </w:rPr>
        <w:t>Australien, EMR-Datenstruktur vergleichbar mit deutschen Kliniksystemen; maschinelle Frailty-Vorhersage technisch unmittelbar übernehmbar.</w:t>
      </w:r>
    </w:p>
    <w:p>
      <w:r>
        <w:rPr>
          <w:color w:val="5A7D3A"/>
          <w:sz w:val="18"/>
        </w:rPr>
        <w:t>https://pubmed.ncbi.nlm.nih.gov/42950281/</w:t>
      </w:r>
    </w:p>
    <w:p>
      <w:pPr>
        <w:pStyle w:val="Heading2"/>
      </w:pPr>
      <w:r>
        <w:t>Gebrechlichkeitsindex vorhersagt Bauchschmerzen bei älteren Erwachsenen</w:t>
      </w:r>
    </w:p>
    <w:p>
      <w:r>
        <w:rPr>
          <w:i/>
          <w:color w:val="666666"/>
          <w:sz w:val="18"/>
        </w:rPr>
        <w:t>Cheng G et al.  ·  J Int Med Res  ·  28.10.2026  ·  PMID 42948986</w:t>
      </w:r>
    </w:p>
    <w:p>
      <w:r>
        <w:t>24.280 Teilnehmer ≥45 Jahre aus der China Health and Retirement Longitudinal Study (2011–2013) wurden untersucht auf Assoziation eines konstruierten Gebrechlichkeitsindex mit selbstberichteten Bauchschmerzen.</w:t>
      </w:r>
    </w:p>
    <w:p>
      <w:r>
        <w:rPr>
          <w:b/>
        </w:rPr>
        <w:t xml:space="preserve">Ergebnis: </w:t>
      </w:r>
      <w:r>
        <w:t>Höherer Gebrechlichkeitsindex war signifikant mit erhöhter Wahrscheinlichkeit für Bauchschmerzen assoziiert (adjustierte OR 2,17; 95%-KI 1,95–2,42; p&lt;0,001). Restriktive kubische Spline-Analyse zeigte signifikante nichtlineare Beziehung (p für Nichtlinearität &lt;0,001). Das eXtreme Gradient Boosting-Modell zeigte gute Diskrimination. Der Gebrechlichkeitsindex gehörte zu den einflussreichsten Vorhersage-Features.</w:t>
      </w:r>
    </w:p>
    <w:p>
      <w:r>
        <w:rPr>
          <w:b/>
          <w:sz w:val="19"/>
        </w:rPr>
        <w:t xml:space="preserve">Übertragbarkeit: </w:t>
      </w:r>
      <w:r>
        <w:rPr>
          <w:sz w:val="19"/>
        </w:rPr>
        <w:t>China; Gebrechlichkeitsindex-Konstrukt international anwendbar, Screening-Wert auf Deutschland übertragbar.</w:t>
      </w:r>
    </w:p>
    <w:p>
      <w:r>
        <w:rPr>
          <w:color w:val="5A7D3A"/>
          <w:sz w:val="18"/>
        </w:rPr>
        <w:t>https://pubmed.ncbi.nlm.nih.gov/42948986/</w:t>
      </w:r>
    </w:p>
    <w:p>
      <w:pPr>
        <w:pStyle w:val="Heading2"/>
      </w:pPr>
      <w:r>
        <w:t>Gesellschaftliche Teilhabe im Alter stärkt emotionales Wohlbefinden – europaweit</w:t>
      </w:r>
    </w:p>
    <w:p>
      <w:r>
        <w:rPr>
          <w:i/>
          <w:color w:val="666666"/>
          <w:sz w:val="18"/>
        </w:rPr>
        <w:t>da Silva JB et al.  ·  Front Public Health  ·  13.10.2026  ·  PMID 42947923</w:t>
      </w:r>
    </w:p>
    <w:p>
      <w:r>
        <w:t>Die Studie untersuchte an 13.765 Europäern ab 65 Jahren, wie verschiedene Formen von Bürgerbeteiligung mit emotionalem Wohlbefinden assoziiert sind.</w:t>
      </w:r>
    </w:p>
    <w:p>
      <w:r>
        <w:rPr>
          <w:b/>
        </w:rPr>
        <w:t xml:space="preserve">Ergebnis: </w:t>
      </w:r>
      <w:r>
        <w:t>Kooperative Partizipation (gemeinsame Aktivitäten mit sozialer Einbettung) zeigte die stärkste positive Assoziation mit Wohlbefinden, gefolgt von ausdrücklicher und pflichtbewusster Teilhabe. Aktivierende Partizipation (konfrontative Engagement-Formen) korrelierte negativ mit Wohlbefinden. Regionale Unterschiede bestanden: Nord- und Westeuropa zeigten höhere Wohlbefindenswerte als Süd- und Osteuropa.</w:t>
      </w:r>
    </w:p>
    <w:p>
      <w:r>
        <w:rPr>
          <w:b/>
          <w:sz w:val="19"/>
        </w:rPr>
        <w:t xml:space="preserve">Übertragbarkeit: </w:t>
      </w:r>
      <w:r>
        <w:rPr>
          <w:sz w:val="19"/>
        </w:rPr>
        <w:t>Europäische Sozialerhebung; Ergebnisse zu sozial eingebetteten Engagementformen direkt auf deutsche Altenbetreuung übertragbar.</w:t>
      </w:r>
    </w:p>
    <w:p>
      <w:r>
        <w:rPr>
          <w:color w:val="5A7D3A"/>
          <w:sz w:val="18"/>
        </w:rPr>
        <w:t>https://pubmed.ncbi.nlm.nih.gov/42947923/</w:t>
      </w:r>
    </w:p>
    <w:p>
      <w:pPr>
        <w:pStyle w:val="Heading2"/>
      </w:pPr>
      <w:r>
        <w:t>Funktionelle Verbesserungen durch stationäre Lungenreha – ICF-basierte Analyse</w:t>
      </w:r>
    </w:p>
    <w:p>
      <w:r>
        <w:rPr>
          <w:i/>
          <w:color w:val="666666"/>
          <w:sz w:val="18"/>
        </w:rPr>
        <w:t>Pawlak K et al.  ·  Front Public Health  ·  13.10.2026  ·  PMID 42947856</w:t>
      </w:r>
    </w:p>
    <w:p>
      <w:r>
        <w:t>Bei 100 älteren Patienten (Mittelwert 68,7 Jahre, 75 % ≥65 Jahre) während stationärer Lungenrehabilitation wurden Funktionsveränderungen nach 2–3 Wochen mit dem ICF-Framework gemessen.</w:t>
      </w:r>
    </w:p>
    <w:p>
      <w:r>
        <w:rPr>
          <w:b/>
        </w:rPr>
        <w:t xml:space="preserve">Ergebnis: </w:t>
      </w:r>
      <w:r>
        <w:t>Signifikante Verbesserungen in Körperfunktionen: Muskelkraft (Qualifier 3→1), Muskeldauer (3→2), Gelenkigkeit (3→1), Gehfähigkeit (2→1). Aktivitätseinschränkungen: Transfer mit schweren/kompletten Einschränkungen sank von 17 % auf 4 %, tägliche Routinen von 36 % auf 19 %. Selbstpflegefähigkeiten (Waschen, Toilettenhygiene, Anziehen) zeigten Qualifier-Verbesserungen von 1→0.</w:t>
      </w:r>
    </w:p>
    <w:p>
      <w:r>
        <w:rPr>
          <w:b/>
          <w:sz w:val="19"/>
        </w:rPr>
        <w:t xml:space="preserve">Übertragbarkeit: </w:t>
      </w:r>
      <w:r>
        <w:rPr>
          <w:sz w:val="19"/>
        </w:rPr>
        <w:t>Polen, vergleichbare Sozialversicherung; ICF-Rahmen international, Ergebnisse zur Effektivität geriatrischer Reha auf Deutschland übertragbar.</w:t>
      </w:r>
    </w:p>
    <w:p>
      <w:r>
        <w:rPr>
          <w:color w:val="5A7D3A"/>
          <w:sz w:val="18"/>
        </w:rPr>
        <w:t>https://pubmed.ncbi.nlm.nih.gov/42947856/</w:t>
      </w:r>
    </w:p>
    <w:p>
      <w:pPr>
        <w:pStyle w:val="Heading2"/>
      </w:pPr>
      <w:r>
        <w:t>Frailty besser als Muskelsonographie zur Prognose bei Leberzirrhose</w:t>
      </w:r>
    </w:p>
    <w:p>
      <w:r>
        <w:rPr>
          <w:i/>
          <w:color w:val="666666"/>
          <w:sz w:val="18"/>
        </w:rPr>
        <w:t>Kremer WM et al.  ·  J Cachexia Sarcopenia Muscle  ·  Dez. 2026  ·  PMID 42936921</w:t>
      </w:r>
    </w:p>
    <w:p>
      <w:r>
        <w:t>153 Patienten mit Leberzirrhose wurden mit Clinical Frailty Scale und Muskeldickenindizes (feather und compression thigh muscle thickness index) bewertet und auf Mortalität bzw. Lebertransplantation verfolgt.</w:t>
      </w:r>
    </w:p>
    <w:p>
      <w:r>
        <w:rPr>
          <w:b/>
        </w:rPr>
        <w:t xml:space="preserve">Ergebnis: </w:t>
      </w:r>
      <w:r>
        <w:t>Über 90 Tage: 71 Patienten (46,4 %) starben oder bekamen Transplantat. Höhere Frailty-Scores waren in multivariablem Cox-Modell (adjustiert für Alter und MELD) unabhängig mit erhöhter Mortalität assoziiert (HR 1,25; 95%-KI 1,14–1,63; p&lt;0,001), während Muskeldickenindizes nicht konsistent prognostisch waren (fTMTI HR 1,52; p=0,300; cTMTI HR 1,01; p&gt;0,9).</w:t>
      </w:r>
    </w:p>
    <w:p>
      <w:r>
        <w:rPr>
          <w:b/>
          <w:sz w:val="19"/>
        </w:rPr>
        <w:t xml:space="preserve">Übertragbarkeit: </w:t>
      </w:r>
      <w:r>
        <w:rPr>
          <w:sz w:val="19"/>
        </w:rPr>
        <w:t>Deutschland; Frailty-Assessment als bedside-Instrument deutschlandweit etabliert, braucht keine Spezialausrüstung.</w:t>
      </w:r>
    </w:p>
    <w:p>
      <w:r>
        <w:rPr>
          <w:color w:val="5A7D3A"/>
          <w:sz w:val="18"/>
        </w:rPr>
        <w:t>https://pubmed.ncbi.nlm.nih.gov/42936921/</w:t>
      </w:r>
    </w:p>
    <w:p>
      <w:pPr>
        <w:pStyle w:val="Heading2"/>
      </w:pPr>
      <w:r>
        <w:t>Beschleunigtes biologisches Altern erhöht Pankreaserkrankungsrisiko – UK-Biobank-Studie</w:t>
      </w:r>
    </w:p>
    <w:p>
      <w:r>
        <w:rPr>
          <w:i/>
          <w:color w:val="666666"/>
          <w:sz w:val="18"/>
        </w:rPr>
        <w:t>Zhang H et al.  ·  J Nutr Health Aging  ·  15.09.2026  ·  PMID 42743792</w:t>
      </w:r>
    </w:p>
    <w:p>
      <w:r>
        <w:t>326.873 Erwachsene aus der UK Biobank (2006–2010 rekrutiert) wurden auf Assoziation von Biological-Age-Beschleunigung (KDMAgeAccel und PhenoAgeAccel) mit Pankreaserkrankungen über prospektiven Follow-up untersucht.</w:t>
      </w:r>
    </w:p>
    <w:p>
      <w:r>
        <w:rPr>
          <w:b/>
        </w:rPr>
        <w:t xml:space="preserve">Ergebnis: </w:t>
      </w:r>
      <w:r>
        <w:t>PhenoAgeAccel zeigte signifikante nichtlineare Assoziationen mit Pankreaserkrankungen insgesamt, Pankreaszysten, Pankreaskrebs und Pankreastod (alle p für Nichtlinearität &lt;0,05). Gegenüber Gruppe G1 (niedrigste Beschleunigung) hatte G4 (höchste) erhöhte Risiken: Pankreaserkrankungen insgesamt HR 1,706 (95%-KI 1,513–1,923), akute Pankreatitis 1,637 (1,352–1,981), chronische Pankreatitis 3,551 (2,248–5,609), Pankreaskrebs 1,387 (1,123–1,713). Lipid-Biomarker medierten teilweise die Assoziation (z.B. 6,66 % für chronische Pankreatitis über Cholesterin in small LDL).</w:t>
      </w:r>
    </w:p>
    <w:p>
      <w:r>
        <w:rPr>
          <w:b/>
          <w:sz w:val="19"/>
        </w:rPr>
        <w:t xml:space="preserve">Übertragbarkeit: </w:t>
      </w:r>
      <w:r>
        <w:rPr>
          <w:sz w:val="19"/>
        </w:rPr>
        <w:t>UK Biobank; epigenetische Alter-Beschleunigung als Risikostratifizierer auch in deutschen Kohorten anwendbar.</w:t>
      </w:r>
    </w:p>
    <w:p>
      <w:r>
        <w:rPr>
          <w:color w:val="5A7D3A"/>
          <w:sz w:val="18"/>
        </w:rPr>
        <w:t>https://pubmed.ncbi.nlm.nih.gov/42743792/</w:t>
      </w:r>
    </w:p>
    <w:p>
      <w:pPr>
        <w:pStyle w:val="Heading2"/>
      </w:pPr>
      <w:r>
        <w:t>Gebrechlichkeit ist unabhängiger Mortalitätsprädiktor bei Krebspatienten – Metaanalyse</w:t>
      </w:r>
    </w:p>
    <w:p>
      <w:r>
        <w:rPr>
          <w:i/>
          <w:color w:val="666666"/>
          <w:sz w:val="18"/>
        </w:rPr>
        <w:t>Brum CM et al.  ·  J Geriatr Oncol  ·  12.09.2026  ·  PMID 42731927</w:t>
      </w:r>
    </w:p>
    <w:p>
      <w:r>
        <w:t>Systematische Übersicht und Metaanalyse von 191 Beobachtungsstudien (626.975 Patienten, Medianalter 72 Jahre) zur Assoziation von Frailty mit Mortalität bei Krebskranken.</w:t>
      </w:r>
    </w:p>
    <w:p>
      <w:r>
        <w:rPr>
          <w:b/>
        </w:rPr>
        <w:t xml:space="preserve">Ergebnis: </w:t>
      </w:r>
      <w:r>
        <w:t>Frailty war mit höherer Gesamtmortalität assoziiert (n=162; adjustierte HR 1,98; 95%-KI 1,85–2,09) sowie krebsspezifischer Mortalität (n=18; HR 1,84; 95%-KI 1,58–2,15). Diese Assoziation blieb konsistent über Subgruppen (Alter, Geschlecht, BMI, Tumorstadium, Therapiemodalität) hinweg. 83,8 % der Studien erreichten Newcastle-Ottawa-Scores von 9 Punkten.</w:t>
      </w:r>
    </w:p>
    <w:p>
      <w:r>
        <w:rPr>
          <w:b/>
          <w:sz w:val="19"/>
        </w:rPr>
        <w:t xml:space="preserve">Übertragbarkeit: </w:t>
      </w:r>
      <w:r>
        <w:rPr>
          <w:sz w:val="19"/>
        </w:rPr>
        <w:t>International Evidenz; Frailty-Assessment als routinenahes Screening in onkologischen Kliniken weltweit empfohlen, auf deutsche Onkologiestationen unmittelbar übertragbar.</w:t>
      </w:r>
    </w:p>
    <w:p>
      <w:r>
        <w:rPr>
          <w:color w:val="5A7D3A"/>
          <w:sz w:val="18"/>
        </w:rPr>
        <w:t>https://pubmed.ncbi.nlm.nih.gov/42731927/</w:t>
      </w:r>
    </w:p>
    <w:p>
      <w:pPr>
        <w:pStyle w:val="Heading1"/>
      </w:pPr>
      <w:r>
        <w:t>Aufgenommen am 28.10.2026</w:t>
      </w:r>
    </w:p>
    <w:p>
      <w:pPr>
        <w:pStyle w:val="Heading2"/>
      </w:pPr>
      <w:r>
        <w:t>Richtige Nährstoffverteilung beugt Frailty vor – aber nur bei ausreichender Energiezufuhr</w:t>
      </w:r>
    </w:p>
    <w:p>
      <w:r>
        <w:rPr>
          <w:i/>
          <w:color w:val="666666"/>
          <w:sz w:val="18"/>
        </w:rPr>
        <w:t>Seo YB et al.  ·  Nutrients  ·  16.10.2026  ·  PMID 42942964</w:t>
      </w:r>
    </w:p>
    <w:p>
      <w:r>
        <w:t>Querschnittstudie von 2.803 Koreanern ≥65 Jahren (KNHANES 2022/2024), Assoziationen zwischen Makronährstoff-Adherenz (AMDR) und Frailty, stratifiziert nach Energiesuffizenz (≥30 kcal/kg/Tag).</w:t>
      </w:r>
    </w:p>
    <w:p>
      <w:r>
        <w:rPr>
          <w:b/>
        </w:rPr>
        <w:t xml:space="preserve">Ergebnis: </w:t>
      </w:r>
      <w:r>
        <w:t>Bei Energie-suffizienten Teilnehmern (n=925): AMDR-Nicht-Adherenz mit Frailty assoziiert (OR 5,58; 95% KI 1,59–19,67). Nicht-Adherenz zu Protein (OR 2,63) und Fett (OR 2,38) signifikant; bei energie-insuffizienten keine signifikante Assoziation (OR 1,08; p=0,58).</w:t>
      </w:r>
    </w:p>
    <w:p>
      <w:r>
        <w:rPr>
          <w:b/>
          <w:sz w:val="19"/>
        </w:rPr>
        <w:t xml:space="preserve">Übertragbarkeit: </w:t>
      </w:r>
      <w:r>
        <w:rPr>
          <w:sz w:val="19"/>
        </w:rPr>
        <w:t>Südkorea; Ernährungsempfehlungen für Ältere gelten international, aber Energiebedarfsberechnung ist populationsspezifisch</w:t>
      </w:r>
    </w:p>
    <w:p>
      <w:r>
        <w:rPr>
          <w:color w:val="5A7D3A"/>
          <w:sz w:val="18"/>
        </w:rPr>
        <w:t>https://pubmed.ncbi.nlm.nih.gov/42942964/</w:t>
      </w:r>
    </w:p>
    <w:p>
      <w:pPr>
        <w:pStyle w:val="Heading2"/>
      </w:pPr>
      <w:r>
        <w:t>Frailty vorhersagt Mortalität bei akuter Herzinsuffizienz stärker als NT-proBNP</w:t>
      </w:r>
    </w:p>
    <w:p>
      <w:r>
        <w:rPr>
          <w:i/>
          <w:color w:val="666666"/>
          <w:sz w:val="18"/>
        </w:rPr>
        <w:t>Aletras G et al.  ·  Medicina (Kaunas)  ·  08.10.2026  ·  PMID 42942474</w:t>
      </w:r>
    </w:p>
    <w:p>
      <w:r>
        <w:t>Prospektive Single-Center-Registerstudie mit 530 hospitalisierten AHF-Patienten (Feb 2023–Juni 2025), Frailty nach Clinical Frailty Scale gegen kardiorenal-pathologische Variablen als Mortalitätsprädiktor.</w:t>
      </w:r>
    </w:p>
    <w:p>
      <w:r>
        <w:rPr>
          <w:b/>
        </w:rPr>
        <w:t xml:space="preserve">Ergebnis: </w:t>
      </w:r>
      <w:r>
        <w:t>Frailty stark mit 12-Monats-Mortalität assoziiert (HR 3,29 pro Stratum, 95% KI 2,43–4,45). Mortalität stieg: CFS 1–3: 4,5 %, CFS 4–5: 19,3 %, CFS 6–9: 49,7 %. Addition von CFS zum kardiorenal-Modell verbesserte C-Index von 0,701 auf 0,734 (optimism-korrigiert 0,694–0,726).</w:t>
      </w:r>
    </w:p>
    <w:p>
      <w:r>
        <w:rPr>
          <w:b/>
          <w:sz w:val="19"/>
        </w:rPr>
        <w:t xml:space="preserve">Übertragbarkeit: </w:t>
      </w:r>
      <w:r>
        <w:rPr>
          <w:sz w:val="19"/>
        </w:rPr>
        <w:t>Griechenland, Universitätsklinik; CFS-Messung in deutschen Kliniken praktikabel</w:t>
      </w:r>
    </w:p>
    <w:p>
      <w:r>
        <w:rPr>
          <w:color w:val="5A7D3A"/>
          <w:sz w:val="18"/>
        </w:rPr>
        <w:t>https://pubmed.ncbi.nlm.nih.gov/42942474/</w:t>
      </w:r>
    </w:p>
    <w:p>
      <w:pPr>
        <w:pStyle w:val="Heading2"/>
      </w:pPr>
      <w:r>
        <w:t>Intrinsic Capacity vorhersagt Erfolg kardiovaskulärer Rehabilitation bei Älteren</w:t>
      </w:r>
    </w:p>
    <w:p>
      <w:r>
        <w:rPr>
          <w:i/>
          <w:color w:val="666666"/>
          <w:sz w:val="18"/>
        </w:rPr>
        <w:t>Bencivenga L et al.  ·  J Nutr Health Aging  ·  26.09.2026  ·  PMID 42800461</w:t>
      </w:r>
    </w:p>
    <w:p>
      <w:r>
        <w:t>Prospektive Studie mit 551 italienischen Patienten ≥65 Jahren in kardialer Rehabilitation, vergleichend Intrinsic Capacity und Frailty Index als Prädiktoren für Gehstrecke nach Rehabilitation.</w:t>
      </w:r>
    </w:p>
    <w:p>
      <w:r>
        <w:rPr>
          <w:b/>
        </w:rPr>
        <w:t xml:space="preserve">Ergebnis: </w:t>
      </w:r>
      <w:r>
        <w:t>Intrinsic Capacity zeigte stärkere Assoziation mit Gehstreckengewinn (β=0,571; R²adj=0,362) als Frailty Index (β=-0,281; R²adj=0,235). Effektstärke für Intrinsic Capacity vs. Frailty: Differenz in R²adj von 0,127 Punkte (12,7 % besser erklärte Varianz).</w:t>
      </w:r>
    </w:p>
    <w:p>
      <w:r>
        <w:rPr>
          <w:b/>
          <w:sz w:val="19"/>
        </w:rPr>
        <w:t xml:space="preserve">Übertragbarkeit: </w:t>
      </w:r>
      <w:r>
        <w:rPr>
          <w:sz w:val="19"/>
        </w:rPr>
        <w:t>Italien, vergleichbares Sozialsystem; Comprehensive Geriatric Assessment etabliert in DACH-Ländern</w:t>
      </w:r>
    </w:p>
    <w:p>
      <w:r>
        <w:rPr>
          <w:color w:val="5A7D3A"/>
          <w:sz w:val="18"/>
        </w:rPr>
        <w:t>https://pubmed.ncbi.nlm.nih.gov/42800461/</w:t>
      </w:r>
    </w:p>
    <w:p>
      <w:pPr>
        <w:pStyle w:val="Heading2"/>
      </w:pPr>
      <w:r>
        <w:t>Bewegungsförderung älterer Menschen auf kommunaler Ebene: Strukturen, Barrieren, politische Strategien</w:t>
      </w:r>
    </w:p>
    <w:p>
      <w:r>
        <w:rPr>
          <w:i/>
          <w:color w:val="666666"/>
          <w:sz w:val="18"/>
        </w:rPr>
        <w:t>Aluttis C et al.  ·  Bundesgesundheitsblatt Gesundheitsforschung Gesundheitsschutz  ·  23.09.2026  ·  PMID 42776169</w:t>
      </w:r>
    </w:p>
    <w:p>
      <w:r>
        <w:t>Deutsche Qualitativ-Analyse zu Bewegungsförderung von über 65-Jährigen in Kommunen, untersucht Strukturen, Implementierungsbarrieren und Rolle von Narrativen in der Politikpriorisierung.</w:t>
      </w:r>
    </w:p>
    <w:p>
      <w:r>
        <w:rPr>
          <w:b/>
        </w:rPr>
        <w:t xml:space="preserve">Ergebnis: </w:t>
      </w:r>
      <w:r>
        <w:t>Mehrheit der 65+-Jährigen in Deutschland erfüllt Bewegungsempfehlungen nicht (Norm: Mangel statt Aktivität). Barrieren auf kommunaler Ebene: Fragmentierung, projektbezogene Ansätze, begrenzte Ressourcen. Lösungsfaktoren: aktivitätsfreundliche Strukturen (sichere Wege, erreichbare Ziele, öffentliche Räume); strategische Narrative können Priorisierung verschieben.</w:t>
      </w:r>
    </w:p>
    <w:p>
      <w:r>
        <w:rPr>
          <w:b/>
          <w:sz w:val="19"/>
        </w:rPr>
        <w:t xml:space="preserve">Übertragbarkeit: </w:t>
      </w:r>
      <w:r>
        <w:rPr>
          <w:sz w:val="19"/>
        </w:rPr>
        <w:t>Deutschland, direktes Erhebungsland; kommunale Ebene Schlüsselansatz im föderalen System</w:t>
      </w:r>
    </w:p>
    <w:p>
      <w:r>
        <w:rPr>
          <w:color w:val="5A7D3A"/>
          <w:sz w:val="18"/>
        </w:rPr>
        <w:t>https://pubmed.ncbi.nlm.nih.gov/42776169/</w:t>
      </w:r>
    </w:p>
    <w:p>
      <w:pPr>
        <w:pStyle w:val="Heading2"/>
      </w:pPr>
      <w:r>
        <w:t>Insulinresistenz-Surrogate vorhersagt Cardiometabolische Multimorbidität konsistent in China und England</w:t>
      </w:r>
    </w:p>
    <w:p>
      <w:r>
        <w:rPr>
          <w:i/>
          <w:color w:val="666666"/>
          <w:sz w:val="18"/>
        </w:rPr>
        <w:t>Wei J et al.  ·  Maturitas  ·  04.09.2026  ·  PMID 42721914</w:t>
      </w:r>
    </w:p>
    <w:p>
      <w:r>
        <w:t>Prospektive Kohortenstudie: China Health and Retirement Longitudinal Study + English Longitudinal Study of Ageing, harmonisierte Daten von älteren Teilnehmern, geschätzte Glukose-Disposal-Rate als Prädiktor für nicht-glykämische Herzerkrankung/-Schlaganfall und Multimorbidität-Progression.</w:t>
      </w:r>
    </w:p>
    <w:p>
      <w:r>
        <w:rPr>
          <w:b/>
        </w:rPr>
        <w:t xml:space="preserve">Ergebnis: </w:t>
      </w:r>
      <w:r>
        <w:t>Untere Glukose-Disposal-Rate mit Herzerkrankung/Schlaganfall-Inzidenz: HR 1,25 (KI 1,18–1,33) China, HR 1,23 (1,14–1,32) England; gepoolte HR 1,24 (1,19–1,30). External Concordance 0,66–0,68; Diskrimination besser als Hämoglobin A1c allein, aber nicht über Einzelkomponenten hinaus.</w:t>
      </w:r>
    </w:p>
    <w:p>
      <w:r>
        <w:rPr>
          <w:b/>
          <w:sz w:val="19"/>
        </w:rPr>
        <w:t xml:space="preserve">Übertragbarkeit: </w:t>
      </w:r>
      <w:r>
        <w:rPr>
          <w:sz w:val="19"/>
        </w:rPr>
        <w:t>China + England; Crossover-Validität, aber absolute Risikokalibrierung erfordert lokale Anpassung</w:t>
      </w:r>
    </w:p>
    <w:p>
      <w:r>
        <w:rPr>
          <w:color w:val="5A7D3A"/>
          <w:sz w:val="18"/>
        </w:rPr>
        <w:t>https://pubmed.ncbi.nlm.nih.gov/42721914/</w:t>
      </w:r>
    </w:p>
    <w:p>
      <w:pPr>
        <w:pStyle w:val="Heading2"/>
      </w:pPr>
      <w:r>
        <w:t>Frailty beschleunigt Multimorbiditätsaccumulation und kostet Jahre voller Gesundheit</w:t>
      </w:r>
    </w:p>
    <w:p>
      <w:r>
        <w:rPr>
          <w:i/>
          <w:color w:val="666666"/>
          <w:sz w:val="18"/>
        </w:rPr>
        <w:t>Xing X et al.  ·  J Nutr Health Aging  ·  04.09.2026  ·  PMID 42697174</w:t>
      </w:r>
    </w:p>
    <w:p>
      <w:r>
        <w:t>Multistate-Analyse von 276.696 UK-Biobank-Teilnehmern ohne Grunderkrankungen (mittleres Alter 55,3 Jahre), Frailty-Phänotyp als Prädiktor für Transition zu Erkrankung und Multimorbidität über 13 Jahre.</w:t>
      </w:r>
    </w:p>
    <w:p>
      <w:r>
        <w:rPr>
          <w:b/>
        </w:rPr>
        <w:t xml:space="preserve">Ergebnis: </w:t>
      </w:r>
      <w:r>
        <w:t>Frail-Gruppe verlor 2,72 Jahre (95% KI 2,64–2,81) multimorbidität-freies Überleben über 12 Jahre. Transition von gesund zu Erkrankung: HR 1,77 (1,72–1,83); von Erkrankung zu Multimorbidität: HR 1,73 (1,68–1,79). Eliminierung von Pre-Frailty/Frailty könnte 9,85 % der Inzidenzfälle verhindern.</w:t>
      </w:r>
    </w:p>
    <w:p>
      <w:r>
        <w:rPr>
          <w:b/>
          <w:sz w:val="19"/>
        </w:rPr>
        <w:t xml:space="preserve">Übertragbarkeit: </w:t>
      </w:r>
      <w:r>
        <w:rPr>
          <w:sz w:val="19"/>
        </w:rPr>
        <w:t>UK Biobank; Frailty-Screening in Prävention übertragbar auf deutsche Primärversorgung</w:t>
      </w:r>
    </w:p>
    <w:p>
      <w:r>
        <w:rPr>
          <w:color w:val="5A7D3A"/>
          <w:sz w:val="18"/>
        </w:rPr>
        <w:t>https://pubmed.ncbi.nlm.nih.gov/42697174/</w:t>
      </w:r>
    </w:p>
    <w:p>
      <w:pPr>
        <w:pStyle w:val="Heading1"/>
      </w:pPr>
      <w:r>
        <w:t>Aufgenommen am 27.10.2026</w:t>
      </w:r>
    </w:p>
    <w:p>
      <w:pPr>
        <w:pStyle w:val="Heading2"/>
      </w:pPr>
      <w:r>
        <w:t>Gefäßchirurgie: Geriatrisches Konsil senkt Sterblichkeit und Komplikationen bei älteren Patienten</w:t>
      </w:r>
    </w:p>
    <w:p>
      <w:r>
        <w:rPr>
          <w:i/>
          <w:color w:val="666666"/>
          <w:sz w:val="18"/>
        </w:rPr>
        <w:t>Power Foley M et al.  ·  Age Ageing  ·  03.08.2026  ·  PMID 42933995</w:t>
      </w:r>
    </w:p>
    <w:p>
      <w:r>
        <w:t>Systematische Übersicht von 8 Studien mit 2.441 Patienten, die formalisierte geriatrische Interventionen (präoperatives Comprehensive Assessment, Liaison-Service oder Co-Management) vor/während Gefäßchirurgie mit Standardversorgung verglich.</w:t>
      </w:r>
    </w:p>
    <w:p>
      <w:r>
        <w:rPr>
          <w:b/>
        </w:rPr>
        <w:t xml:space="preserve">Ergebnis: </w:t>
      </w:r>
      <w:r>
        <w:t>Geriatrische Modelle waren assoziiert mit reduziertem Risiko für Krankenhaussterblichkeit (RR 0,65; 95%-CI 0,46–0,90; p=0,010), kardiale Komplikationen (RR 0,35; p&lt;0,001) und Infektionen (RR 0,48; p&lt;0,001). Delirium-Risiko war nicht signifikant gesenkt. Verweildauer und Entlassungsort unterschieden sich nicht.</w:t>
      </w:r>
    </w:p>
    <w:p>
      <w:r>
        <w:rPr>
          <w:b/>
          <w:sz w:val="19"/>
        </w:rPr>
        <w:t xml:space="preserve">Übertragbarkeit: </w:t>
      </w:r>
      <w:r>
        <w:rPr>
          <w:sz w:val="19"/>
        </w:rPr>
        <w:t>Irland und Großbritannien; Befund übertragbar auf deutsches Gesundheitssystem mit ähnlichem Auftrag zur geriatrischen Ko-Versorgung.</w:t>
      </w:r>
    </w:p>
    <w:p>
      <w:r>
        <w:rPr>
          <w:color w:val="5A7D3A"/>
          <w:sz w:val="18"/>
        </w:rPr>
        <w:t>https://pubmed.ncbi.nlm.nih.gov/42933995/</w:t>
      </w:r>
    </w:p>
    <w:p>
      <w:pPr>
        <w:pStyle w:val="Heading2"/>
      </w:pPr>
      <w:r>
        <w:t>Depression und Frailty: Depressive Symptome verdoppeln Gebrechlichkeitsrisiko bei älteren Patienten mit Kardiometabolischer Erkrankung</w:t>
      </w:r>
    </w:p>
    <w:p>
      <w:r>
        <w:rPr>
          <w:i/>
          <w:color w:val="666666"/>
          <w:sz w:val="18"/>
        </w:rPr>
        <w:t>Kobayashi F et al.  ·  PLoS One  ·  26.10.2026  ·  PMID 42932359</w:t>
      </w:r>
    </w:p>
    <w:p>
      <w:r>
        <w:t>Längscohortenstudie von 431 Patienten ≥65 Jahren mit kardiometabolischen Erkrankungen (Nachbeobachtung Median 2,9 Jahre) zur Assoziation depressiver Symptome (GDS-15 ≥5) mit neu aufgetretener Frailty.</w:t>
      </w:r>
    </w:p>
    <w:p>
      <w:r>
        <w:rPr>
          <w:b/>
        </w:rPr>
        <w:t xml:space="preserve">Ergebnis: </w:t>
      </w:r>
      <w:r>
        <w:t>Depressive Symptome waren unabhängig assoziiert mit Frailty (adjustierte HR für mCHS-Definition 1,92; 95%-CI 1,60–2,31; für KCL-Definition 2,05; 95%-CI 1,70–2,48). Signifikante Interaktion zwischen Depression und Diabetes: Patienten mit beiden Merkmalen hatten markant erhöhtes Frailty-Risiko.</w:t>
      </w:r>
    </w:p>
    <w:p>
      <w:r>
        <w:rPr>
          <w:b/>
          <w:sz w:val="19"/>
        </w:rPr>
        <w:t xml:space="preserve">Übertragbarkeit: </w:t>
      </w:r>
      <w:r>
        <w:rPr>
          <w:sz w:val="19"/>
        </w:rPr>
        <w:t>Japan; Befund ist altersunabhängig übertragbar, aber Messinstrumente (mCHS, KCL) sind von regionaler Anwendbarkeit abhängig.</w:t>
      </w:r>
    </w:p>
    <w:p>
      <w:r>
        <w:rPr>
          <w:color w:val="5A7D3A"/>
          <w:sz w:val="18"/>
        </w:rPr>
        <w:t>https://pubmed.ncbi.nlm.nih.gov/42932359/</w:t>
      </w:r>
    </w:p>
    <w:p>
      <w:pPr>
        <w:pStyle w:val="Heading2"/>
      </w:pPr>
      <w:r>
        <w:t>Schlaganfall-Rehabilitation: Ältere Patienten über 80 Jahren profitieren weniger von koordinierter Langzeitintervention</w:t>
      </w:r>
    </w:p>
    <w:p>
      <w:r>
        <w:rPr>
          <w:i/>
          <w:color w:val="666666"/>
          <w:sz w:val="18"/>
        </w:rPr>
        <w:t>Ihle-Hansen H et al.  ·  J Rehabil Med  ·  26.10.2026  ·  PMID 42929098</w:t>
      </w:r>
    </w:p>
    <w:p>
      <w:r>
        <w:t>Randomisierte Studie an 301 norwegischen Patienten nach Schlaganfall (Durchschnittsalter 71 Jahre), die eine 18 Monate andauernde koordinierte Intervention mit monatlichen Treffen versus Standardversorgung verglich.</w:t>
      </w:r>
    </w:p>
    <w:p>
      <w:r>
        <w:rPr>
          <w:b/>
        </w:rPr>
        <w:t xml:space="preserve">Ergebnis: </w:t>
      </w:r>
      <w:r>
        <w:t>Bei Patienten ≥80 Jahren war die Wahrscheinlichkeit für günstige Funktionsergebnisse in der Interventionsgruppe signifikant niedriger als in der Kontrolle (23,4 % vs. 57,0 %; p=0,004). Bei jüngeren Patienten verbesserte die Intervention die kognitiven Testergebnisse (Trail Making Test B: −32,2 s; p=0,015). Frailty als solche modifizierte die Interventionswirkung nicht.</w:t>
      </w:r>
    </w:p>
    <w:p>
      <w:r>
        <w:rPr>
          <w:b/>
          <w:sz w:val="19"/>
        </w:rPr>
        <w:t xml:space="preserve">Übertragbarkeit: </w:t>
      </w:r>
      <w:r>
        <w:rPr>
          <w:sz w:val="19"/>
        </w:rPr>
        <w:t>Norwegen, vergleichbares europäisches Versicherungssystem; Befund zu Altersgrenze hat universelle Relevanz für Geriatrie.</w:t>
      </w:r>
    </w:p>
    <w:p>
      <w:r>
        <w:rPr>
          <w:color w:val="5A7D3A"/>
          <w:sz w:val="18"/>
        </w:rPr>
        <w:t>https://pubmed.ncbi.nlm.nih.gov/42929098/</w:t>
      </w:r>
    </w:p>
    <w:p>
      <w:pPr>
        <w:pStyle w:val="Heading2"/>
      </w:pPr>
      <w:r>
        <w:t>Umweltbelastung und Schilddrüse: Benzol-Exposition erhöht Dysfunktionsrisiko durch Beschleunigung biologischen Alterns</w:t>
      </w:r>
    </w:p>
    <w:p>
      <w:r>
        <w:rPr>
          <w:i/>
          <w:color w:val="666666"/>
          <w:sz w:val="18"/>
        </w:rPr>
        <w:t>Yu L et al.  ·  Front Public Health  ·  17.09.2026  ·  PMID 42823953</w:t>
      </w:r>
    </w:p>
    <w:p>
      <w:r>
        <w:t>Kohortenstudie von 385.130 UK-Biobank-Teilnehmern zur Assoziation chronischer Benzol-Exposition mit Hypothyreose und Hyperthyreose; Testung, ob biologisches Altern den Effekt mediiert.</w:t>
      </w:r>
    </w:p>
    <w:p>
      <w:r>
        <w:rPr>
          <w:b/>
        </w:rPr>
        <w:t xml:space="preserve">Ergebnis: </w:t>
      </w:r>
      <w:r>
        <w:t>Benzol-Exposition zeigte dosisabhängige Assoziation mit Hypothyreose (HR pro 1 μg/m³: 1,19; 95%-CI 1,16–1,21) und Hyperthyreose (HR 1,21; 95%-CI 1,18–1,25). Beschleunigte biologische Alterung mediierte 3,07 % des Benzol-Hyperthyreose-Effekts; additive Interaktion mit höherem biologischem Alter auf Hypothyreose.</w:t>
      </w:r>
    </w:p>
    <w:p>
      <w:r>
        <w:rPr>
          <w:b/>
          <w:sz w:val="19"/>
        </w:rPr>
        <w:t xml:space="preserve">Übertragbarkeit: </w:t>
      </w:r>
      <w:r>
        <w:rPr>
          <w:sz w:val="19"/>
        </w:rPr>
        <w:t>UK Biobank; Luftqualitätsdaten sind in Deutschland verfügbar; biologische Altersmarker sind populationsübergreifend einsetzbar.</w:t>
      </w:r>
    </w:p>
    <w:p>
      <w:r>
        <w:rPr>
          <w:color w:val="5A7D3A"/>
          <w:sz w:val="18"/>
        </w:rPr>
        <w:t>https://pubmed.ncbi.nlm.nih.gov/42823953/</w:t>
      </w:r>
    </w:p>
    <w:p>
      <w:pPr>
        <w:pStyle w:val="Heading2"/>
      </w:pPr>
      <w:r>
        <w:t>Beschleunigte biologische Alterung erhöht Gicht-Risiko und Sterblichkeit bei älteren Menschen</w:t>
      </w:r>
    </w:p>
    <w:p>
      <w:r>
        <w:rPr>
          <w:i/>
          <w:color w:val="666666"/>
          <w:sz w:val="18"/>
        </w:rPr>
        <w:t>Zhao H et al.  ·  Maturitas  ·  25.09.2026  ·  PMID 42815273</w:t>
      </w:r>
    </w:p>
    <w:p>
      <w:r>
        <w:t>Querschnitts- und Kohortenstudie mit 385.130 UK-Biobank-Teilnehmern und 5.228 NHANES-Erwachsenen zur Assoziation von biologischem Altern (KDMAge, PhenoAge) mit Gicht-Prävalenz, Gicht-Inzidenz und Mortalität.</w:t>
      </w:r>
    </w:p>
    <w:p>
      <w:r>
        <w:rPr>
          <w:b/>
        </w:rPr>
        <w:t xml:space="preserve">Ergebnis: </w:t>
      </w:r>
      <w:r>
        <w:t>In NHANES war jedes Jahr biologischer Alterungsbeschleunigung mit 4 % erhöhtem Gicht-Risiko verbunden (OR 1,04; 95%-CI 1,03–1,05). Im UK Biobank: HR für Gicht-Neuauftreten bei KDMAge-Beschleunigung 1,80 (95%-CI 1,71–1,90). Bei Gicht-Patienten: beschleunigte biologische Alterung war mit 21–134 % erhöhtem Sterberisiko assoziiert (HR 1,21–2,34).</w:t>
      </w:r>
    </w:p>
    <w:p>
      <w:r>
        <w:rPr>
          <w:b/>
          <w:sz w:val="19"/>
        </w:rPr>
        <w:t xml:space="preserve">Übertragbarkeit: </w:t>
      </w:r>
      <w:r>
        <w:rPr>
          <w:sz w:val="19"/>
        </w:rPr>
        <w:t>UK Biobank und NHANES; biologische Altersmarker sind populationsübergreifend relevant, aber absolute Risiken gelten nur lokal.</w:t>
      </w:r>
    </w:p>
    <w:p>
      <w:r>
        <w:rPr>
          <w:color w:val="5A7D3A"/>
          <w:sz w:val="18"/>
        </w:rPr>
        <w:t>https://pubmed.ncbi.nlm.nih.gov/42815273/</w:t>
      </w:r>
    </w:p>
    <w:p>
      <w:pPr>
        <w:pStyle w:val="Heading2"/>
      </w:pPr>
      <w:r>
        <w:t>Armmuskulatur und Frailty: Dysbalance zwischen Fett und Muskel als klinisches Marker für biologische Alterung</w:t>
      </w:r>
    </w:p>
    <w:p>
      <w:r>
        <w:rPr>
          <w:i/>
          <w:color w:val="666666"/>
          <w:sz w:val="18"/>
        </w:rPr>
        <w:t>Sun Z et al.  ·  Maturitas  ·  17.09.2026  ·  PMID 42777331</w:t>
      </w:r>
    </w:p>
    <w:p>
      <w:r>
        <w:t>Querschnittsanalyse von 445.317 UK-Biobank-Teilnehmern zur Assoziation von regionalem Fett-Muskel-Verhältnis (aus Bioimpedanz) mit Frailty-Status und proteingestütztem biologischem Altern.</w:t>
      </w:r>
    </w:p>
    <w:p>
      <w:r>
        <w:rPr>
          <w:b/>
        </w:rPr>
        <w:t xml:space="preserve">Ergebnis: </w:t>
      </w:r>
      <w:r>
        <w:t>Höhere Fett-Muskel-Quoten waren dosisabhängig assoziiert mit Pre-Frailty und Frailty; Arm-Verhältnis war stärkster regionaler Prädiktor (Frauen: OR 2,95 für Frailty; 95%-CI 2,75–3,18). Arm-Quote verbesserte die BMI-basierte Diskrimination um AUC 0,0068–0,0137. Konkordanz mit multi-organ proteingestütztem Alterungsmuster.</w:t>
      </w:r>
    </w:p>
    <w:p>
      <w:r>
        <w:rPr>
          <w:b/>
          <w:sz w:val="19"/>
        </w:rPr>
        <w:t xml:space="preserve">Übertragbarkeit: </w:t>
      </w:r>
      <w:r>
        <w:rPr>
          <w:sz w:val="19"/>
        </w:rPr>
        <w:t>UK Biobank; körperanalytische Methoden sind in Deutschland verfügbar; Befund erfordert Validierung an deutschen Kohorten.</w:t>
      </w:r>
    </w:p>
    <w:p>
      <w:r>
        <w:rPr>
          <w:color w:val="5A7D3A"/>
          <w:sz w:val="18"/>
        </w:rPr>
        <w:t>https://pubmed.ncbi.nlm.nih.gov/42777331/</w:t>
      </w:r>
    </w:p>
    <w:p>
      <w:pPr>
        <w:pStyle w:val="Heading1"/>
      </w:pPr>
      <w:r>
        <w:t>Aufgenommen am 26.10.2026</w:t>
      </w:r>
    </w:p>
    <w:p>
      <w:pPr>
        <w:pStyle w:val="Heading2"/>
      </w:pPr>
      <w:r>
        <w:t>Frailty-Assessments in präoperativer Geriatrie: systematische Übersicht von 35 Werkzeugen</w:t>
      </w:r>
    </w:p>
    <w:p>
      <w:r>
        <w:rPr>
          <w:i/>
          <w:color w:val="666666"/>
          <w:sz w:val="18"/>
        </w:rPr>
        <w:t>Chesney TR et al.  ·  BJS Open  ·  04.09.2026  ·  PMID 42925091</w:t>
      </w:r>
    </w:p>
    <w:p>
      <w:r>
        <w:t>Systematische Scoping Review von 160 Studien zu 35 Frailty-Messinstrumenten bei Personen ≥65 Jahren vor großen Operationen, untersucht anhand von 6 Performanzmetriken (Messeigenschaften, klinische Implikationen, praktische Faktoren).</w:t>
      </w:r>
    </w:p>
    <w:p>
      <w:r>
        <w:rPr>
          <w:b/>
        </w:rPr>
        <w:t xml:space="preserve">Ergebnis: </w:t>
      </w:r>
      <w:r>
        <w:t>Clinical Frailty Scale extensiv erforscht (4 von 6 Metriken), aber 40 % der Tools nur in einer Studie untersucht. Edmonton Frail Scale einziges Tool über alle 6 Metriken validiert. FRAIL scale, Geriatric 8 und Vulnerable Elders Survey-13 zeigen gute Balance zwischen Simplizität und Evidenzlage. Prädiktive Validität am meisten untersucht, während klinische Auswirkungen und Implementierungsfaktoren untererforscht.</w:t>
      </w:r>
    </w:p>
    <w:p>
      <w:r>
        <w:rPr>
          <w:b/>
          <w:sz w:val="19"/>
        </w:rPr>
        <w:t xml:space="preserve">Übertragbarkeit: </w:t>
      </w:r>
      <w:r>
        <w:rPr>
          <w:sz w:val="19"/>
        </w:rPr>
        <w:t>Kanada, Cochrane Review – internationale Standards; Auswahl übertragbar auf deutschsprachige Kliniken.</w:t>
      </w:r>
    </w:p>
    <w:p>
      <w:r>
        <w:rPr>
          <w:color w:val="5A7D3A"/>
          <w:sz w:val="18"/>
        </w:rPr>
        <w:t>https://pubmed.ncbi.nlm.nih.gov/42925091/</w:t>
      </w:r>
    </w:p>
    <w:p>
      <w:pPr>
        <w:pStyle w:val="Heading2"/>
      </w:pPr>
      <w:r>
        <w:t>Arbeitsplatzmaßnahmen für gesundes Altern: Verfügbarkeit und Effekt auf Arbeitsfähigkeit in Italien</w:t>
      </w:r>
    </w:p>
    <w:p>
      <w:r>
        <w:rPr>
          <w:i/>
          <w:color w:val="666666"/>
          <w:sz w:val="18"/>
        </w:rPr>
        <w:t>Dragano N et al.  ·  Med Lav  ·  23.10.2026  ·  PMID 42925044</w:t>
      </w:r>
    </w:p>
    <w:p>
      <w:r>
        <w:t>Querschnittstudie an 3.741 berufstätigen Personen im Alter 50–65 Jahren in Italien, die Verfügbarkeit von 20 Maßnahmen zur Förderung gesunden Alterns sowie deren Assoziationen mit dem Work Ability Index (WAI) untersuchte.</w:t>
      </w:r>
    </w:p>
    <w:p>
      <w:r>
        <w:rPr>
          <w:b/>
        </w:rPr>
        <w:t xml:space="preserve">Ergebnis: </w:t>
      </w:r>
      <w:r>
        <w:t>Durchschnittliche Verfügbarkeit von 5 von 20 Maßnahmen (viele unter 20 % der Arbeitnehmer); weniger verfügbar für Frauen, mit niedrigem Einkommen, in bestimmten Wirtschaftssektoren und bei befristeten Verträgen. Höhere Verfügbarkeit von Maßnahmen assoziiert mit besserem WAI (β = 0,107; 95%-KI 0,058–0,157). Implementierung bleibt noch deutlich ausbaubar, besonders für benachteiligte Arbeitnehmergruppen.</w:t>
      </w:r>
    </w:p>
    <w:p>
      <w:r>
        <w:rPr>
          <w:b/>
          <w:sz w:val="19"/>
        </w:rPr>
        <w:t xml:space="preserve">Übertragbarkeit: </w:t>
      </w:r>
      <w:r>
        <w:rPr>
          <w:sz w:val="19"/>
        </w:rPr>
        <w:t>Italien/DACH-Nachbar, vergleichbarer Arbeitsmarkt und Sozialversicherung.</w:t>
      </w:r>
    </w:p>
    <w:p>
      <w:r>
        <w:rPr>
          <w:color w:val="5A7D3A"/>
          <w:sz w:val="18"/>
        </w:rPr>
        <w:t>https://pubmed.ncbi.nlm.nih.gov/42925044/</w:t>
      </w:r>
    </w:p>
    <w:p>
      <w:pPr>
        <w:pStyle w:val="Heading2"/>
      </w:pPr>
      <w:r>
        <w:t>Digitale Teilhabe älterer Menschen mit Gebrechlichkeit: qualitative Analyse von fünf Nutzer-Profilen</w:t>
      </w:r>
    </w:p>
    <w:p>
      <w:r>
        <w:rPr>
          <w:i/>
          <w:color w:val="666666"/>
          <w:sz w:val="18"/>
        </w:rPr>
        <w:t>Ren K et al.  ·  Front Public Health  ·  08.10.2026  ·  PMID 42923139</w:t>
      </w:r>
    </w:p>
    <w:p>
      <w:r>
        <w:t>Qualitative Studie mit 24 älteren Erwachsenen mit Interneterfahrung, die Muster der Internetnutzung nach Gebrechlichkeit mittels semi-strukturierter Interviews und inductiver Inhaltsanalyse mit Entwicklung von fünf User-Personas analysierte.</w:t>
      </w:r>
    </w:p>
    <w:p>
      <w:r>
        <w:rPr>
          <w:b/>
        </w:rPr>
        <w:t xml:space="preserve">Ergebnis: </w:t>
      </w:r>
      <w:r>
        <w:t>Fünf Personas identifiziert: Health-Empowered Integrators, Basic-Function Adapters, Entertainment-Oriented Users, Resource-Limited Users, Health-Affected Users. Kernfindung: Gebrechlichkeit korreliert nicht direkt mit Internetnutzung; stattdessen bestimmen Gesundheitsfunktionsfähigkeit, digitale Kompetenzen, Bildungsressourcen und soziale Unterstützung gemeinsam die Muster. Gezielte Unterstützung nach Persona-Merkmalen könnte digitale Gerechtigkeit und Zugang zu Gesundheitsressourcen verbessern.</w:t>
      </w:r>
    </w:p>
    <w:p>
      <w:r>
        <w:rPr>
          <w:b/>
          <w:sz w:val="19"/>
        </w:rPr>
        <w:t xml:space="preserve">Übertragbarkeit: </w:t>
      </w:r>
      <w:r>
        <w:rPr>
          <w:sz w:val="19"/>
        </w:rPr>
        <w:t>China, qualitative Methode universell; Persona-Ansatz zur Gesundheitsdigitalisierung übertragbar.</w:t>
      </w:r>
    </w:p>
    <w:p>
      <w:r>
        <w:rPr>
          <w:color w:val="5A7D3A"/>
          <w:sz w:val="18"/>
        </w:rPr>
        <w:t>https://pubmed.ncbi.nlm.nih.gov/42923139/</w:t>
      </w:r>
    </w:p>
    <w:p>
      <w:pPr>
        <w:pStyle w:val="Heading2"/>
      </w:pPr>
      <w:r>
        <w:t>Integrierte Altenpolitik und Lebensqualität: Difference-in-Differences-Analyse über 24 Länder</w:t>
      </w:r>
    </w:p>
    <w:p>
      <w:r>
        <w:rPr>
          <w:i/>
          <w:color w:val="666666"/>
          <w:sz w:val="18"/>
        </w:rPr>
        <w:t>Tu Y et al.  ·  Front Public Health  ·  09.10.2026  ·  PMID 42920700</w:t>
      </w:r>
    </w:p>
    <w:p>
      <w:r>
        <w:t>Differenzen-in-Differenzen-Analyse mit Daten von 24 Ländern (2018–2025), vergleichend 11 Länder mit nationalen integrierten Altenpflegepolitiken (2021–2022 eingeführt) mit 13 Kontrollländern, Endpunkte Lebensqualitätsindex und Lebenserwartung mit 60 Jahren.</w:t>
      </w:r>
    </w:p>
    <w:p>
      <w:r>
        <w:rPr>
          <w:b/>
        </w:rPr>
        <w:t xml:space="preserve">Ergebnis: </w:t>
      </w:r>
      <w:r>
        <w:t>Politikadoption assoziiert mit +3,84 Punkten im Lebensqualitätsindex (95%-KI 2,39–5,30; p&lt;0,01; 0,33 SD) und +1,13 Jahren Lebenserwartung mit 60 Jahren (95%-KI 0,50–1,75; p&lt;0,01; 0,36 SD). Effekte stiegen von Jahr 1 (1,26 Punkte) auf Jahr 3 nach Einführung (3,84 Punkte). Mechanismen: Erhöhte universelle Krankenversicherung (+4,13), Ausweitung Sozialschutz (+5,28), reduzierte Selbstbeteiligung (−3,42). Effekte robuster in Ländern mit niedrigerem Einkommen.</w:t>
      </w:r>
    </w:p>
    <w:p>
      <w:r>
        <w:rPr>
          <w:b/>
          <w:sz w:val="19"/>
        </w:rPr>
        <w:t xml:space="preserve">Übertragbarkeit: </w:t>
      </w:r>
      <w:r>
        <w:rPr>
          <w:sz w:val="19"/>
        </w:rPr>
        <w:t>Globale Evidenz, DACH-orientiert; Ergebnis hängt an Finanzierungssystem – teilweise übertragbar auf deutsche Ländermodelle.</w:t>
      </w:r>
    </w:p>
    <w:p>
      <w:r>
        <w:rPr>
          <w:color w:val="5A7D3A"/>
          <w:sz w:val="18"/>
        </w:rPr>
        <w:t>https://pubmed.ncbi.nlm.nih.gov/42920700/</w:t>
      </w:r>
    </w:p>
    <w:p>
      <w:pPr>
        <w:pStyle w:val="Heading2"/>
      </w:pPr>
      <w:r>
        <w:t>Clinical Frailty Scale: Assoziationen mit Lebensqualität bei akut hospitalisierten Älteren</w:t>
      </w:r>
    </w:p>
    <w:p>
      <w:r>
        <w:rPr>
          <w:i/>
          <w:color w:val="666666"/>
          <w:sz w:val="18"/>
        </w:rPr>
        <w:t>Roa Santervas L et al.  ·  J Frailty Aging  ·  17.10.2026  ·  PMID 42891948</w:t>
      </w:r>
    </w:p>
    <w:p>
      <w:r>
        <w:t>Cross-sektonale Studie an 382 Patienten ≥70 Jahren in einer norwegischen Notfallaufnahme, die Zusammenhänge zwischen Clinical Frailty Scale und allgemeiner sowie oraler gesundheitsbezogener Lebensqualität untersuchte.</w:t>
      </w:r>
    </w:p>
    <w:p>
      <w:r>
        <w:rPr>
          <w:b/>
        </w:rPr>
        <w:t xml:space="preserve">Ergebnis: </w:t>
      </w:r>
      <w:r>
        <w:t>Zunehmende Gebrechlichkeit war signifikant mit niedrigeren 15D-Scores assoziiert (adjustiertes B −0,053; 95%-KI −0,061 bis −0,045), höheren Odds für niedrigere Lebenszufriedenheit (adjustierte OR 1,19; 95%-KI 1,02–1,39) und höheren Odds für negative Auswirkungen der Mundgesundheit (adjustierte OR 1,25; 95%-KI 1,05–1,48). Einfache Frailty-Bewertung bei akuter Aufnahme kann Patienten mit schlechterer Lebensqualität identifizieren.</w:t>
      </w:r>
    </w:p>
    <w:p>
      <w:r>
        <w:rPr>
          <w:b/>
          <w:sz w:val="19"/>
        </w:rPr>
        <w:t xml:space="preserve">Übertragbarkeit: </w:t>
      </w:r>
      <w:r>
        <w:rPr>
          <w:sz w:val="19"/>
        </w:rPr>
        <w:t>Norwegen, vergleichbares Versicherungssystem, ähnliche Notfallversorgungsstruktur.</w:t>
      </w:r>
    </w:p>
    <w:p>
      <w:r>
        <w:rPr>
          <w:color w:val="5A7D3A"/>
          <w:sz w:val="18"/>
        </w:rPr>
        <w:t>https://pubmed.ncbi.nlm.nih.gov/42891948/</w:t>
      </w:r>
    </w:p>
    <w:p>
      <w:pPr>
        <w:pStyle w:val="Heading2"/>
      </w:pPr>
      <w:r>
        <w:t>Gemeindeübungen und Funktionsbesserung bei älteren Menschen mit Gebrechlichkeit</w:t>
      </w:r>
    </w:p>
    <w:p>
      <w:r>
        <w:rPr>
          <w:i/>
          <w:color w:val="666666"/>
          <w:sz w:val="18"/>
        </w:rPr>
        <w:t>O'Shea M et al.  ·  J Frailty Aging  ·  05.10.2026  ·  PMID 42832337</w:t>
      </w:r>
    </w:p>
    <w:p>
      <w:r>
        <w:t>Prospektive Kohortenstudie mit 1.290 Teilnehmern (Durchschnittsalter 69 Jahre) in einem irischen, medizinisch betreuten Gruppentrainingsprogramm, stratifiziert nach Baseline-Gebrechlichkeit über 24 Wochen.</w:t>
      </w:r>
    </w:p>
    <w:p>
      <w:r>
        <w:rPr>
          <w:b/>
        </w:rPr>
        <w:t xml:space="preserve">Ergebnis: </w:t>
      </w:r>
      <w:r>
        <w:t>Bei Baseline 15 % fraile, 23 % präfraile, 62 % robuste Teilnehmer. Fraile Patienten zeigten Verbesserungen in Gehgeschwindigkeit, Timed Up and Go, sechsminütigem Gehtest und EQVAS zwischen Baseline und Woche 24; Präfraile in Sit-to-Stand, sechsminütigem Test und EQVAS; robuste in allen Maßnahmen. Programm war mit Funktionsverbesserungen über alle Frailty-Gruppen hinweg assoziiert.</w:t>
      </w:r>
    </w:p>
    <w:p>
      <w:r>
        <w:rPr>
          <w:b/>
          <w:sz w:val="19"/>
        </w:rPr>
        <w:t xml:space="preserve">Übertragbarkeit: </w:t>
      </w:r>
      <w:r>
        <w:rPr>
          <w:sz w:val="19"/>
        </w:rPr>
        <w:t>Irland, vergleichbares Primärversorgungssystem, Community-Setting übertragbar.</w:t>
      </w:r>
    </w:p>
    <w:p>
      <w:r>
        <w:rPr>
          <w:color w:val="5A7D3A"/>
          <w:sz w:val="18"/>
        </w:rPr>
        <w:t>https://pubmed.ncbi.nlm.nih.gov/42832337/</w:t>
      </w:r>
    </w:p>
    <w:p>
      <w:pPr>
        <w:pStyle w:val="Heading2"/>
      </w:pPr>
      <w:r>
        <w:t>Gebrechlichkeit und Palliativbedarf: Unterscheidung durch Fachleute – qualitative Fallstudiensynthese</w:t>
      </w:r>
    </w:p>
    <w:p>
      <w:r>
        <w:rPr>
          <w:i/>
          <w:color w:val="666666"/>
          <w:sz w:val="18"/>
        </w:rPr>
        <w:t>van der Ploeg T et al.  ·  J Frailty Aging  ·  05.09.2026  ·  PMID 42700391</w:t>
      </w:r>
    </w:p>
    <w:p>
      <w:r>
        <w:t>Qualitative Studie mit 15 Fallstudien, präsentiert an Fachleute in Niederlanden und Belgien (n=Respondenten mit Expertise), die Fähigkeit zur Unterscheidung zwischen Frailty-Komponenten und Palliativbedarf sowie Sicherheit dieser Urteile untersuchte.</w:t>
      </w:r>
    </w:p>
    <w:p>
      <w:r>
        <w:rPr>
          <w:b/>
        </w:rPr>
        <w:t xml:space="preserve">Ergebnis: </w:t>
      </w:r>
      <w:r>
        <w:t>Fachleute nutzen unterschiedliche Komponenten zur Klassifikation: In den meisten Fällen unterscheiden sich Frailty- und Palliativbewertungen signifikant (p&lt;0,05). Fachleute sind sicherer in der Erkennung von Frailty-Komponenten als Palliativbedarf. Erkenntnis: Patienten können Frailty-Komponenten haben ohne Palliativbedarf, aber nicht umgekehrt erkannt. Besseres Verständnis für Progression von Frailty zu Palliativbedarf könnte patientenzentrierte Versorgung und Lebensqualität verbessern.</w:t>
      </w:r>
    </w:p>
    <w:p>
      <w:r>
        <w:rPr>
          <w:b/>
          <w:sz w:val="19"/>
        </w:rPr>
        <w:t xml:space="preserve">Übertragbarkeit: </w:t>
      </w:r>
      <w:r>
        <w:rPr>
          <w:sz w:val="19"/>
        </w:rPr>
        <w:t>Niederlande/Belgien, deutschsprachige Gesundheitssysteme ähnlich; Befunde zur Versorgungsüberleitung anwendbar.</w:t>
      </w:r>
    </w:p>
    <w:p>
      <w:r>
        <w:rPr>
          <w:color w:val="5A7D3A"/>
          <w:sz w:val="18"/>
        </w:rPr>
        <w:t>https://pubmed.ncbi.nlm.nih.gov/42700391/</w:t>
      </w:r>
    </w:p>
    <w:p>
      <w:pPr>
        <w:pStyle w:val="Heading1"/>
      </w:pPr>
      <w:r>
        <w:t>Aufgenommen am 25.10.2026</w:t>
      </w:r>
    </w:p>
    <w:p>
      <w:pPr>
        <w:pStyle w:val="Heading2"/>
      </w:pPr>
      <w:r>
        <w:t>Frailty-Screening mit Prävention senkt Pflegequoten bei Älteren</w:t>
      </w:r>
    </w:p>
    <w:p>
      <w:r>
        <w:rPr>
          <w:i/>
          <w:color w:val="666666"/>
          <w:sz w:val="18"/>
        </w:rPr>
        <w:t>Soma S et al.  ·  Age Ageing  ·  03.08.2026  ·  PMID 42920343</w:t>
      </w:r>
    </w:p>
    <w:p>
      <w:r>
        <w:t>Untersucht wurde, ob ein kommunales Programm aus Frailty-Screening und Gesundheitsberatung die Quote der Pflegebedürftigkeit bei Menschen über 75 Jahren reduziert.</w:t>
      </w:r>
    </w:p>
    <w:p>
      <w:r>
        <w:rPr>
          <w:b/>
        </w:rPr>
        <w:t xml:space="preserve">Ergebnis: </w:t>
      </w:r>
      <w:r>
        <w:t>Nach Einführung des Programms nahm die altersstandardisierte Pflegequote bei den über 75-Jährigen deutlich ab: Der Trend sank um 0,974 pro Jahr (95 %-KI 0,963–0,983), sodass die Quote am Ende um 6,8 % unter der zu erwartenden Fortsetzung lag (95 %-KI 4,4–10,0 %). Dies zeigt den Nutzen von Frailty-Screening in der bevölkerungsgestützten Prävention.</w:t>
      </w:r>
    </w:p>
    <w:p>
      <w:r>
        <w:rPr>
          <w:b/>
          <w:sz w:val="19"/>
        </w:rPr>
        <w:t xml:space="preserve">Übertragbarkeit: </w:t>
      </w:r>
      <w:r>
        <w:rPr>
          <w:sz w:val="19"/>
        </w:rPr>
        <w:t>Japan, vergleichbare Langzeitpflegeversicherung; Ergebnis auf Alterungsgesellschaften übertragbar</w:t>
      </w:r>
    </w:p>
    <w:p>
      <w:r>
        <w:rPr>
          <w:color w:val="5A7D3A"/>
          <w:sz w:val="18"/>
        </w:rPr>
        <w:t>https://pubmed.ncbi.nlm.nih.gov/42920343/</w:t>
      </w:r>
    </w:p>
    <w:p>
      <w:pPr>
        <w:pStyle w:val="Heading2"/>
      </w:pPr>
      <w:r>
        <w:t>Messbare Indikatoren für Aging-in-Place bei älteren Menschen mit Frailty</w:t>
      </w:r>
    </w:p>
    <w:p>
      <w:r>
        <w:rPr>
          <w:i/>
          <w:color w:val="666666"/>
          <w:sz w:val="18"/>
        </w:rPr>
        <w:t>Dlima SD et al.  ·  BMC Geriatr  ·  28.07.2026  ·  PMID 42919131</w:t>
      </w:r>
    </w:p>
    <w:p>
      <w:r>
        <w:t>Experten-Delphi-Befragung zur Identifizierung von routinemäßig messbaren Indikatoren für gelungenes Altern zu Hause bei älteren Menschen mit oder Risiko für Frailty.</w:t>
      </w:r>
    </w:p>
    <w:p>
      <w:r>
        <w:rPr>
          <w:b/>
        </w:rPr>
        <w:t xml:space="preserve">Ergebnis: </w:t>
      </w:r>
      <w:r>
        <w:t>Nur vier Indikatoren erreichten Konsens für Wichtigkeit und praktische Machbarkeit: körperliche Leistung/Mobilität, Multimorbidität, Sinnesfunktionen und Druckgeschwüre. 27 weitere Indikatoren waren sehr wichtig, aber schwer routinemäßig zu erfassen. Technologie-Indikatoren waren weder wichtig noch machbar; Laien-Experten betonten jedoch digitale Kompetenz.</w:t>
      </w:r>
    </w:p>
    <w:p>
      <w:r>
        <w:rPr>
          <w:b/>
          <w:sz w:val="19"/>
        </w:rPr>
        <w:t xml:space="preserve">Übertragbarkeit: </w:t>
      </w:r>
      <w:r>
        <w:rPr>
          <w:sz w:val="19"/>
        </w:rPr>
        <w:t>UK (Manchester); Geriatrisches Assessment und Indikatorauswahl sind auf deutsches Versorgungssystem übertragbar</w:t>
      </w:r>
    </w:p>
    <w:p>
      <w:r>
        <w:rPr>
          <w:color w:val="5A7D3A"/>
          <w:sz w:val="18"/>
        </w:rPr>
        <w:t>https://pubmed.ncbi.nlm.nih.gov/42919131/</w:t>
      </w:r>
    </w:p>
    <w:p>
      <w:pPr>
        <w:pStyle w:val="Heading2"/>
      </w:pPr>
      <w:r>
        <w:t>Gesundheitsausgaben älterer Menschen treiben Haushalte in Armut: Versicherungslücken in Indien</w:t>
      </w:r>
    </w:p>
    <w:p>
      <w:r>
        <w:rPr>
          <w:i/>
          <w:color w:val="666666"/>
          <w:sz w:val="18"/>
        </w:rPr>
        <w:t>Soni N et al.  ·  Front Public Health  ·  07.10.2026  ·  PMID 42908591</w:t>
      </w:r>
    </w:p>
    <w:p>
      <w:r>
        <w:t>Untersucht wurde, wie Eigenleistungen für Gesundheit Haushalte mit älteren Menschen in Indien in Armut treiben und welche Faktoren dieses Risiko verschärfen oder puffern.</w:t>
      </w:r>
    </w:p>
    <w:p>
      <w:r>
        <w:rPr>
          <w:b/>
        </w:rPr>
        <w:t xml:space="preserve">Ergebnis: </w:t>
      </w:r>
      <w:r>
        <w:t>Längere Krankenhausaufenthalte, größere Haushalte, Kaste und private Gesundheitsversorgung erhöhen die Armutsquote erheblich. Krankenversicherung und Bildung reduzieren das Risiko. Trotz öffentlicher Programme ist die Abdeckung unzureichend und ungleich, weshalb ältere Menschen finanziell ungeschützt bleiben.</w:t>
      </w:r>
    </w:p>
    <w:p>
      <w:r>
        <w:rPr>
          <w:b/>
          <w:sz w:val="19"/>
        </w:rPr>
        <w:t xml:space="preserve">Übertragbarkeit: </w:t>
      </w:r>
      <w:r>
        <w:rPr>
          <w:sz w:val="19"/>
        </w:rPr>
        <w:t>Indien; zeigt Versorgungslücken in Ländern ohne Vollversicherung; für Deutschland relevant als Warnung vor Privatisierung von Altenversorgung</w:t>
      </w:r>
    </w:p>
    <w:p>
      <w:r>
        <w:rPr>
          <w:color w:val="5A7D3A"/>
          <w:sz w:val="18"/>
        </w:rPr>
        <w:t>https://pubmed.ncbi.nlm.nih.gov/42908591/</w:t>
      </w:r>
    </w:p>
    <w:p>
      <w:pPr>
        <w:pStyle w:val="Heading2"/>
      </w:pPr>
      <w:r>
        <w:t>Geriatrische Versorgung: Risikogeschichtetes Drei-Ebenen-Modell statt Checkliste</w:t>
      </w:r>
    </w:p>
    <w:p>
      <w:r>
        <w:rPr>
          <w:i/>
          <w:color w:val="666666"/>
          <w:sz w:val="18"/>
        </w:rPr>
        <w:t>Amir O et al.  ·  NEJM Catal Innov Care Deliv  ·  21.10.2026  ·  PMID 42904679</w:t>
      </w:r>
    </w:p>
    <w:p>
      <w:r>
        <w:t>Beschreibt ein risikostratifiziertes Versorgungsmodell für ältere Klinikpatienten, das die 4Ms (Mobility, Mentation, Medication, What Matters) allen Über-65-Jährigen anbietet und dann Hochrisiko-Patienten zu spezialisierten geriatrischen Teams leitet.</w:t>
      </w:r>
    </w:p>
    <w:p>
      <w:r>
        <w:rPr>
          <w:b/>
        </w:rPr>
        <w:t xml:space="preserve">Ergebnis: </w:t>
      </w:r>
      <w:r>
        <w:t>Das Modell unterscheidet: (1) universelle 4Ms-Prozesse für alle älteren Patienten, (2) spezialisierte Protokolle (z. B. Hüftfraktur) durch Generalisten mit Geriater-Aufsicht, (3) intensive Comanagement-Modelle durch spezialisierte geriatrische Teams. Dies vermeidet Ressourcen-Ineffizienz und verbessert die Ergebnisse durch angepasste Intensität.</w:t>
      </w:r>
    </w:p>
    <w:p>
      <w:r>
        <w:rPr>
          <w:b/>
          <w:sz w:val="19"/>
        </w:rPr>
        <w:t xml:space="preserve">Übertragbarkeit: </w:t>
      </w:r>
      <w:r>
        <w:rPr>
          <w:sz w:val="19"/>
        </w:rPr>
        <w:t>USA, CMS-System; Risikostratifizierung und Strukturmodell sind auf deutsches Klinikmanagement übertragbar</w:t>
      </w:r>
    </w:p>
    <w:p>
      <w:r>
        <w:rPr>
          <w:color w:val="5A7D3A"/>
          <w:sz w:val="18"/>
        </w:rPr>
        <w:t>https://pubmed.ncbi.nlm.nih.gov/42904679/</w:t>
      </w:r>
    </w:p>
    <w:p>
      <w:pPr>
        <w:pStyle w:val="Heading2"/>
      </w:pPr>
      <w:r>
        <w:t>Mobile interprofessionelle 4Ms-Versorgung für ländliche ältere Menschen</w:t>
      </w:r>
    </w:p>
    <w:p>
      <w:r>
        <w:rPr>
          <w:i/>
          <w:color w:val="666666"/>
          <w:sz w:val="18"/>
        </w:rPr>
        <w:t>Wick K et al.  ·  NEJM Catal Innov Care Deliv  ·  21.10.2026  ·  PMID 42904676</w:t>
      </w:r>
    </w:p>
    <w:p>
      <w:r>
        <w:t>Beschreibt ein mobiles interprofessionelles Klinik-Modell (MobileMOC), das die 4Ms in ländlichen Regionen über Klinikbesuche, Senior-Zentren und Lehre erbringt.</w:t>
      </w:r>
    </w:p>
    <w:p>
      <w:r>
        <w:rPr>
          <w:b/>
        </w:rPr>
        <w:t xml:space="preserve">Ergebnis: </w:t>
      </w:r>
      <w:r>
        <w:t>In den ersten 6 Monaten 2026 wurden 182 Patientenkontakte erbracht, 129 Patienten (45 % älter als 65 Jahre) erreicht, 1.579 Screenings durchgeführt, 119 Fachüberweisungen generiert und 710 Stunden klinische Lehre geleistet. Das Modell zeigt Machbarkeit, offenbart aber Messlücken und Finanzierungsgaps.</w:t>
      </w:r>
    </w:p>
    <w:p>
      <w:r>
        <w:rPr>
          <w:b/>
          <w:sz w:val="19"/>
        </w:rPr>
        <w:t xml:space="preserve">Übertragbarkeit: </w:t>
      </w:r>
      <w:r>
        <w:rPr>
          <w:sz w:val="19"/>
        </w:rPr>
        <w:t>USA; Struktur und Interprofessionalität sind auf deutsche ländliche Regionen mit Fachkräftemangel übertragbar</w:t>
      </w:r>
    </w:p>
    <w:p>
      <w:r>
        <w:rPr>
          <w:color w:val="5A7D3A"/>
          <w:sz w:val="18"/>
        </w:rPr>
        <w:t>https://pubmed.ncbi.nlm.nih.gov/42904676/</w:t>
      </w:r>
    </w:p>
    <w:p>
      <w:pPr>
        <w:pStyle w:val="Heading2"/>
      </w:pPr>
      <w:r>
        <w:t>Hundertjährige in Genua: Kohortenstudie zu kognitiver Gesundheit im höchsten Alter</w:t>
      </w:r>
    </w:p>
    <w:p>
      <w:r>
        <w:rPr>
          <w:i/>
          <w:color w:val="666666"/>
          <w:sz w:val="18"/>
        </w:rPr>
        <w:t>Di Maria E et al.  ·  Exp Gerontol  ·  01.10.2026  ·  PMID 42822552</w:t>
      </w:r>
    </w:p>
    <w:p>
      <w:r>
        <w:t>Italienische multidisziplinäre Kohorte von 88 Hundertjährigen (Alter 99–108 Jahre) zur Untersuchung von Schutzfaktoren für kognitive Funktion durch Neuropsychologie und Genomik.</w:t>
      </w:r>
    </w:p>
    <w:p>
      <w:r>
        <w:rPr>
          <w:b/>
        </w:rPr>
        <w:t xml:space="preserve">Ergebnis: </w:t>
      </w:r>
      <w:r>
        <w:t>Von 84 Hundertjährigen mit erfasstem kognitiven Status zeigte sich großes Spektrum: CDR 0–5 (Median 1), MMSE 3–30 (Median 24). 32 Patienten wurden nachbeobachtet, DNA von 67 gelagert. Protokoll ist praktikabel und wird akzeptiert. Erkenntnisse werden längerfristig genomische Varianten für kognitive Variabilität im hohen Alter aufklären.</w:t>
      </w:r>
    </w:p>
    <w:p>
      <w:r>
        <w:rPr>
          <w:b/>
          <w:sz w:val="19"/>
        </w:rPr>
        <w:t xml:space="preserve">Übertragbarkeit: </w:t>
      </w:r>
      <w:r>
        <w:rPr>
          <w:sz w:val="19"/>
        </w:rPr>
        <w:t>Italien, europäische Langzeitpflege; italienisches Alterssystem und High-Prevalence-Hundertjähriger machen Übertrag auf Deutschland begrenzt, aber kognitives Screening relevant</w:t>
      </w:r>
    </w:p>
    <w:p>
      <w:r>
        <w:rPr>
          <w:color w:val="5A7D3A"/>
          <w:sz w:val="18"/>
        </w:rPr>
        <w:t>https://pubmed.ncbi.nlm.nih.gov/42822552/</w:t>
      </w:r>
    </w:p>
    <w:p>
      <w:pPr>
        <w:pStyle w:val="Heading1"/>
      </w:pPr>
      <w:r>
        <w:t>Aufgenommen am 24.10.2026</w:t>
      </w:r>
    </w:p>
    <w:p>
      <w:pPr>
        <w:pStyle w:val="Heading2"/>
      </w:pPr>
      <w:r>
        <w:t>Frailty-Schweregrad bestimmt Überleben und Arztkostenbelastung bei älteren Menschen</w:t>
      </w:r>
    </w:p>
    <w:p>
      <w:r>
        <w:rPr>
          <w:i/>
          <w:color w:val="666666"/>
          <w:sz w:val="18"/>
        </w:rPr>
        <w:t>Pulok MH et al.  ·  Age Ageing  ·  03.08.2026  ·  PMID 42910912</w:t>
      </w:r>
    </w:p>
    <w:p>
      <w:r>
        <w:t>Retrospektive Kohortenstudie an 944 älteren Notaufnahmepatienten (Median 80,8 Jahre) zur Vorhersage von Kosten und Überleben anhand des Clinical Frailty Scale.</w:t>
      </w:r>
    </w:p>
    <w:p>
      <w:r>
        <w:rPr>
          <w:b/>
        </w:rPr>
        <w:t xml:space="preserve">Ergebnis: </w:t>
      </w:r>
      <w:r>
        <w:t>Schwer gebrechliche Patienten hatten über ein Jahr 704 CAD weniger Arztkosen als unkomplizierte – hauptsächlich durch kürzeres Überleben bedingt (41,6% starben innerhalb eines Jahres). Während der Lebenszeit fielen für alle Gebrechlichkeitsgruppen höhere Kosten an als für Nicht-Gebrechliche, was auf intensivere Nutzung bei kürzerer Dauer hindeutet. Der Frailty-Status war ein besserer Kostenprädiktor als Alter allein.</w:t>
      </w:r>
    </w:p>
    <w:p>
      <w:r>
        <w:rPr>
          <w:b/>
          <w:sz w:val="19"/>
        </w:rPr>
        <w:t xml:space="preserve">Übertragbarkeit: </w:t>
      </w:r>
      <w:r>
        <w:rPr>
          <w:sz w:val="19"/>
        </w:rPr>
        <w:t>Kanada, ähnliche Sozialversicherung und Gesundheitsfinanzierung wie Deutschland.</w:t>
      </w:r>
    </w:p>
    <w:p>
      <w:r>
        <w:rPr>
          <w:color w:val="5A7D3A"/>
          <w:sz w:val="18"/>
        </w:rPr>
        <w:t>https://pubmed.ncbi.nlm.nih.gov/42910912/</w:t>
      </w:r>
    </w:p>
    <w:p>
      <w:pPr>
        <w:pStyle w:val="Heading2"/>
      </w:pPr>
      <w:r>
        <w:t>Aktives Altern durch Betreuung und Freiwilligenarbeit: Wer profitiert, wer leidet?</w:t>
      </w:r>
    </w:p>
    <w:p>
      <w:r>
        <w:rPr>
          <w:i/>
          <w:color w:val="666666"/>
          <w:sz w:val="18"/>
        </w:rPr>
        <w:t>Cretazzo F et al.  ·  Front Public Health  ·  07.10.2026  ·  PMID 42909995</w:t>
      </w:r>
    </w:p>
    <w:p>
      <w:r>
        <w:t>Längsschnittstudie (SHARE Wellen 7–9) an älteren Europäern, die Übergänge zwischen Betreuungs- und Freiwilligentätigkeit in Bezug auf Gesundheit und psychisches Wohlbefinden verfolgten.</w:t>
      </w:r>
    </w:p>
    <w:p>
      <w:r>
        <w:rPr>
          <w:b/>
        </w:rPr>
        <w:t xml:space="preserve">Ergebnis: </w:t>
      </w:r>
      <w:r>
        <w:t>Übergänge von reiner Betreuung zu Doppelrolle („Super-Helper</w:t>
      </w:r>
    </w:p>
    <w:p>
      <w:r>
        <w:rPr>
          <w:b/>
          <w:sz w:val="19"/>
        </w:rPr>
        <w:t xml:space="preserve">Übertragbarkeit: </w:t>
      </w:r>
      <w:r>
        <w:rPr>
          <w:sz w:val="19"/>
        </w:rPr>
        <w:t>Europa, SHARE-Daten aus sozialversicherungsgestützten Systemen.</w:t>
      </w:r>
    </w:p>
    <w:p>
      <w:r>
        <w:rPr>
          <w:color w:val="5A7D3A"/>
          <w:sz w:val="18"/>
        </w:rPr>
        <w:t>https://pubmed.ncbi.nlm.nih.gov/42909995/</w:t>
      </w:r>
    </w:p>
    <w:p>
      <w:pPr>
        <w:pStyle w:val="Heading2"/>
      </w:pPr>
      <w:r>
        <w:t>Biologische Gebrechlichkeit und Chemotherapiedosis bestimmen Überleben bei älteren Darmkrebspatienten</w:t>
      </w:r>
    </w:p>
    <w:p>
      <w:r>
        <w:rPr>
          <w:i/>
          <w:color w:val="666666"/>
          <w:sz w:val="18"/>
        </w:rPr>
        <w:t>Ağaoğlu AB et al.  ·  Cancer Chemother Pharmacol  ·  23.10.2026  ·  PMID 42909624</w:t>
      </w:r>
    </w:p>
    <w:p>
      <w:r>
        <w:t>Retrospektive Studie an 94 Patienten ≥65 Jahren mit adjuvanter Chemotherapie nach Darmkrebsoperation zu Frailty-Index und Dosisintensität als Überlebensprädiktoren.</w:t>
      </w:r>
    </w:p>
    <w:p>
      <w:r>
        <w:rPr>
          <w:b/>
        </w:rPr>
        <w:t xml:space="preserve">Ergebnis: </w:t>
      </w:r>
      <w:r>
        <w:t>Laborgestützter Frailty-Index (FI-Lab) ≥0,25 sagte unabhängig schlechteres Gesamtüberleben vorher (Hazard Ratio 3,73, p=0,023) und krankheitsfreies Überleben (HR 2,81, p=0,029). Patienten ohne optimale Anfangsdosis hatten deutlich schlechtere Ergebnisse (OS HR 14,41; p=0,011). G8, mFI-5 und Charlson-Index waren nicht unabhängig prädiktiv.</w:t>
      </w:r>
    </w:p>
    <w:p>
      <w:r>
        <w:rPr>
          <w:b/>
          <w:sz w:val="19"/>
        </w:rPr>
        <w:t xml:space="preserve">Übertragbarkeit: </w:t>
      </w:r>
      <w:r>
        <w:rPr>
          <w:sz w:val="19"/>
        </w:rPr>
        <w:t>Türkei; biologische Reserve als Prädiktor ist universell, Dosisintensität und Messmethoden sind aber systemabhängig.</w:t>
      </w:r>
    </w:p>
    <w:p>
      <w:r>
        <w:rPr>
          <w:color w:val="5A7D3A"/>
          <w:sz w:val="18"/>
        </w:rPr>
        <w:t>https://pubmed.ncbi.nlm.nih.gov/42909624/</w:t>
      </w:r>
    </w:p>
    <w:p>
      <w:pPr>
        <w:pStyle w:val="Heading2"/>
      </w:pPr>
      <w:r>
        <w:t>Geriatrische Atemwegsmedizin: Künstliche Intelligenz und maßgeschneiderte Versorgung polymorber älterer Patienten</w:t>
      </w:r>
    </w:p>
    <w:p>
      <w:r>
        <w:rPr>
          <w:i/>
          <w:color w:val="666666"/>
          <w:sz w:val="18"/>
        </w:rPr>
        <w:t>Sorino C et al.  ·  Eur Respir Rev  ·  21.10.2026  ·  PMID 42906940</w:t>
      </w:r>
    </w:p>
    <w:p>
      <w:r>
        <w:t>Fachnachricht italienischer und europäischer Pneumologen zu klinischen Schnittstellen von Altern, Immunoseneszenz, Gebrechlichkeit und Lungenerkrankung im Alter mit Fokus auf praktische Versorgungsmodelle.</w:t>
      </w:r>
    </w:p>
    <w:p>
      <w:r>
        <w:rPr>
          <w:b/>
        </w:rPr>
        <w:t xml:space="preserve">Ergebnis: </w:t>
      </w:r>
      <w:r>
        <w:t>Kernbefunde: pneumonie-assoziierte Sarkopenie als Motor für Rezidivinfektion und funktionellen Niedergang; nicht-invasive Beatmungswahl muss Delirium-Risiko gegen Wirksamkeit abwägen; 20-valenter Pneumokokken- und RSV-Impfstoff als neue Präventionsstrategie; gerätegestützte Inhalationstherapie angepasst an inspiratorische Kraft statt nur Pharmakologie; Biologika (Dupilumab, Mepolizumab) ermöglichen Steroid-Einsparung; 4Ms-Modell (Mentation, Medication, Mobility, Morbidities) integriert mit KI als strukturierte Versorgung.</w:t>
      </w:r>
    </w:p>
    <w:p>
      <w:r>
        <w:rPr>
          <w:b/>
          <w:sz w:val="19"/>
        </w:rPr>
        <w:t xml:space="preserve">Übertragbarkeit: </w:t>
      </w:r>
      <w:r>
        <w:rPr>
          <w:sz w:val="19"/>
        </w:rPr>
        <w:t>Italien und Europa, Sozialversicherungssysteme; praxisorientiert für deutschsprachige Lungenkliniken.</w:t>
      </w:r>
    </w:p>
    <w:p>
      <w:r>
        <w:rPr>
          <w:color w:val="5A7D3A"/>
          <w:sz w:val="18"/>
        </w:rPr>
        <w:t>https://pubmed.ncbi.nlm.nih.gov/42906940/</w:t>
      </w:r>
    </w:p>
    <w:p>
      <w:pPr>
        <w:pStyle w:val="Heading2"/>
      </w:pPr>
      <w:r>
        <w:t>Flächendeckende Umsetzung der Age-Friendly 4Ms in 26 Krankenhäusern</w:t>
      </w:r>
    </w:p>
    <w:p>
      <w:r>
        <w:rPr>
          <w:i/>
          <w:color w:val="666666"/>
          <w:sz w:val="18"/>
        </w:rPr>
        <w:t>Ryer S et al.  ·  NEJM Catal Innov Care Deliv  ·  21.10.2026  ·  PMID 42904678</w:t>
      </w:r>
    </w:p>
    <w:p>
      <w:r>
        <w:t>Implementierungsstudie an 26 Krankenhäusern im Mittleren Westen (Wisconsin, Illinois) zur standardisierten Umsetzung der 4Ms (What Matters, Medication, Mentation, Mobility) mit Governance-Struktur, EHR-Integration und Qualitätsmessungen.</w:t>
      </w:r>
    </w:p>
    <w:p>
      <w:r>
        <w:rPr>
          <w:b/>
        </w:rPr>
        <w:t xml:space="preserve">Ergebnis: </w:t>
      </w:r>
      <w:r>
        <w:t>Implementierungsreife bei frühen Kohorten in geriatrischen stationären Einrichtungen Median 0,66, nicht-geriatrischen stationär 0,63, geriatrischen ambulant 0,47, nicht-geriatrischen ambulant 0,36 (Skala 0–1). Dokumentation What Matters und Kognitives Screening erheblich verbessert, Deliriumrate und Liegedauer reduziert. Hohe Variabilität zwischen Organisationen. Herausforderungen: Dokumentationslast, variable Adoption, konkurrierende Prioritäten.</w:t>
      </w:r>
    </w:p>
    <w:p>
      <w:r>
        <w:rPr>
          <w:b/>
          <w:sz w:val="19"/>
        </w:rPr>
        <w:t xml:space="preserve">Übertragbarkeit: </w:t>
      </w:r>
      <w:r>
        <w:rPr>
          <w:sz w:val="19"/>
        </w:rPr>
        <w:t>USA, aber Implementierungsmethode und Messrahmen sind auf deutsche Krankenhäuser übertragbar.</w:t>
      </w:r>
    </w:p>
    <w:p>
      <w:r>
        <w:rPr>
          <w:color w:val="5A7D3A"/>
          <w:sz w:val="18"/>
        </w:rPr>
        <w:t>https://pubmed.ncbi.nlm.nih.gov/42904678/</w:t>
      </w:r>
    </w:p>
    <w:p>
      <w:pPr>
        <w:pStyle w:val="Heading2"/>
      </w:pPr>
      <w:r>
        <w:t>Age-Friendly 4Ms in Sicherheitsnetzklnik: Implementierung bei älteren vulnerable Patienten</w:t>
      </w:r>
    </w:p>
    <w:p>
      <w:r>
        <w:rPr>
          <w:i/>
          <w:color w:val="666666"/>
          <w:sz w:val="18"/>
        </w:rPr>
        <w:t>Ohuabunwa UK et al.  ·  NEJM Catal Innov Care Deliv  ·  21.10.2026  ·  PMID 42904677</w:t>
      </w:r>
    </w:p>
    <w:p>
      <w:r>
        <w:t>Implementierungsstudie der 4Ms-Rahmenwerk (What Matters, Medication, Mentation, Mobility) plus Malnutrition und Übergangspflege in Safety-Net-Klinik mit 3427 älteren Patienten (79,3 Jahre, 64% Afroamerikaner).</w:t>
      </w:r>
    </w:p>
    <w:p>
      <w:r>
        <w:rPr>
          <w:b/>
        </w:rPr>
        <w:t xml:space="preserve">Ergebnis: </w:t>
      </w:r>
      <w:r>
        <w:t>Über zwei Jahre (März 2024–März 2026) erreichte die AFHS-Implementierung 100% Einhaltung bei 5 von 14 Protokollen, &gt;90% bei 5 weiteren. Was Matters-Dokumentation 74%, Delirium-Screening 98%, Funktionskapazitätsbewertung 96%. Assoziation mit Deliriumrate-Reduktion und verkürzter Krankenhausliegedauer.</w:t>
      </w:r>
    </w:p>
    <w:p>
      <w:r>
        <w:rPr>
          <w:b/>
          <w:sz w:val="19"/>
        </w:rPr>
        <w:t xml:space="preserve">Übertragbarkeit: </w:t>
      </w:r>
      <w:r>
        <w:rPr>
          <w:sz w:val="19"/>
        </w:rPr>
        <w:t>USA-Sicherheitsnetzkontext, aber 4Ms-Framework und Messmethoden sind übertragbar.</w:t>
      </w:r>
    </w:p>
    <w:p>
      <w:r>
        <w:rPr>
          <w:color w:val="5A7D3A"/>
          <w:sz w:val="18"/>
        </w:rPr>
        <w:t>https://pubmed.ncbi.nlm.nih.gov/42904677/</w:t>
      </w:r>
    </w:p>
    <w:p>
      <w:pPr>
        <w:pStyle w:val="Heading1"/>
      </w:pPr>
      <w:r>
        <w:t>Aufgenommen am 23.10.2026</w:t>
      </w:r>
    </w:p>
    <w:p>
      <w:pPr>
        <w:pStyle w:val="Heading2"/>
      </w:pPr>
      <w:r>
        <w:t>Interprofessionelle Schulung und Workflow verbessern geriatrisches Screening in Hausarztpraxen</w:t>
      </w:r>
    </w:p>
    <w:p>
      <w:r>
        <w:rPr>
          <w:i/>
          <w:color w:val="666666"/>
          <w:sz w:val="18"/>
        </w:rPr>
        <w:t>Litzelman DK et al.  ·  BMC Geriatr  ·  23.07.2026  ·  PMID 42907743</w:t>
      </w:r>
    </w:p>
    <w:p>
      <w:r>
        <w:t>US-amerikanische Studie mit 56 Hausärzten, 180 Assistenzärzten und 8818 älteren Patienten an acht Primärversorgungsstellen evaluierte ein Schulungs- und Systeminterventionsprogramm basierend auf dem Age-Friendly 4Ms-Rahmenwerk.</w:t>
      </w:r>
    </w:p>
    <w:p>
      <w:r>
        <w:rPr>
          <w:b/>
        </w:rPr>
        <w:t xml:space="preserve">Ergebnis: </w:t>
      </w:r>
      <w:r>
        <w:t>Nach Intervention verbesserten sich Screening-Raten für Demenz (OR 1,27, 95%-KI 0,98–1,63) und Sturzrisiko (OR 1,40, 95%-KI 1,00–1,95), mit Sturzrisiko-Screening zeigend die stärksten Verbesserungen (+0,64% pro Monat, p&lt;0,001). Kliniken mit stärkerer Systemintegration zeigten die robustesten Verbesserungen; Opioid-Screening und Advance-Care-Planning-Dokumentation nahmen ab.</w:t>
      </w:r>
    </w:p>
    <w:p>
      <w:r>
        <w:rPr>
          <w:b/>
          <w:sz w:val="19"/>
        </w:rPr>
        <w:t xml:space="preserve">Übertragbarkeit: </w:t>
      </w:r>
      <w:r>
        <w:rPr>
          <w:sz w:val="19"/>
        </w:rPr>
        <w:t>USA, Primärversorgung; Methoden auf deutsches Praxissystem übertragbar, aber Organisationsstruktur unterscheidet sich</w:t>
      </w:r>
    </w:p>
    <w:p>
      <w:r>
        <w:rPr>
          <w:color w:val="5A7D3A"/>
          <w:sz w:val="18"/>
        </w:rPr>
        <w:t>https://pubmed.ncbi.nlm.nih.gov/42907743/</w:t>
      </w:r>
    </w:p>
    <w:p>
      <w:pPr>
        <w:pStyle w:val="Heading2"/>
      </w:pPr>
      <w:r>
        <w:t>COVID-19 und Opioide kürzten Lebenserwartung in Kanada um 0,68 Jahre</w:t>
      </w:r>
    </w:p>
    <w:p>
      <w:r>
        <w:rPr>
          <w:i/>
          <w:color w:val="666666"/>
          <w:sz w:val="18"/>
        </w:rPr>
        <w:t>Sirag A et al.  ·  Health Rep  ·  21.10.2026  ·  PMID 42905875</w:t>
      </w:r>
    </w:p>
    <w:p>
      <w:r>
        <w:t>Kanadische Vital-Statistik-Studie verglich Sterblichkeits-Todesursachen-Stiftung zwischen 2017–2019 und 2020–2022 mittels Arriaga-Dekomposition, um die Beiträge einzelner Todesursachen zum Rückgang der Lebenserwartung bei der Geburt zu quantifizieren.</w:t>
      </w:r>
    </w:p>
    <w:p>
      <w:r>
        <w:rPr>
          <w:b/>
        </w:rPr>
        <w:t xml:space="preserve">Ergebnis: </w:t>
      </w:r>
      <w:r>
        <w:t>COVID-19 war der größte einzelne Beitrag zum Rückgang der Lebenserwartung bei der Geburt in Kanada (–0,46 Jahre für beide Geschlechter). Opioid-bedingte Todesfälle trugen –0,22 Jahre bei, während Krebserkrankungen einen geringen Anstieg (+0,17 Jahre) verursachten. Gesamtrückgang etwa 0,68 Jahre, hauptsächlich durch pandemic-direkte und indirekte Effekte.</w:t>
      </w:r>
    </w:p>
    <w:p>
      <w:r>
        <w:rPr>
          <w:b/>
          <w:sz w:val="19"/>
        </w:rPr>
        <w:t xml:space="preserve">Übertragbarkeit: </w:t>
      </w:r>
      <w:r>
        <w:rPr>
          <w:sz w:val="19"/>
        </w:rPr>
        <w:t>Kanada, vergleichbare Sozialversicherung und Lebenserwartung wie Deutschland; Methode und Prioritäten übertragbar</w:t>
      </w:r>
    </w:p>
    <w:p>
      <w:r>
        <w:rPr>
          <w:color w:val="5A7D3A"/>
          <w:sz w:val="18"/>
        </w:rPr>
        <w:t>https://pubmed.ncbi.nlm.nih.gov/42905875/</w:t>
      </w:r>
    </w:p>
    <w:p>
      <w:pPr>
        <w:pStyle w:val="Heading2"/>
      </w:pPr>
      <w:r>
        <w:t>Pflanzenbasierte Ernährung senkt Frailty-Risiko bei älteren Erwachsenen</w:t>
      </w:r>
    </w:p>
    <w:p>
      <w:r>
        <w:rPr>
          <w:i/>
          <w:color w:val="666666"/>
          <w:sz w:val="18"/>
        </w:rPr>
        <w:t>Lin J et al.  ·  Age Ageing  ·  03.08.2026  ·  PMID 42905723</w:t>
      </w:r>
    </w:p>
    <w:p>
      <w:r>
        <w:t>Studie mit 8628 älteren Erwachsenen aus drei Kohorten (CLHLS, HRS, ELSA) untersuchte die Assoziation verschiedener pflanzlicher Ernährungsmuster mit Frailty mittels Mundlak-Dekomposition.</w:t>
      </w:r>
    </w:p>
    <w:p>
      <w:r>
        <w:rPr>
          <w:b/>
        </w:rPr>
        <w:t xml:space="preserve">Ergebnis: </w:t>
      </w:r>
      <w:r>
        <w:t>Höhere Gesamtscores für pflanzenbasierte Diät waren mit niedrigerem Frailty-Risiko assoziiert (ORs 0,71–0,80 über alle drei Kohorten), während ungesunde pflanzliche Muster mit erhöhtem Risiko verbunden waren (ORs 1,24–1,41). Nüsse, Gemüse und Pflanzenöle zeigten überwiegend inverse Assoziationen mit mehreren Frailty-Domänen.</w:t>
      </w:r>
    </w:p>
    <w:p>
      <w:r>
        <w:rPr>
          <w:b/>
          <w:sz w:val="19"/>
        </w:rPr>
        <w:t xml:space="preserve">Übertragbarkeit: </w:t>
      </w:r>
      <w:r>
        <w:rPr>
          <w:sz w:val="19"/>
        </w:rPr>
        <w:t>UK, China, internationale Kohorten; Ernährungsmessungen und Frailty-Definition übertragbar auf deutsches Gesundheitssystem</w:t>
      </w:r>
    </w:p>
    <w:p>
      <w:r>
        <w:rPr>
          <w:color w:val="5A7D3A"/>
          <w:sz w:val="18"/>
        </w:rPr>
        <w:t>https://pubmed.ncbi.nlm.nih.gov/42905723/</w:t>
      </w:r>
    </w:p>
    <w:p>
      <w:pPr>
        <w:pStyle w:val="Heading2"/>
      </w:pPr>
      <w:r>
        <w:t>Multimorbidität kostet weltweit älteren Menschen 363 Milliarden Dollar pro Jahr</w:t>
      </w:r>
    </w:p>
    <w:p>
      <w:r>
        <w:rPr>
          <w:i/>
          <w:color w:val="666666"/>
          <w:sz w:val="18"/>
        </w:rPr>
        <w:t>Ji W et al.  ·  JAMA Netw Open  ·  01.10.2026  ·  PMID 42905709</w:t>
      </w:r>
    </w:p>
    <w:p>
      <w:r>
        <w:t>Globale ökonomische Evaluationsstudie mit Daten aus 204 Ländern (2000–2023) quantifizierte die gesundheitliche und finanzielle Last von Multimorbidität (78 Kombinationen) bei Erwachsenen ≥60 Jahren mittels Global Burden of Disease 2023 und makroökonomischen Daten.</w:t>
      </w:r>
    </w:p>
    <w:p>
      <w:r>
        <w:rPr>
          <w:b/>
        </w:rPr>
        <w:t xml:space="preserve">Ergebnis: </w:t>
      </w:r>
      <w:r>
        <w:t>Von 2000 bis 2023 stiegen die Jahre mit Behinderung (YLDs) von 2368 auf 2942 pro 100.000 Erwachsene ≥60 Jahren; wirtschaftliche Verluste nahmen von 80,1 Milliarden auf 363,25 Milliarden USD (kaufkraftparitätsbereinigt) zu. Schnellstes Wachstum: Diabetes, Angststörungen und Parkinson (AAPC 9,92% für Kosten). Höchste YLD-Rate: Osteoarthritis mit Alzheimer/Demenz (369,87 pro 100.000).</w:t>
      </w:r>
    </w:p>
    <w:p>
      <w:r>
        <w:rPr>
          <w:b/>
          <w:sz w:val="19"/>
        </w:rPr>
        <w:t xml:space="preserve">Übertragbarkeit: </w:t>
      </w:r>
      <w:r>
        <w:rPr>
          <w:sz w:val="19"/>
        </w:rPr>
        <w:t>Global, 204 Länder; Dimensionen und Trends übertragbar, aber absolute Kosten hängen von Finanzierungssystem und Lebenserwartung ab</w:t>
      </w:r>
    </w:p>
    <w:p>
      <w:r>
        <w:rPr>
          <w:color w:val="5A7D3A"/>
          <w:sz w:val="18"/>
        </w:rPr>
        <w:t>https://pubmed.ncbi.nlm.nih.gov/42905709/</w:t>
      </w:r>
    </w:p>
    <w:p>
      <w:pPr>
        <w:pStyle w:val="Heading2"/>
      </w:pPr>
      <w:r>
        <w:t>Feinstaub beschleunigt kardiovaskuläres Altern über Seneszenz und Entzündung</w:t>
      </w:r>
    </w:p>
    <w:p>
      <w:r>
        <w:rPr>
          <w:i/>
          <w:color w:val="666666"/>
          <w:sz w:val="18"/>
        </w:rPr>
        <w:t>Yadav P et al.  ·  Cardiovasc Toxicol  ·  21.10.2026  ·  PMID 42905338</w:t>
      </w:r>
    </w:p>
    <w:p>
      <w:r>
        <w:t>Scoping Review mit konzeptuellem PACA-Framework (Pollution-Accelerated Cardiovascular Aging) integrierte Evidenz zu Feinstaub-Exposition (PM2,5, ultrafeine Partikel) und kardiovaskulärem Altern durch Mitochondrien-Dysfunktion, Seneszenz, epigenetische Änderungen und autonome Dysregulation.</w:t>
      </w:r>
    </w:p>
    <w:p>
      <w:r>
        <w:rPr>
          <w:b/>
        </w:rPr>
        <w:t xml:space="preserve">Ergebnis: </w:t>
      </w:r>
      <w:r>
        <w:t>Framework schlägt Temporal-Evidence-Matrix vor, die Expositions-Kinetik, Lebensverlauf-Timing, Persistenz nach Expositions-Ende, Dosis-Wirkungs-Beziehungen und longitudinale Veränderungen relativ zu altersreferenzierten Vergleichern nutzt. Persistierende oder unvollständig reversible Defizite deuten auf chronische Verletzung hin; stärkere Evidenz für kardiovaskuläres Aging erfordert wiederholte Demonstration größerer Veränderungsraten als chronologisch erwartet.</w:t>
      </w:r>
    </w:p>
    <w:p>
      <w:r>
        <w:rPr>
          <w:b/>
          <w:sz w:val="19"/>
        </w:rPr>
        <w:t xml:space="preserve">Übertragbarkeit: </w:t>
      </w:r>
      <w:r>
        <w:rPr>
          <w:sz w:val="19"/>
        </w:rPr>
        <w:t>Überwiegend Tiermodelle und mechanistische Daten; PACA-Framework theoretisch, keine klinischen Endpunkte gemessen</w:t>
      </w:r>
    </w:p>
    <w:p>
      <w:r>
        <w:rPr>
          <w:color w:val="5A7D3A"/>
          <w:sz w:val="18"/>
        </w:rPr>
        <w:t>https://pubmed.ncbi.nlm.nih.gov/42905338/</w:t>
      </w:r>
    </w:p>
    <w:p>
      <w:pPr>
        <w:pStyle w:val="Heading2"/>
      </w:pPr>
      <w:r>
        <w:t>Frailty-Index prognostiziert post-ERCP-Pankreatitis bei älteren Patienten</w:t>
      </w:r>
    </w:p>
    <w:p>
      <w:r>
        <w:rPr>
          <w:i/>
          <w:color w:val="666666"/>
          <w:sz w:val="18"/>
        </w:rPr>
        <w:t>Zhang F et al.  ·  Clin Interv Aging  ·  16.10.2026  ·  PMID 42904120</w:t>
      </w:r>
    </w:p>
    <w:p>
      <w:r>
        <w:t>Retrospektive Studie von 696 älteren Patienten (≥65 Jahre), die sich einer endoskopischen retrograden Cholangiopankreatographie unterzogen, untersuchte den Zusammenhang zwischen präoperativer Frailty und post-ERCP-Pankreatitis mittels elektronischem Frailty-Index.</w:t>
      </w:r>
    </w:p>
    <w:p>
      <w:r>
        <w:rPr>
          <w:b/>
        </w:rPr>
        <w:t xml:space="preserve">Ergebnis: </w:t>
      </w:r>
      <w:r>
        <w:t>Von 696 Patienten entwickelten 79 (11,4%) eine post-ERCP-Pankreatitis. Nach multivariater Anpassung war Frailty mit höheren Chancen verbunden (OR 2,09, 95%-KI 1,08–4,05, p=0,028). Hinzunahme von Frailty zum Referenzmodell verbesserte die Diskrimination (AUC 0,714 zu 0,755, p=0,031); Netto-Reklassifizierungsverbesserung betrug 0,516.</w:t>
      </w:r>
    </w:p>
    <w:p>
      <w:r>
        <w:rPr>
          <w:b/>
          <w:sz w:val="19"/>
        </w:rPr>
        <w:t xml:space="preserve">Übertragbarkeit: </w:t>
      </w:r>
      <w:r>
        <w:rPr>
          <w:sz w:val="19"/>
        </w:rPr>
        <w:t>China; Frailty-Messung und Endoskopie-Risiken gelten international, aber Patientenpopulation und Gesundheitssystem unterscheiden sich</w:t>
      </w:r>
    </w:p>
    <w:p>
      <w:r>
        <w:rPr>
          <w:color w:val="5A7D3A"/>
          <w:sz w:val="18"/>
        </w:rPr>
        <w:t>https://pubmed.ncbi.nlm.nih.gov/42904120/</w:t>
      </w:r>
    </w:p>
    <w:p>
      <w:pPr>
        <w:pStyle w:val="Heading1"/>
      </w:pPr>
      <w:r>
        <w:t>Aufgenommen am 22.10.2026</w:t>
      </w:r>
    </w:p>
    <w:p>
      <w:pPr>
        <w:pStyle w:val="Heading2"/>
      </w:pPr>
      <w:r>
        <w:t>Notfallchirurgie bei über 90-Jährigen: regionale Unterschiede in der Langzeitsterblichkeit</w:t>
      </w:r>
    </w:p>
    <w:p>
      <w:r>
        <w:rPr>
          <w:i/>
          <w:color w:val="666666"/>
          <w:sz w:val="18"/>
        </w:rPr>
        <w:t>Suh JM et al.  ·  Crit Care  ·  25.07.2026  ·  PMID 42902313</w:t>
      </w:r>
    </w:p>
    <w:p>
      <w:r>
        <w:t>Nationale bevölkerungsbasierte Kohortenstudie an 4.887 über 90-Jährigen nach Notfalloperation mit Vergleich regionaler vs. metropolitaner Versorgung in Australien.</w:t>
      </w:r>
    </w:p>
    <w:p>
      <w:r>
        <w:rPr>
          <w:b/>
        </w:rPr>
        <w:t xml:space="preserve">Ergebnis: </w:t>
      </w:r>
      <w:r>
        <w:t>ICU- und Krankenhaussterblichkeit regional nicht unterschiedlich. Nach Entlassung regional/remote wohnhafte Patienten mit höherer 5-Jahres-Mortalität (adjustierte HR 1,133, 95%-KI 1,027–1,250, p=0,013). Überlebensvorteil der Metropolen erst nach Entlassung sichtbar.</w:t>
      </w:r>
    </w:p>
    <w:p>
      <w:r>
        <w:rPr>
          <w:b/>
          <w:sz w:val="19"/>
        </w:rPr>
        <w:t xml:space="preserve">Übertragbarkeit: </w:t>
      </w:r>
      <w:r>
        <w:rPr>
          <w:sz w:val="19"/>
        </w:rPr>
        <w:t>Australien, vergleichbare Gesundheitssysteme; zeigt Bedeutung regionaler Nachsorge für universelle Alterspopulation.</w:t>
      </w:r>
    </w:p>
    <w:p>
      <w:r>
        <w:rPr>
          <w:color w:val="5A7D3A"/>
          <w:sz w:val="18"/>
        </w:rPr>
        <w:t>https://pubmed.ncbi.nlm.nih.gov/42902313/</w:t>
      </w:r>
    </w:p>
    <w:p>
      <w:pPr>
        <w:pStyle w:val="Heading2"/>
      </w:pPr>
      <w:r>
        <w:t>Frühe Widrigkeiten und Lebensqualität im Alter: Langzeitfolgen für erfolgreiche Alternstrajectoria</w:t>
      </w:r>
    </w:p>
    <w:p>
      <w:r>
        <w:rPr>
          <w:i/>
          <w:color w:val="666666"/>
          <w:sz w:val="18"/>
        </w:rPr>
        <w:t>Yang K et al.  ·  BMC Geriatr  ·  24.07.2026  ·  PMID 42902202</w:t>
      </w:r>
    </w:p>
    <w:p>
      <w:r>
        <w:t>Prospektive Kohortenstudie an 3.092 älteren Chinesen, die vier Muster ungünstiger Kindheitserfahrungen mit Trajectoria gelungenen Alterns über acht Jahre verband.</w:t>
      </w:r>
    </w:p>
    <w:p>
      <w:r>
        <w:rPr>
          <w:b/>
        </w:rPr>
        <w:t xml:space="preserve">Ergebnis: </w:t>
      </w:r>
      <w:r>
        <w:t>Pervasive Adversität (OR 1,97, 95%-KI 1,10–3,83) und Haushalts-Dysfunktion (OR 1,36, 95%-KI 1,07–1,74) verbunden mit ungünstiger Trajectoria. Niedrige Schulbildung stärkster Prädiktor (OR 5,23, 95%-KI 3,84–7,13). Netzwerk-Analyse zeigte stärkere Koppelung von Kognition und chronischem Leiden in der Gruppe mit schlechterer Trajectoria.</w:t>
      </w:r>
    </w:p>
    <w:p>
      <w:r>
        <w:rPr>
          <w:b/>
          <w:sz w:val="19"/>
        </w:rPr>
        <w:t xml:space="preserve">Übertragbarkeit: </w:t>
      </w:r>
      <w:r>
        <w:rPr>
          <w:sz w:val="19"/>
        </w:rPr>
        <w:t>China, CHARLS-Daten; begrenzte Direktübertragbarkeit auf deutsche Versorgung, psychosoziale Mechanismen aber universal.</w:t>
      </w:r>
    </w:p>
    <w:p>
      <w:r>
        <w:rPr>
          <w:color w:val="5A7D3A"/>
          <w:sz w:val="18"/>
        </w:rPr>
        <w:t>https://pubmed.ncbi.nlm.nih.gov/42902202/</w:t>
      </w:r>
    </w:p>
    <w:p>
      <w:pPr>
        <w:pStyle w:val="Heading2"/>
      </w:pPr>
      <w:r>
        <w:t>Frailty und intraoperative Hypotonie bei älteren Patienten mit Hüftfrakturchirurgie</w:t>
      </w:r>
    </w:p>
    <w:p>
      <w:r>
        <w:rPr>
          <w:i/>
          <w:color w:val="666666"/>
          <w:sz w:val="18"/>
        </w:rPr>
        <w:t>Sutthibenjakul K et al.  ·  BMC Geriatr  ·  22.07.2026  ·  PMID 42902188</w:t>
      </w:r>
    </w:p>
    <w:p>
      <w:r>
        <w:t>Retrospektive Kohortenstudie an 522 Patienten ≥65 Jahren mit modifiziertem Frailty-Index zur Assoziation mit perioperativen Blutdruckabfällen.</w:t>
      </w:r>
    </w:p>
    <w:p>
      <w:r>
        <w:rPr>
          <w:b/>
        </w:rPr>
        <w:t xml:space="preserve">Ergebnis: </w:t>
      </w:r>
      <w:r>
        <w:t>Von 522 Patienten 23,8% gebrechlich, 57,1% mit intraoperativer Hypotonie (MAP &lt;65 mmHg). Frailty war nicht unabhängig mit Auftreten der Hypotonie assoziiert (OR 0,77, 95%-KI 0,38–1,53), aber gebrechliche Patienten zeigten längere kumulative Dauer der Hypotonie (p=0,045).</w:t>
      </w:r>
    </w:p>
    <w:p>
      <w:r>
        <w:rPr>
          <w:b/>
          <w:sz w:val="19"/>
        </w:rPr>
        <w:t xml:space="preserve">Übertragbarkeit: </w:t>
      </w:r>
      <w:r>
        <w:rPr>
          <w:sz w:val="19"/>
        </w:rPr>
        <w:t>Thailand, retrospektive Klinikdaten; Frailty-Assessment und perioperatives Monitoring als universelle Prinzipien übertragbar.</w:t>
      </w:r>
    </w:p>
    <w:p>
      <w:r>
        <w:rPr>
          <w:color w:val="5A7D3A"/>
          <w:sz w:val="18"/>
        </w:rPr>
        <w:t>https://pubmed.ncbi.nlm.nih.gov/42902188/</w:t>
      </w:r>
    </w:p>
    <w:p>
      <w:pPr>
        <w:pStyle w:val="Heading2"/>
      </w:pPr>
      <w:r>
        <w:t>Pflegen im Alter: Belastung, psychische Gesundheit und der Schutzeffekt sozialer Ressourcen</w:t>
      </w:r>
    </w:p>
    <w:p>
      <w:r>
        <w:rPr>
          <w:i/>
          <w:color w:val="666666"/>
          <w:sz w:val="18"/>
        </w:rPr>
        <w:t>Chaaya M et al.  ·  BMC Geriatr  ·  22.07.2026  ·  PMID 42902165</w:t>
      </w:r>
    </w:p>
    <w:p>
      <w:r>
        <w:t>Querschnittsstudie an 434 älteren Pflegepersonen im Libanon zur Assoziation zwischen Pflegebelastung und Depression/Angst sowie moderierenden Effekten.</w:t>
      </w:r>
    </w:p>
    <w:p>
      <w:r>
        <w:rPr>
          <w:b/>
        </w:rPr>
        <w:t xml:space="preserve">Ergebnis: </w:t>
      </w:r>
      <w:r>
        <w:t>36,4% mit hoher Pflegebelastung. Hohe Belastung verbunden mit um 7,65 Punkte höheren Depressionsscores (95%-KI 3,48–11,8) und 2,84 Punkte höheren Angstscores (95%-KI 0,73–4,95). Emotionale Unterstützung minderte signifikant den Belastungs-Depressionseffekt; finanzielle Ressourcen nicht.</w:t>
      </w:r>
    </w:p>
    <w:p>
      <w:r>
        <w:rPr>
          <w:b/>
          <w:sz w:val="19"/>
        </w:rPr>
        <w:t xml:space="preserve">Übertragbarkeit: </w:t>
      </w:r>
      <w:r>
        <w:rPr>
          <w:sz w:val="19"/>
        </w:rPr>
        <w:t>Libanon, ungleiche Gesundheitssysteme und Rentensicherung zu Deutschland, aber Mechanismus psychischer Belastung durch informale Pflege universal relevant.</w:t>
      </w:r>
    </w:p>
    <w:p>
      <w:r>
        <w:rPr>
          <w:color w:val="5A7D3A"/>
          <w:sz w:val="18"/>
        </w:rPr>
        <w:t>https://pubmed.ncbi.nlm.nih.gov/42902165/</w:t>
      </w:r>
    </w:p>
    <w:p>
      <w:pPr>
        <w:pStyle w:val="Heading2"/>
      </w:pPr>
      <w:r>
        <w:t>Lipid-Entzündung und Frailty als gemeinsame Treiber der cardiometabolischen Multimorbidität</w:t>
      </w:r>
    </w:p>
    <w:p>
      <w:r>
        <w:rPr>
          <w:i/>
          <w:color w:val="666666"/>
          <w:sz w:val="18"/>
        </w:rPr>
        <w:t>Zhao S et al.  ·  BMC Cardiovasc Disord  ·  25.07.2026  ·  PMID 42902143</w:t>
      </w:r>
    </w:p>
    <w:p>
      <w:r>
        <w:t>Nationale Kohortenstudie an 5.779 chinesischen Erwachsenen zur gemeinsamen Assoziation von Restcholesterin-Entzündungsindex und Frailty mit neuaufgetretener Multimorbidität.</w:t>
      </w:r>
    </w:p>
    <w:p>
      <w:r>
        <w:rPr>
          <w:b/>
        </w:rPr>
        <w:t xml:space="preserve">Ergebnis: </w:t>
      </w:r>
      <w:r>
        <w:t>510 Fälle Multimorbidität über Beobachtungszeit. Hoher RCII kombiniert mit Frailty zeigte HR 2,622 (95%-KI 1,972–3,488). Kumulativer RCII mit Frailty HR 2,849 (95%-KI 2,178–3,726). Modell mit kumulativem RCII und Frailty zeigte höheres AUC als reiner RCII (0,757 vs. 0,740). Additive/multiplikative Interaktion nach voller Anpassung nicht signifikant.</w:t>
      </w:r>
    </w:p>
    <w:p>
      <w:r>
        <w:rPr>
          <w:b/>
          <w:sz w:val="19"/>
        </w:rPr>
        <w:t xml:space="preserve">Übertragbarkeit: </w:t>
      </w:r>
      <w:r>
        <w:rPr>
          <w:sz w:val="19"/>
        </w:rPr>
        <w:t>China, CHARLS; lipidmetabolische Pathways aber transkulturelles Phänomen, Frailty-Screening in Primärversorgung universell.</w:t>
      </w:r>
    </w:p>
    <w:p>
      <w:r>
        <w:rPr>
          <w:color w:val="5A7D3A"/>
          <w:sz w:val="18"/>
        </w:rPr>
        <w:t>https://pubmed.ncbi.nlm.nih.gov/42902143/</w:t>
      </w:r>
    </w:p>
    <w:p>
      <w:pPr>
        <w:pStyle w:val="Heading2"/>
      </w:pPr>
      <w:r>
        <w:t>Wundinfektion nach Herzbypass bei gebrechlichen älteren Patienten: Risikofaktoren und Intervention</w:t>
      </w:r>
    </w:p>
    <w:p>
      <w:r>
        <w:rPr>
          <w:i/>
          <w:color w:val="666666"/>
          <w:sz w:val="18"/>
        </w:rPr>
        <w:t>Guerrieri M et al.  ·  JMIR Cardio  ·  16.10.2026  ·  PMID 42886572</w:t>
      </w:r>
    </w:p>
    <w:p>
      <w:r>
        <w:t>Retrospektive Multicenter-Studie an 467 gebrechlichen/pregebrechlichen Patienten ≥60 Jahren nach Koronarchirurgie zur Assoziation mit Wundinfektionen.</w:t>
      </w:r>
    </w:p>
    <w:p>
      <w:r>
        <w:rPr>
          <w:b/>
        </w:rPr>
        <w:t xml:space="preserve">Ergebnis: </w:t>
      </w:r>
      <w:r>
        <w:t>Wundinfektionsrate 5,6% (26/467). Im multivariaten Modell unabhängig assoziiert: Charlson-Komorbiditätsindex (OR 1,58, 95%-KI 1,25–1,99, p&lt;0,001) und Einsatz kardiopulmonaler Bypass (OR 4,89, 95%-KI 1,71–13,94, p=0,003). Komplikationsraten sonst zwischen Gruppen ähnlich.</w:t>
      </w:r>
    </w:p>
    <w:p>
      <w:r>
        <w:rPr>
          <w:b/>
          <w:sz w:val="19"/>
        </w:rPr>
        <w:t xml:space="preserve">Übertragbarkeit: </w:t>
      </w:r>
      <w:r>
        <w:rPr>
          <w:sz w:val="19"/>
        </w:rPr>
        <w:t>Brasilien, andere Gesundheitsfinanzierung; Frailty-stratifizierte perioperative Risikoadjustierung aber prinzipiell übertragbar.</w:t>
      </w:r>
    </w:p>
    <w:p>
      <w:r>
        <w:rPr>
          <w:color w:val="5A7D3A"/>
          <w:sz w:val="18"/>
        </w:rPr>
        <w:t>https://pubmed.ncbi.nlm.nih.gov/42886572/</w:t>
      </w:r>
    </w:p>
    <w:p>
      <w:pPr>
        <w:pStyle w:val="Heading1"/>
      </w:pPr>
      <w:r>
        <w:t>Aufgenommen am 21.10.2026</w:t>
      </w:r>
    </w:p>
    <w:p>
      <w:pPr>
        <w:pStyle w:val="Heading2"/>
      </w:pPr>
      <w:r>
        <w:t>Soziale Vulnerabilität als Frailty-Dimension in neurodegenerativen Erkrankungen</w:t>
      </w:r>
    </w:p>
    <w:p>
      <w:r>
        <w:rPr>
          <w:i/>
          <w:color w:val="666666"/>
          <w:sz w:val="18"/>
        </w:rPr>
        <w:t>Panzavolta A et al.  ·  Neurol Sci  ·  20.10.2026  ·  PMID 42900408</w:t>
      </w:r>
    </w:p>
    <w:p>
      <w:r>
        <w:t>Querschnittsstudie mit 47 Alzheimer-, 24 Frontotemporale-Demenz- und 66 Kontrollpersonen zur Messung physischer und sozialer Frailty mittels 60-Item-Fragebogen.</w:t>
      </w:r>
    </w:p>
    <w:p>
      <w:r>
        <w:rPr>
          <w:b/>
        </w:rPr>
        <w:t xml:space="preserve">Ergebnis: </w:t>
      </w:r>
      <w:r>
        <w:t>Demenzpatienten zeigten signifikant höhere globale (gFI) und soziale Frailty-Scores (sFI) als Kontrollen; sFI korrelierte mit Schweregrad und kognitiven Mustern bei beiden Demenzformen. Physische Frailty unterschied sich nicht zwischen Gruppen.</w:t>
      </w:r>
    </w:p>
    <w:p>
      <w:r>
        <w:rPr>
          <w:b/>
          <w:sz w:val="19"/>
        </w:rPr>
        <w:t xml:space="preserve">Übertragbarkeit: </w:t>
      </w:r>
      <w:r>
        <w:rPr>
          <w:sz w:val="19"/>
        </w:rPr>
        <w:t>Italien, europäische Versorgungsstruktur; soziale Frailty-Dimension relevant für deutschsprachige geriatrische Praxis.</w:t>
      </w:r>
    </w:p>
    <w:p>
      <w:r>
        <w:rPr>
          <w:color w:val="5A7D3A"/>
          <w:sz w:val="18"/>
        </w:rPr>
        <w:t>https://pubmed.ncbi.nlm.nih.gov/42900408/</w:t>
      </w:r>
    </w:p>
    <w:p>
      <w:pPr>
        <w:pStyle w:val="Heading2"/>
      </w:pPr>
      <w:r>
        <w:t>Unterschiedliche Verlaufsmuster oraler Frailty nach Zahnimplantaten im Alter</w:t>
      </w:r>
    </w:p>
    <w:p>
      <w:r>
        <w:rPr>
          <w:i/>
          <w:color w:val="666666"/>
          <w:sz w:val="18"/>
        </w:rPr>
        <w:t>Zhang Y et al.  ·  Front Public Health  ·  05.10.2026  ·  PMID 42898353</w:t>
      </w:r>
    </w:p>
    <w:p>
      <w:r>
        <w:t>Prospektive Kohortenstudie mit 211 älteren Patienten ≥60 Jahre, die Zahnimplantate erhielten, zur Identifizierung von Frailty-Trajektorien über 12 Monate mittels latent class growth modelling.</w:t>
      </w:r>
    </w:p>
    <w:p>
      <w:r>
        <w:rPr>
          <w:b/>
        </w:rPr>
        <w:t xml:space="preserve">Ergebnis: </w:t>
      </w:r>
      <w:r>
        <w:t>Drei Trajektorien wurden identifiziert: Rascher Rückgang-Stabil (42,7 %), Gradueller Rückgang-Plateau (35,1 %), Persistiert-Hohes-Risiko (22,2 %). Unabhängige Prädiktoren für die Hochrisiko-Gruppe: Alter (aOR 1,12), Polypharmazie (aOR 1,25), fehlende Zähne (aOR 1,09).</w:t>
      </w:r>
    </w:p>
    <w:p>
      <w:r>
        <w:rPr>
          <w:b/>
          <w:sz w:val="19"/>
        </w:rPr>
        <w:t xml:space="preserve">Übertragbarkeit: </w:t>
      </w:r>
      <w:r>
        <w:rPr>
          <w:sz w:val="19"/>
        </w:rPr>
        <w:t>China, aber klinisch-geriatrische Fragestellung; Polypharmazie-Effekt global relevant.</w:t>
      </w:r>
    </w:p>
    <w:p>
      <w:r>
        <w:rPr>
          <w:color w:val="5A7D3A"/>
          <w:sz w:val="18"/>
        </w:rPr>
        <w:t>https://pubmed.ncbi.nlm.nih.gov/42898353/</w:t>
      </w:r>
    </w:p>
    <w:p>
      <w:pPr>
        <w:pStyle w:val="Heading2"/>
      </w:pPr>
      <w:r>
        <w:t>Ernährungsvielfalt und gewonnene gesunde Lebensjahre bei älteren Erwachsenen</w:t>
      </w:r>
    </w:p>
    <w:p>
      <w:r>
        <w:rPr>
          <w:i/>
          <w:color w:val="666666"/>
          <w:sz w:val="18"/>
        </w:rPr>
        <w:t>Shi J et al.  ·  Front Public Health  ·  05.10.2026  ·  PMID 42898119</w:t>
      </w:r>
    </w:p>
    <w:p>
      <w:r>
        <w:t>Prospektive Kohortenstudie mit 9.953 Teilnehmern ≥65 Jahre zur Assoziation zwischen Ernährungsvielfalt und gewonnenen gesunden Lebensjahren (HLE) mittels Multistate-Analyse.</w:t>
      </w:r>
    </w:p>
    <w:p>
      <w:r>
        <w:rPr>
          <w:b/>
        </w:rPr>
        <w:t xml:space="preserve">Ergebnis: </w:t>
      </w:r>
      <w:r>
        <w:t>Bei hoher vs. niedriger Ernährungsvielfalt verlängerte sich die Lebenserwartung mit 65 Jahren um 1,26 Jahre (14,54 vs. 15,80 Jahre) und die HLE um 0,90 Jahre (13,32 vs. 14,22 Jahre). Höhere Ernährungsvielfalt war mit niedrigeren Sterblichkeitsübergängen aus Gesundheit und Behinderung verbunden; diese Unterschiede waren bei Männern und Stadtbewohnern ausgeprägter.</w:t>
      </w:r>
    </w:p>
    <w:p>
      <w:r>
        <w:rPr>
          <w:b/>
          <w:sz w:val="19"/>
        </w:rPr>
        <w:t xml:space="preserve">Übertragbarkeit: </w:t>
      </w:r>
      <w:r>
        <w:rPr>
          <w:sz w:val="19"/>
        </w:rPr>
        <w:t>China, nur bedingt übertragbar - andere Ernährungsmuster und Kohorte ohne europäische Sozialversicherung.</w:t>
      </w:r>
    </w:p>
    <w:p>
      <w:r>
        <w:rPr>
          <w:color w:val="5A7D3A"/>
          <w:sz w:val="18"/>
        </w:rPr>
        <w:t>https://pubmed.ncbi.nlm.nih.gov/42898119/</w:t>
      </w:r>
    </w:p>
    <w:p>
      <w:pPr>
        <w:pStyle w:val="Heading2"/>
      </w:pPr>
      <w:r>
        <w:t>Frailty und atherogenic Index kombiniert vorhersagen Herz-Metab.-Multimorbidität bei Älteren</w:t>
      </w:r>
    </w:p>
    <w:p>
      <w:r>
        <w:rPr>
          <w:i/>
          <w:color w:val="666666"/>
          <w:sz w:val="18"/>
        </w:rPr>
        <w:t>Wu H et al.  ·  J Glob Health  ·  19.10.2026  ·  PMID 42895260</w:t>
      </w:r>
    </w:p>
    <w:p>
      <w:r>
        <w:t>Prospektive Kohortenstudie mit 4.157 Teilnehmern ≥45 Jahre (CHARLS) zur Assoziation zwischen kumulativem AIP-FI-Index (atherogenic index × 37-Deficit-Frailty-Index) und incident cardiometabolic multimorbidity über 8,5 Jahre mittels Cox-Modelle und Machine Learning.</w:t>
      </w:r>
    </w:p>
    <w:p>
      <w:r>
        <w:rPr>
          <w:b/>
        </w:rPr>
        <w:t xml:space="preserve">Ergebnis: </w:t>
      </w:r>
      <w:r>
        <w:t>612 CMM-Fälle: Kumulative AIP-FI zeigte stärkere Assoziation mit CMM-Risiko als Baseline-Wert (HR 1,46 pro SD). Höchstes vs. niedrigstes Quartil: HR 3,95 (95% CI 2,95–5,29). Prädiktive AUC 0,7117 mit NRI 0,157 über traditionelle Marker. Bidirektionale Synergieeffekte zwischen AIP und FI.</w:t>
      </w:r>
    </w:p>
    <w:p>
      <w:r>
        <w:rPr>
          <w:b/>
          <w:sz w:val="19"/>
        </w:rPr>
        <w:t xml:space="preserve">Übertragbarkeit: </w:t>
      </w:r>
      <w:r>
        <w:rPr>
          <w:sz w:val="19"/>
        </w:rPr>
        <w:t>China (CHARLS), aber Konzept der kombinierten Vulnerabilität-Marker übertragbar auf deutsches Assessment.</w:t>
      </w:r>
    </w:p>
    <w:p>
      <w:r>
        <w:rPr>
          <w:color w:val="5A7D3A"/>
          <w:sz w:val="18"/>
        </w:rPr>
        <w:t>https://pubmed.ncbi.nlm.nih.gov/42895260/</w:t>
      </w:r>
    </w:p>
    <w:p>
      <w:pPr>
        <w:pStyle w:val="Heading2"/>
      </w:pPr>
      <w:r>
        <w:t>Triglycerid-Glukose-Frailty-Index bei Rheumatoider Arthritis vorhersagt Herz-Mortalität</w:t>
      </w:r>
    </w:p>
    <w:p>
      <w:r>
        <w:rPr>
          <w:i/>
          <w:color w:val="666666"/>
          <w:sz w:val="18"/>
        </w:rPr>
        <w:t>Xu Y et al.  ·  Medicine (Baltimore)  ·  16.10.2026  ·  PMID 42888590</w:t>
      </w:r>
    </w:p>
    <w:p>
      <w:r>
        <w:t>Querschnitt-Kohortenstudie mit 1.090 US-amerikanischen RA-Patienten aus NHANES 1999–2018 zur Assoziation zwischen TyG-FI (Triglycerid-Glukose-Index × 49-Item-Frailty-Index) und prevalent CVD sowie kardiovaskulärer Mortalität.</w:t>
      </w:r>
    </w:p>
    <w:p>
      <w:r>
        <w:rPr>
          <w:b/>
        </w:rPr>
        <w:t xml:space="preserve">Ergebnis: </w:t>
      </w:r>
      <w:r>
        <w:t>TyG-FI pro Einheit: OR 4,50 (95% CI 3,20–6,33) für prävalente CVD; HR 1,77 (95% CI 1,16–2,70) für Herz-Mortalität. AUC-Modelle mit TyG-FI (0,80 CVD, 0,81 Mortalität) überlegen vs. TyG allein (0,73, 0,80). Stärkere Assoziation bei Alter ≤65 Jahren.</w:t>
      </w:r>
    </w:p>
    <w:p>
      <w:r>
        <w:rPr>
          <w:b/>
          <w:sz w:val="19"/>
        </w:rPr>
        <w:t xml:space="preserve">Übertragbarkeit: </w:t>
      </w:r>
      <w:r>
        <w:rPr>
          <w:sz w:val="19"/>
        </w:rPr>
        <w:t>USA-Kohort, aber RA-assoziierte Multimorbidität und kombinierte Indizes relevant für deutsches Risiko-Assessment.</w:t>
      </w:r>
    </w:p>
    <w:p>
      <w:r>
        <w:rPr>
          <w:color w:val="5A7D3A"/>
          <w:sz w:val="18"/>
        </w:rPr>
        <w:t>https://pubmed.ncbi.nlm.nih.gov/42888590/</w:t>
      </w:r>
    </w:p>
    <w:p>
      <w:pPr>
        <w:pStyle w:val="Heading2"/>
      </w:pPr>
      <w:r>
        <w:t>Gesundheit im Alter als multidimensionales System: Validierung an 46.317 Europäern</w:t>
      </w:r>
    </w:p>
    <w:p>
      <w:r>
        <w:rPr>
          <w:i/>
          <w:color w:val="666666"/>
          <w:sz w:val="18"/>
        </w:rPr>
        <w:t>Tun T et al.  ·  Soc Sci Med  ·  16.09.2026  ·  PMID 42766933</w:t>
      </w:r>
    </w:p>
    <w:p>
      <w:r>
        <w:t>Sekundäranalyse von SHARE Wave 8 mit 46.317 Teilnehmern 50–104 Jahre zur psychometrischen Validierung eines sechsdimensionalen Gesundheitskonstrukts mittels Strukturgleichungsmodellierung.</w:t>
      </w:r>
    </w:p>
    <w:p>
      <w:r>
        <w:rPr>
          <w:b/>
        </w:rPr>
        <w:t xml:space="preserve">Ergebnis: </w:t>
      </w:r>
      <w:r>
        <w:t>Bestätigung einer zweiten Ordnung SEM mit sechs Dimensionen (Physische Gesundheit, Funktionsfähigkeit, Kognition, psychisches Wohlbefinden, finanzielle Autonomie, soziales Engagement) mit Faktorladungen 0,579–0,832 und guten Modellfit-Indizes (RMSEA 0,054, CFI 0,904). Modell war in europäischen Ländern konsistent.</w:t>
      </w:r>
    </w:p>
    <w:p>
      <w:r>
        <w:rPr>
          <w:b/>
          <w:sz w:val="19"/>
        </w:rPr>
        <w:t xml:space="preserve">Übertragbarkeit: </w:t>
      </w:r>
      <w:r>
        <w:rPr>
          <w:sz w:val="19"/>
        </w:rPr>
        <w:t>SHARE-Daten aus 28 europäischen Ländern, direkt auf Deutschland anwendbar.</w:t>
      </w:r>
    </w:p>
    <w:p>
      <w:r>
        <w:rPr>
          <w:color w:val="5A7D3A"/>
          <w:sz w:val="18"/>
        </w:rPr>
        <w:t>https://pubmed.ncbi.nlm.nih.gov/42766933/</w:t>
      </w:r>
    </w:p>
    <w:p>
      <w:pPr>
        <w:pStyle w:val="Heading1"/>
      </w:pPr>
      <w:r>
        <w:t>Aufgenommen am 20.10.2026</w:t>
      </w:r>
    </w:p>
    <w:p>
      <w:pPr>
        <w:pStyle w:val="Heading2"/>
      </w:pPr>
      <w:r>
        <w:t>Ösophagusspasmus bei Hochbetagter: Dysphagie-Diagnose bricht Teufelskreis aus Gewichtsverlust, Sarkopenie und Sturzrisiko</w:t>
      </w:r>
    </w:p>
    <w:p>
      <w:r>
        <w:rPr>
          <w:i/>
          <w:color w:val="666666"/>
          <w:sz w:val="18"/>
        </w:rPr>
        <w:t>Klein J et al.  ·  Dtsch Med Wochenschr  ·  19.10.2026  ·  PMID 42896540</w:t>
      </w:r>
    </w:p>
    <w:p>
      <w:r>
        <w:t>Fallbericht einer 93-jährigen sarkopenen Patientin mit Appetitlosigkeit, Übelkeit und Erbrechen in einer deutschen geriatrischen Klinik, bei der eine Breischluck-Untersuchung einen Ösophagussphinkterspasmus nachwies.</w:t>
      </w:r>
    </w:p>
    <w:p>
      <w:r>
        <w:rPr>
          <w:b/>
        </w:rPr>
        <w:t xml:space="preserve">Ergebnis: </w:t>
      </w:r>
      <w:r>
        <w:t>Nach Diagnose des distalen Motilitätsverluste durch Breischluck-Untersuchung konservative Therapie mit Botulinumtoxin-Injektionen durchgeführt, was kurzfristig zur Symptomverbesserung führte. Patientin kam aus dem Zyklus von Dysphagie → Gewichtsverlust → Sarkopenie → Frailty → Sturz heraus. Fallbericht unterstreicht Notwendigkeit gezielter Diagnostik und Therapie zur Prävention von Komplikationen.</w:t>
      </w:r>
    </w:p>
    <w:p>
      <w:r>
        <w:rPr>
          <w:b/>
          <w:sz w:val="19"/>
        </w:rPr>
        <w:t xml:space="preserve">Übertragbarkeit: </w:t>
      </w:r>
      <w:r>
        <w:rPr>
          <w:sz w:val="19"/>
        </w:rPr>
        <w:t>Deutschland (Bonn); geriatrisches Versorgungssystem und Versorgungskontext direkt anwendbar</w:t>
      </w:r>
    </w:p>
    <w:p>
      <w:r>
        <w:rPr>
          <w:color w:val="5A7D3A"/>
          <w:sz w:val="18"/>
        </w:rPr>
        <w:t>https://pubmed.ncbi.nlm.nih.gov/42896540/</w:t>
      </w:r>
    </w:p>
    <w:p>
      <w:pPr>
        <w:pStyle w:val="Heading2"/>
      </w:pPr>
      <w:r>
        <w:t>Zweistufiges Frailty-Screening in Hepatologie: Stuhl-Test und Griffstärke ersparen zwei Drittel der vollständigen Assessments</w:t>
      </w:r>
    </w:p>
    <w:p>
      <w:r>
        <w:rPr>
          <w:i/>
          <w:color w:val="666666"/>
          <w:sz w:val="18"/>
        </w:rPr>
        <w:t>Wang J et al.  ·  Nurs Open  ·  Okt. 2026  ·  PMID 42896173</w:t>
      </w:r>
    </w:p>
    <w:p>
      <w:r>
        <w:t>Querschnittstudie bei 606 hospitalisierten Patienten mit chronischer Lebererkrankung (August 2021–August 2025), die eine Pflegekraft-getragene Screening-Strategie mit Timed-Chair-Stand und Griffstärke gegen den Liver Frailty Index validierte.</w:t>
      </w:r>
    </w:p>
    <w:p>
      <w:r>
        <w:rPr>
          <w:b/>
        </w:rPr>
        <w:t xml:space="preserve">Ergebnis: </w:t>
      </w:r>
      <w:r>
        <w:t>Frailty-Prävalenz 18,6%. Einstufiges Screening (Chair-Stands ≥16,55 s oder Griffstärke ≤23,42 kg) erreichte 100% Sensitivität (Negative Predictive Value 1,000), identifizierte alle frailen Fälle und vermied 62,3% der vollständigen Assessments. Null verpasste Fälle in fünf Split-Sample-Analysen reproduziert.</w:t>
      </w:r>
    </w:p>
    <w:p>
      <w:r>
        <w:rPr>
          <w:b/>
          <w:sz w:val="19"/>
        </w:rPr>
        <w:t xml:space="preserve">Übertragbarkeit: </w:t>
      </w:r>
      <w:r>
        <w:rPr>
          <w:sz w:val="19"/>
        </w:rPr>
        <w:t>China; aber Screening-Kriterien und hepatologische Versorgung international ähnlich, externe Validierung ausstehend</w:t>
      </w:r>
    </w:p>
    <w:p>
      <w:r>
        <w:rPr>
          <w:color w:val="5A7D3A"/>
          <w:sz w:val="18"/>
        </w:rPr>
        <w:t>https://pubmed.ncbi.nlm.nih.gov/42896173/</w:t>
      </w:r>
    </w:p>
    <w:p>
      <w:pPr>
        <w:pStyle w:val="Heading2"/>
      </w:pPr>
      <w:r>
        <w:t>Frailty reduziert Arbeitsfähigkeit im Alter um vier bis acht Jahre</w:t>
      </w:r>
    </w:p>
    <w:p>
      <w:r>
        <w:rPr>
          <w:i/>
          <w:color w:val="666666"/>
          <w:sz w:val="18"/>
        </w:rPr>
        <w:t>Shui Y et al.  ·  J Glob Health  ·  19.10.2026  ·  PMID 42895270</w:t>
      </w:r>
    </w:p>
    <w:p>
      <w:r>
        <w:t>Multistate-Markov-Modelle bei 180.314 Personen ≥50 Jahren aus fünf harmonisierten Kohorten (33 Länder) zur Assoziation von Frailty-Status (robust, pre-frail, frail) mit gesunder Arbeitslebenserwartung (HWLE) im Alter von 50 Jahren.</w:t>
      </w:r>
    </w:p>
    <w:p>
      <w:r>
        <w:rPr>
          <w:b/>
        </w:rPr>
        <w:t xml:space="preserve">Ergebnis: </w:t>
      </w:r>
      <w:r>
        <w:t>HWLE bei 50 Jahren: 11,87 Jahre (95%-KI 11,74–12,00) robust, 7,34 Jahre (7,19–7,50) pre-frail, 3,77 Jahre (3,57–3,97) frail. Gegenüber robusten Personen: 4,53 Jahre kürzer (95%-KI −4,76, −4,29) pre-frail, 8,11 Jahre kürzer (−8,38, −7,84) frail. Männer hatten längere HWLE als Frauen in robusten und pre-frailen Gruppen. Höhere Bildung, Nichtrauchen und günstige nationale Faktoren verlängerten HWLE.</w:t>
      </w:r>
    </w:p>
    <w:p>
      <w:r>
        <w:rPr>
          <w:b/>
          <w:sz w:val="19"/>
        </w:rPr>
        <w:t xml:space="preserve">Übertragbarkeit: </w:t>
      </w:r>
      <w:r>
        <w:rPr>
          <w:sz w:val="19"/>
        </w:rPr>
        <w:t>33 Länder inklusive europäische; Frailty-Index robust, Bezug zu Arbeitsmarkt und Rente unterscheidet sich, aber Grundmechanismus universell</w:t>
      </w:r>
    </w:p>
    <w:p>
      <w:r>
        <w:rPr>
          <w:color w:val="5A7D3A"/>
          <w:sz w:val="18"/>
        </w:rPr>
        <w:t>https://pubmed.ncbi.nlm.nih.gov/42895270/</w:t>
      </w:r>
    </w:p>
    <w:p>
      <w:pPr>
        <w:pStyle w:val="Heading2"/>
      </w:pPr>
      <w:r>
        <w:t>Frailty-Trajektoren vorhersagen Osteoporose-Risiko stärker als einzelne Messungen</w:t>
      </w:r>
    </w:p>
    <w:p>
      <w:r>
        <w:rPr>
          <w:i/>
          <w:color w:val="666666"/>
          <w:sz w:val="18"/>
        </w:rPr>
        <w:t>Zhou J et al.  ·  J Glob Health  ·  19.10.2026  ·  PMID 42895262</w:t>
      </w:r>
    </w:p>
    <w:p>
      <w:r>
        <w:t>Longitudinale Kohortenstudie mit drei großen harmonisierten Datensätzen (HRS, ELSA, SHARE; ≥50 Jahre) zum Zusammenhang zwischen Frailty-Index-Verlauf und neuaufgetretener Osteoporose über 4–8 Jahre Nachbeobachtung.</w:t>
      </w:r>
    </w:p>
    <w:p>
      <w:r>
        <w:rPr>
          <w:b/>
        </w:rPr>
        <w:t xml:space="preserve">Ergebnis: </w:t>
      </w:r>
      <w:r>
        <w:t>Insgesamt 244 (ELSA), 2.693 (SHARE) und 1.986 (HRS) Neuerkrankungen mit Osteoporose. Höherer baseline Frailty Index unabhängig assoziiert mit erhöhtem Osteoporose-Risiko (HRS HR 1,43; 95%-KI 1,36–1,50; ELSA HR 1,36; 1,19–1,57; SHARE HR 1,39; 1,33–1,45, alle p&lt;0,001). Vier identifizierte Frailty-Trajektoren zeigten generell erhöhte Osteoporose-Risiken. Nichtlineare Analysen wiesen Schwellenwerteffekte auf (steilere Anstiege bei niedrigeren FI-Werten). Griffstärke vermittelte Assoziation partiell.</w:t>
      </w:r>
    </w:p>
    <w:p>
      <w:r>
        <w:rPr>
          <w:b/>
          <w:sz w:val="19"/>
        </w:rPr>
        <w:t xml:space="preserve">Übertragbarkeit: </w:t>
      </w:r>
      <w:r>
        <w:rPr>
          <w:sz w:val="19"/>
        </w:rPr>
        <w:t>Europäische und US-Kohorten; Frailty Index und Osteoporose-Definitions vergleichbar international</w:t>
      </w:r>
    </w:p>
    <w:p>
      <w:r>
        <w:rPr>
          <w:color w:val="5A7D3A"/>
          <w:sz w:val="18"/>
        </w:rPr>
        <w:t>https://pubmed.ncbi.nlm.nih.gov/42895262/</w:t>
      </w:r>
    </w:p>
    <w:p>
      <w:pPr>
        <w:pStyle w:val="Heading2"/>
      </w:pPr>
      <w:r>
        <w:t>Schädlicher Alkoholkonsum bei älteren Sturzpatienten häufig, mit Hyponatriämie assoziiert</w:t>
      </w:r>
    </w:p>
    <w:p>
      <w:r>
        <w:rPr>
          <w:i/>
          <w:color w:val="666666"/>
          <w:sz w:val="18"/>
        </w:rPr>
        <w:t>Rogmark C et al.  ·  Acta Orthop  ·  19.10.2026  ·  PMID 42894497</w:t>
      </w:r>
    </w:p>
    <w:p>
      <w:r>
        <w:t>Prospektive Kohortenstudie bei 505 Personen ≥65 Jahren mit akuter Sturz-bedingter Fraktur (Februar 2023–August 2024), die Phosphatidylethanol (PEth) als objektiven Marker für chronischen Alkoholkonsum zur Risikostratifizierung nutzte.</w:t>
      </w:r>
    </w:p>
    <w:p>
      <w:r>
        <w:rPr>
          <w:b/>
        </w:rPr>
        <w:t xml:space="preserve">Ergebnis: </w:t>
      </w:r>
      <w:r>
        <w:t>13% zeigten schädlichen Alkoholkonsum (PEth &gt;0,30 µmol/L), 8,9% intermediären Konsum (0,05–0,30), 78% keinen/niedrigen Konsum (&lt;0,05). Von nicht-frailen Patienten hatten 18% schädlichen und 11% intermediären Konsum. In der propensity-score-gematchten Kohorte: Alkoholkonsum assoziiert mit höherer Hyponatriämie-Wahrscheinlichkeit (OR 2,3; 95%-KI 1,1–4,5; p=0,02). Trend zu niedrigerer 90-Tages-Mortalität (OR 0,2; 95%-KI 0,1–1,0; p=0,05).</w:t>
      </w:r>
    </w:p>
    <w:p>
      <w:r>
        <w:rPr>
          <w:b/>
          <w:sz w:val="19"/>
        </w:rPr>
        <w:t xml:space="preserve">Übertragbarkeit: </w:t>
      </w:r>
      <w:r>
        <w:rPr>
          <w:sz w:val="19"/>
        </w:rPr>
        <w:t>Schweden (Lund/Malmö); Trauma-Management und Frailty-Screening vergleichbar mit Deutschland</w:t>
      </w:r>
    </w:p>
    <w:p>
      <w:r>
        <w:rPr>
          <w:color w:val="5A7D3A"/>
          <w:sz w:val="18"/>
        </w:rPr>
        <w:t>https://pubmed.ncbi.nlm.nih.gov/42894497/</w:t>
      </w:r>
    </w:p>
    <w:p>
      <w:pPr>
        <w:pStyle w:val="Heading2"/>
      </w:pPr>
      <w:r>
        <w:t>Soziale Kontakte fördern Grundfähigkeiten im Alter weltweit</w:t>
      </w:r>
    </w:p>
    <w:p>
      <w:r>
        <w:rPr>
          <w:i/>
          <w:color w:val="666666"/>
          <w:sz w:val="18"/>
        </w:rPr>
        <w:t>Lai ETC et al.  ·  Lancet Healthy Longev  ·  12.10.2026  ·  PMID 42863480</w:t>
      </w:r>
    </w:p>
    <w:p>
      <w:r>
        <w:t>Harmonisierte Längsschnittstudie zu 39.021 Personen ab 50 Jahren aus fünf Kohorten (USA, England, Europa, China, Japan), die den Zusammenhang zwischen sozialer Vernetzung und intrinsischer Kapazität (fünf Domänen: Kognition, Psyche, Sinne, Bewegung, Vitalität) untersuchte.</w:t>
      </w:r>
    </w:p>
    <w:p>
      <w:r>
        <w:rPr>
          <w:b/>
        </w:rPr>
        <w:t xml:space="preserve">Ergebnis: </w:t>
      </w:r>
      <w:r>
        <w:t>Höhere baseline soziale Vernetzung korrelierte mit besserer gesamter intrinsischer Kapazität (β=0,04 SD pro Punkt; 95%-KI 0,03–0,06). Stärkste Assoziationen zeigten sich in psychologischer (β=0,05 SD) und kognitiver Domäne (β=0,03 SD), beide p&lt;0,001. Soziale Partizipation und Partnerschaft waren am konsistentesten mit höherer Kapazität assoziiert. Baseline-Vernetzung sagte jedoch keine unterschiedlichen Raten des Funktionsverfalls über Follow-up voraus (β=0,0024 SD/Jahr; 95%-KI −0,0004 bis 0,0053).</w:t>
      </w:r>
    </w:p>
    <w:p>
      <w:r>
        <w:rPr>
          <w:b/>
          <w:sz w:val="19"/>
        </w:rPr>
        <w:t xml:space="preserve">Übertragbarkeit: </w:t>
      </w:r>
      <w:r>
        <w:rPr>
          <w:sz w:val="19"/>
        </w:rPr>
        <w:t>England und europäische Kohorten, vergleichbare Altersstrukturen und Sozialversicherungssysteme (SHARE-Daten)</w:t>
      </w:r>
    </w:p>
    <w:p>
      <w:r>
        <w:rPr>
          <w:color w:val="5A7D3A"/>
          <w:sz w:val="18"/>
        </w:rPr>
        <w:t>https://pubmed.ncbi.nlm.nih.gov/42863480/</w:t>
      </w:r>
    </w:p>
    <w:p>
      <w:pPr>
        <w:pStyle w:val="Heading2"/>
      </w:pPr>
      <w:r>
        <w:t>Bessere Grundfähigkeiten in neueren Generationen Europas – aber mit wachsenden Ungleichheiten</w:t>
      </w:r>
    </w:p>
    <w:p>
      <w:r>
        <w:rPr>
          <w:i/>
          <w:color w:val="666666"/>
          <w:sz w:val="18"/>
        </w:rPr>
        <w:t>Beard JR et al.  ·  Lancet Healthy Longev  ·  09.10.2026  ·  PMID 42854708</w:t>
      </w:r>
    </w:p>
    <w:p>
      <w:r>
        <w:t>Analyse von sieben Wellen der SHARE-Studie (2004–2022) bei 80.105 Personen ab 50 Jahren aus zehn europäischen Ländern zur Entwicklung der intrinsischen Kapazität über Geburtskohorten.</w:t>
      </w:r>
    </w:p>
    <w:p>
      <w:r>
        <w:rPr>
          <w:b/>
        </w:rPr>
        <w:t xml:space="preserve">Ergebnis: </w:t>
      </w:r>
      <w:r>
        <w:t>Neuere Geburtskohorten zeigten bei Studieneintritt höhere intrinsische Kapazität (Geburtsjahrkoeffizient 0,797; 95%-KI 0,780–0,815, p&lt;0,0001) und langsamere 10-Jahres-Rückgänge (0,426; 95%-KI 0,372–0,480, p&lt;0,0001). Frauen verzeichneten größere Gewinne als Männer. Länder mit niedrigerer Ausgangskapazität (z. B. Italien) zeigten größere Verbesserungen, aber kleinere Verlangsamungen im Rückgang. Höherer sozioökonomischer Status war mit größeren Gewinnen assoziiert, was Ungleichheiten verschärfte.</w:t>
      </w:r>
    </w:p>
    <w:p>
      <w:r>
        <w:rPr>
          <w:b/>
          <w:sz w:val="19"/>
        </w:rPr>
        <w:t xml:space="preserve">Übertragbarkeit: </w:t>
      </w:r>
      <w:r>
        <w:rPr>
          <w:sz w:val="19"/>
        </w:rPr>
        <w:t>10 europäische SHARE-Länder inklusive Deutschland; direkt auf deutsches Gesundheitssystem übertragbar</w:t>
      </w:r>
    </w:p>
    <w:p>
      <w:r>
        <w:rPr>
          <w:color w:val="5A7D3A"/>
          <w:sz w:val="18"/>
        </w:rPr>
        <w:t>https://pubmed.ncbi.nlm.nih.gov/42854708/</w:t>
      </w:r>
    </w:p>
    <w:p>
      <w:pPr>
        <w:pStyle w:val="Heading1"/>
      </w:pPr>
      <w:r>
        <w:t>Aufgenommen am 19.10.2026</w:t>
      </w:r>
    </w:p>
    <w:p>
      <w:pPr>
        <w:pStyle w:val="Heading2"/>
      </w:pPr>
      <w:r>
        <w:t>Geriatrische Schulungslücken in ambulanter Versorgung: Bedarfsanalyse aus 41 europäischen Ländern</w:t>
      </w:r>
    </w:p>
    <w:p>
      <w:r>
        <w:rPr>
          <w:i/>
          <w:color w:val="666666"/>
          <w:sz w:val="18"/>
        </w:rPr>
        <w:t>Kravvariti E et al.  ·  Age Ageing  ·  03.08.2026  ·  PMID 42891966</w:t>
      </w:r>
    </w:p>
    <w:p>
      <w:r>
        <w:t>Querschnittsbefragung von 2380 Fachkräften (Ärzte, Pflege, Diätassistenten, Therapeuten) aus Ambulanzen und häuslichen Diensten zur Selbsteinschätzung ihres Wissensstands bei 33 geriatrischen Themen.</w:t>
      </w:r>
    </w:p>
    <w:p>
      <w:r>
        <w:rPr>
          <w:b/>
        </w:rPr>
        <w:t xml:space="preserve">Ergebnis: </w:t>
      </w:r>
      <w:r>
        <w:t>Erhebliche Wissenslücken in allen Berufsgruppen: Umfassendes geriatrisches Assessment, Frailty-Screening, Polymedikation und Deprescribing, Sarkopenie, Dysphagie sowie Verhaltens- und Depressionssymptome bei Demenz zählten zu den Top-Defiziten. Profession-spezifische Prioritäten: Kommunikation und Vorsorgeverfügungen für Pflege, Deprescribing für Ärzte und Apotheker, Ernährungsassessment für Diätassistenten.</w:t>
      </w:r>
    </w:p>
    <w:p>
      <w:r>
        <w:rPr>
          <w:b/>
          <w:sz w:val="19"/>
        </w:rPr>
        <w:t xml:space="preserve">Übertragbarkeit: </w:t>
      </w:r>
      <w:r>
        <w:rPr>
          <w:sz w:val="19"/>
        </w:rPr>
        <w:t>41 europäische Länder, direkt relevant für deutschsprachigen Raum und Versorgungsstrukturen</w:t>
      </w:r>
    </w:p>
    <w:p>
      <w:r>
        <w:rPr>
          <w:color w:val="5A7D3A"/>
          <w:sz w:val="18"/>
        </w:rPr>
        <w:t>https://pubmed.ncbi.nlm.nih.gov/42891966/</w:t>
      </w:r>
    </w:p>
    <w:p>
      <w:pPr>
        <w:pStyle w:val="Heading2"/>
      </w:pPr>
      <w:r>
        <w:t>Elektronischer Frailty-Index sagt Sterblichkeit bei älteren Menschen voraus</w:t>
      </w:r>
    </w:p>
    <w:p>
      <w:r>
        <w:rPr>
          <w:i/>
          <w:color w:val="666666"/>
          <w:sz w:val="18"/>
        </w:rPr>
        <w:t>Du X et al.  ·  Front Public Health  ·  02.10.2026  ·  PMID 42890831</w:t>
      </w:r>
    </w:p>
    <w:p>
      <w:r>
        <w:t>Systematische Übersichtsarbeit und Meta-Analyse von 12 Studien (13 Kohorten mit 11 Hazard-Ratio- und 2 Odds-Ratio-Analysen) zur Assoziation zwischen elektronischem Frailty-Index (eFI) und Mortalität.</w:t>
      </w:r>
    </w:p>
    <w:p>
      <w:r>
        <w:rPr>
          <w:b/>
        </w:rPr>
        <w:t xml:space="preserve">Ergebnis: </w:t>
      </w:r>
      <w:r>
        <w:t>Dosisabhängige Assoziation: Milde Frailty (HR 1,81), moderate Frailty (HR 2,95) und schwere Frailty (HR 4,41) gegenüber nicht-frailer Gruppe. Erhebliche Heterogenität zwischen Studien je nach Nachbeobachtungsdauer, eFI-Schwellenwert und Studienumfeld. eFI scheint nützlich für Frailty-Screening und Risikostratifizierung, aber Ergebnisse erfordern vorsichtige Interpretation.</w:t>
      </w:r>
    </w:p>
    <w:p>
      <w:r>
        <w:rPr>
          <w:b/>
          <w:sz w:val="19"/>
        </w:rPr>
        <w:t xml:space="preserve">Übertragbarkeit: </w:t>
      </w:r>
      <w:r>
        <w:rPr>
          <w:sz w:val="19"/>
        </w:rPr>
        <w:t>UK Biobank und andere, elektronische Gesundheitsregisterdaten wie in Deutschland verfügbar</w:t>
      </w:r>
    </w:p>
    <w:p>
      <w:r>
        <w:rPr>
          <w:color w:val="5A7D3A"/>
          <w:sz w:val="18"/>
        </w:rPr>
        <w:t>https://pubmed.ncbi.nlm.nih.gov/42890831/</w:t>
      </w:r>
    </w:p>
    <w:p>
      <w:pPr>
        <w:pStyle w:val="Heading2"/>
      </w:pPr>
      <w:r>
        <w:t>Orale Frailty bei älteren Menschen mit Multimorbidität: Prävalenz 71,2%, verknüpft mit körperlicher Frailty</w:t>
      </w:r>
    </w:p>
    <w:p>
      <w:r>
        <w:rPr>
          <w:i/>
          <w:color w:val="666666"/>
          <w:sz w:val="18"/>
        </w:rPr>
        <w:t>Zhou Y et al.  ·  Front Public Health  ·  02.10.2026  ·  PMID 42890626</w:t>
      </w:r>
    </w:p>
    <w:p>
      <w:r>
        <w:t>Querschnittsstudie von 393 Personen ≥60 Jahre mit ≥1 chronischer Erkrankung in Nordostchina zur Prävalenz oraler Frailty mittels Oral Frailty Index-8 (OFI-8) und assoziierten Faktoren.</w:t>
      </w:r>
    </w:p>
    <w:p>
      <w:r>
        <w:rPr>
          <w:b/>
        </w:rPr>
        <w:t xml:space="preserve">Ergebnis: </w:t>
      </w:r>
      <w:r>
        <w:t>71,2% (n=280) orale Frailty (OFI-8: 5,61±2,58). Häufigste Items: Schwierigkeiten mit harter Nahrung 62,3%, Verschlucken 48,6%, Mundtrockenheit 45,8%. Unabhängig assoziiert: höheres Alter, weibliches Geschlecht, niedriges Einkommen, niedriger/hoher BMI, Alkoholkonsum, körperliche Frailty, Schlafstörung, negative Altersattitude, ≥3 Erkrankungen, Diabetes (alle p&lt;0,05).</w:t>
      </w:r>
    </w:p>
    <w:p>
      <w:r>
        <w:rPr>
          <w:b/>
          <w:sz w:val="19"/>
        </w:rPr>
        <w:t xml:space="preserve">Übertragbarkeit: </w:t>
      </w:r>
      <w:r>
        <w:rPr>
          <w:sz w:val="19"/>
        </w:rPr>
        <w:t>China, ethnische Minderheit – überwiegend strukturelle Befunde, Screening-Befund direkt relevant</w:t>
      </w:r>
    </w:p>
    <w:p>
      <w:r>
        <w:rPr>
          <w:color w:val="5A7D3A"/>
          <w:sz w:val="18"/>
        </w:rPr>
        <w:t>https://pubmed.ncbi.nlm.nih.gov/42890626/</w:t>
      </w:r>
    </w:p>
    <w:p>
      <w:pPr>
        <w:pStyle w:val="Heading2"/>
      </w:pPr>
      <w:r>
        <w:t>Frailty mit multilokulalen Schmerzen vergesellschaftet, teilweise durch Depression vermittelt</w:t>
      </w:r>
    </w:p>
    <w:p>
      <w:r>
        <w:rPr>
          <w:i/>
          <w:color w:val="666666"/>
          <w:sz w:val="18"/>
        </w:rPr>
        <w:t>Cheng Y et al.  ·  Medicine (Baltimore)  ·  16.10.2026  ·  PMID 42888628</w:t>
      </w:r>
    </w:p>
    <w:p>
      <w:r>
        <w:t>Querschnittsanalyse von 5281 Personen ≥45 Jahre aus China Health and Retirement Longitudinal Study zu Assoziation zwischen korrigiertem modifiziertem Frailty-Index (CMFI) und chronischen Schmerzen mit Mediationsanalyse.</w:t>
      </w:r>
    </w:p>
    <w:p>
      <w:r>
        <w:rPr>
          <w:b/>
        </w:rPr>
        <w:t xml:space="preserve">Ergebnis: </w:t>
      </w:r>
      <w:r>
        <w:t>Höherer CMFI stark mit erhöhtem Schmerz-Risiko assoziiert: Höchstes vs. niedrigstes CMFI-Quartil zeigte 11,6-fach erhöhtes Risiko für Kreuzschmerzen, 17,0-fach für Multisite-Schmerzen und 11,5-fach höhere Schmerzlokalisationen. Depression vermittelte ca. 30% dieser Assoziationen. Unterschiede nach Alter, Bildung und Wohnort.</w:t>
      </w:r>
    </w:p>
    <w:p>
      <w:r>
        <w:rPr>
          <w:b/>
          <w:sz w:val="19"/>
        </w:rPr>
        <w:t xml:space="preserve">Übertragbarkeit: </w:t>
      </w:r>
      <w:r>
        <w:rPr>
          <w:sz w:val="19"/>
        </w:rPr>
        <w:t>China, vergleichbare Altersstruktur – Befunde aber nicht direkt auf deutsche Sozialversicherung übertragbar</w:t>
      </w:r>
    </w:p>
    <w:p>
      <w:r>
        <w:rPr>
          <w:color w:val="5A7D3A"/>
          <w:sz w:val="18"/>
        </w:rPr>
        <w:t>https://pubmed.ncbi.nlm.nih.gov/42888628/</w:t>
      </w:r>
    </w:p>
    <w:p>
      <w:pPr>
        <w:pStyle w:val="Heading2"/>
      </w:pPr>
      <w:r>
        <w:t>Höhere Frailty mit schlechterer Herzgesundheit: Dosis-Wirkungs-Beziehung in US-Stichprobe</w:t>
      </w:r>
    </w:p>
    <w:p>
      <w:r>
        <w:rPr>
          <w:i/>
          <w:color w:val="666666"/>
          <w:sz w:val="18"/>
        </w:rPr>
        <w:t>Yan W et al.  ·  Medicine (Baltimore)  ·  16.10.2026  ·  PMID 42888560</w:t>
      </w:r>
    </w:p>
    <w:p>
      <w:r>
        <w:t>Querschnittsanalyse von 8015 Erwachsenen ≥20 Jahre aus NHANES 2007–2018 zur Assoziation zwischen Frailty-Index und kardiovaskulärer Gesundheit nach American Heart Association Definition.</w:t>
      </w:r>
    </w:p>
    <w:p>
      <w:r>
        <w:rPr>
          <w:b/>
        </w:rPr>
        <w:t xml:space="preserve">Ergebnis: </w:t>
      </w:r>
      <w:r>
        <w:t>Höhere Frailty-Niveaus linear mit erhöhtem Risiko schlechter kardiovaskulärer Gesundheit assoziiert (dosisabhängig). Serum-25(OH)D-Level unabhängig invers mit schlechter kardiovaskulärer Gesundheit assoziiert. Keine statistisch signifikante multiplikative Interaktion zwischen Frailty und 25(OH)D. Assoziationen variierten nach Geschlecht und 25(OH)D-Status.</w:t>
      </w:r>
    </w:p>
    <w:p>
      <w:r>
        <w:rPr>
          <w:b/>
          <w:sz w:val="19"/>
        </w:rPr>
        <w:t xml:space="preserve">Übertragbarkeit: </w:t>
      </w:r>
      <w:r>
        <w:rPr>
          <w:sz w:val="19"/>
        </w:rPr>
        <w:t>USA, aber Frailty-Kardiovaskularität-Assoziation prinzipiell übertragbar</w:t>
      </w:r>
    </w:p>
    <w:p>
      <w:r>
        <w:rPr>
          <w:color w:val="5A7D3A"/>
          <w:sz w:val="18"/>
        </w:rPr>
        <w:t>https://pubmed.ncbi.nlm.nih.gov/42888560/</w:t>
      </w:r>
    </w:p>
    <w:p>
      <w:pPr>
        <w:pStyle w:val="Heading2"/>
      </w:pPr>
      <w:r>
        <w:t>Handgriffkraft und Stuhlaufstehen als Functional-Indikatoren: Methodische Vorbehalte bei multizentrischen Studien</w:t>
      </w:r>
    </w:p>
    <w:p>
      <w:r>
        <w:rPr>
          <w:i/>
          <w:color w:val="666666"/>
          <w:sz w:val="18"/>
        </w:rPr>
        <w:t>Kudratova Z et al.  ·  Aging Clin Exp Res  ·  15.10.2026  ·  PMID 42875631</w:t>
      </w:r>
    </w:p>
    <w:p>
      <w:r>
        <w:t>Methodologischer Kommentar zu Prospektivanalyse über kumulative Handgriffkraft und erfolgreiches Altern in drei internationalen Kohorten, kritische Bewertung von Studiendesign und Vergleichbarkeit.</w:t>
      </w:r>
    </w:p>
    <w:p>
      <w:r>
        <w:rPr>
          <w:b/>
        </w:rPr>
        <w:t xml:space="preserve">Ergebnis: </w:t>
      </w:r>
      <w:r>
        <w:t>Handgriffkraft erfasst nicht alle funktionellen Determinanten erfolgreiches Alterns. Selbstberichtete chronische Erkrankungen verursachen Klassifizierungsfehler (unterschiedlich nach Sozioökonomie). Zwei-Phasen-Temporaldesign adressiert Selektionsbias und Kohortengrenzen unzureichend. Kohorten-relatives kognitives Schwellenwert gefährdet Bevölkerungsvergleichbarkeit. Empfehlung: stärkere methodologische Reflexion und Standardisierung.</w:t>
      </w:r>
    </w:p>
    <w:p>
      <w:r>
        <w:rPr>
          <w:b/>
          <w:sz w:val="19"/>
        </w:rPr>
        <w:t xml:space="preserve">Übertragbarkeit: </w:t>
      </w:r>
      <w:r>
        <w:rPr>
          <w:sz w:val="19"/>
        </w:rPr>
        <w:t>Internationale Kohorten (USA, Asien, Europa), Methoden-Review – Design-Kritik grundsätzlich relevant</w:t>
      </w:r>
    </w:p>
    <w:p>
      <w:r>
        <w:rPr>
          <w:color w:val="5A7D3A"/>
          <w:sz w:val="18"/>
        </w:rPr>
        <w:t>https://pubmed.ncbi.nlm.nih.gov/42875631/</w:t>
      </w:r>
    </w:p>
    <w:p>
      <w:pPr>
        <w:pStyle w:val="Heading1"/>
      </w:pPr>
      <w:r>
        <w:t>Aufgenommen am 18.10.2026</w:t>
      </w:r>
    </w:p>
    <w:p>
      <w:pPr>
        <w:pStyle w:val="Heading2"/>
      </w:pPr>
      <w:r>
        <w:t>Krafttraining senkt Gebrechlichkeit im Alter stärker als Gehen oder Tai Chi</w:t>
      </w:r>
    </w:p>
    <w:p>
      <w:r>
        <w:rPr>
          <w:i/>
          <w:color w:val="666666"/>
          <w:sz w:val="18"/>
        </w:rPr>
        <w:t>Li J et al.  ·  Front Public Health  ·  02.10.2026  ·  PMID 42891303</w:t>
      </w:r>
    </w:p>
    <w:p>
      <w:r>
        <w:t>Systematische Übersicht mit Metaanalyse von randomisierten Studien zu Krafttraining, Gehen und Tai Chi bei älteren Menschen mit Gebrechlichkeit (Frailty).</w:t>
      </w:r>
    </w:p>
    <w:p>
      <w:r>
        <w:rPr>
          <w:b/>
        </w:rPr>
        <w:t xml:space="preserve">Ergebnis: </w:t>
      </w:r>
      <w:r>
        <w:t>Bei 1.361 Teilnehmern zeigte Krafttraining eine signifikante Reduktion von Gebrechlichkeit (SMD = -0,78, 95%-KI -1,22 bis -0,35), während Gehen und Tai Chi keine statistisch signifikanten Effekte aufwiesen. Heterogenität war erheblich (I² = 88%), und optimale Dosierungsempfehlungen konnten nicht abgeleitet werden.</w:t>
      </w:r>
    </w:p>
    <w:p>
      <w:r>
        <w:rPr>
          <w:b/>
          <w:sz w:val="19"/>
        </w:rPr>
        <w:t xml:space="preserve">Übertragbarkeit: </w:t>
      </w:r>
      <w:r>
        <w:rPr>
          <w:sz w:val="19"/>
        </w:rPr>
        <w:t>Internationale Evidenz, direkt auf deutsches Versorgungssystem übertragbar</w:t>
      </w:r>
    </w:p>
    <w:p>
      <w:r>
        <w:rPr>
          <w:color w:val="5A7D3A"/>
          <w:sz w:val="18"/>
        </w:rPr>
        <w:t>https://pubmed.ncbi.nlm.nih.gov/42891303/</w:t>
      </w:r>
    </w:p>
    <w:p>
      <w:pPr>
        <w:pStyle w:val="Heading1"/>
      </w:pPr>
      <w:r>
        <w:t>Aufgenommen am 17.10.2026</w:t>
      </w:r>
    </w:p>
    <w:p>
      <w:pPr>
        <w:pStyle w:val="Heading2"/>
      </w:pPr>
      <w:r>
        <w:t>Vitamin-D-Mangel und Frailty-Risiko im Alter: Assoziationen in USA-Daten</w:t>
      </w:r>
    </w:p>
    <w:p>
      <w:r>
        <w:rPr>
          <w:i/>
          <w:color w:val="666666"/>
          <w:sz w:val="18"/>
        </w:rPr>
        <w:t>Zheng J et al.  ·  Aging Male  ·  31.12.2026  ·  PMID 42886648</w:t>
      </w:r>
    </w:p>
    <w:p>
      <w:r>
        <w:t>Querschnittanalyse von 8.064 US-Amerikanern über 40 Jahren, untersucht die Beziehung zwischen Serum-Vitamin-D und Gebrechlichkeit mit einem 49-Item-Frailty-Index.</w:t>
      </w:r>
    </w:p>
    <w:p>
      <w:r>
        <w:rPr>
          <w:b/>
        </w:rPr>
        <w:t xml:space="preserve">Ergebnis: </w:t>
      </w:r>
      <w:r>
        <w:t>Vitamin-D-Mangel (&lt;25 nmol/L) war mit erhöhtem Frailty-Risiko assoziiert (OR 2,15, 95% CI 1,42–3,25), während Insuffizienz nicht signifikant war (OR 1,15, 95% CI 0,95–1,38). Gebrechlichkeitsprävalenz: Mangel 55,9%, Insuffizienz 42,9%, ausreichend 37,2%. U-förmiger Zusammenhang zwischen Vitamin-D und Frailty-Index.</w:t>
      </w:r>
    </w:p>
    <w:p>
      <w:r>
        <w:rPr>
          <w:b/>
          <w:sz w:val="19"/>
        </w:rPr>
        <w:t xml:space="preserve">Übertragbarkeit: </w:t>
      </w:r>
      <w:r>
        <w:rPr>
          <w:sz w:val="19"/>
        </w:rPr>
        <w:t>USA-Daten, aber Assoziationsfrage unabhängig von Gesundheitssystem, große bevölkerungsrepräsentative Stichprobe.</w:t>
      </w:r>
    </w:p>
    <w:p>
      <w:r>
        <w:rPr>
          <w:color w:val="5A7D3A"/>
          <w:sz w:val="18"/>
        </w:rPr>
        <w:t>https://pubmed.ncbi.nlm.nih.gov/42886648/</w:t>
      </w:r>
    </w:p>
    <w:p>
      <w:pPr>
        <w:pStyle w:val="Heading2"/>
      </w:pPr>
      <w:r>
        <w:t>Mundgesundheit und Gebrechlichkeit im Alter: Geschlechtsunterschiede</w:t>
      </w:r>
    </w:p>
    <w:p>
      <w:r>
        <w:rPr>
          <w:i/>
          <w:color w:val="666666"/>
          <w:sz w:val="18"/>
        </w:rPr>
        <w:t>Yang JE et al.  ·  PLoS One  ·  16.10.2026  ·  PMID 42886645</w:t>
      </w:r>
    </w:p>
    <w:p>
      <w:r>
        <w:t>Südkoreanische Querschnittstudie mit 3.729 älteren Menschen (≥65 Jahre) untersucht Assoziationen zwischen Mundgesundheit und Frailty-Status (robust, Prä-Frailty, Frailty).</w:t>
      </w:r>
    </w:p>
    <w:p>
      <w:r>
        <w:rPr>
          <w:b/>
        </w:rPr>
        <w:t xml:space="preserve">Ergebnis: </w:t>
      </w:r>
      <w:r>
        <w:t>16% waren gebrechlich, 84% nicht gebrechlich. Zahnlosigkeit ohne Zahnersatz war stärkster Faktor (Frauen: OR 3,76; Männer: OR 2,95). Zahnlosigkeit, Kau-/Schluckstörungen und Zahnschmerzen waren signifikant mit Frailty assoziiert. Geschlechtsspezifische Unterschiede: Zahnempfindlichkeit erhöhte Frailty-Risiko bei Frauen (OR 1,82), senkte es bei Männern (OR 0,85).</w:t>
      </w:r>
    </w:p>
    <w:p>
      <w:r>
        <w:rPr>
          <w:b/>
          <w:sz w:val="19"/>
        </w:rPr>
        <w:t xml:space="preserve">Übertragbarkeit: </w:t>
      </w:r>
      <w:r>
        <w:rPr>
          <w:sz w:val="19"/>
        </w:rPr>
        <w:t>Korea, Datenqualität hoch, aber Übertragbarkeit auf Deutschland eingeschränkt durch unterschiedliche Zahnversorgung und Mundgesundheit.</w:t>
      </w:r>
    </w:p>
    <w:p>
      <w:r>
        <w:rPr>
          <w:color w:val="5A7D3A"/>
          <w:sz w:val="18"/>
        </w:rPr>
        <w:t>https://pubmed.ncbi.nlm.nih.gov/42886645/</w:t>
      </w:r>
    </w:p>
    <w:p>
      <w:pPr>
        <w:pStyle w:val="Heading2"/>
      </w:pPr>
      <w:r>
        <w:t>Ernährungsinterventionen bei Mangelernährung, Sarkopenie und Frailty im Alter</w:t>
      </w:r>
    </w:p>
    <w:p>
      <w:r>
        <w:rPr>
          <w:i/>
          <w:color w:val="666666"/>
          <w:sz w:val="18"/>
        </w:rPr>
        <w:t>Khalaf H et al.  ·  Nutrients  ·  27.09.2026  ·  PMID 42884640</w:t>
      </w:r>
    </w:p>
    <w:p>
      <w:r>
        <w:t>Narrative Übersichtsarbeit zur Evidenz für Ernährungsmassnahmen (Food First, Lebensmittelfortifikation, orale Nahrungsergänzungen) bei älteren Menschen und Pflegeheimbewohnern.</w:t>
      </w:r>
    </w:p>
    <w:p>
      <w:r>
        <w:rPr>
          <w:b/>
        </w:rPr>
        <w:t xml:space="preserve">Ergebnis: </w:t>
      </w:r>
      <w:r>
        <w:t>Lebensmittelfortifikation erhöht effektiv Energie- und Proteinaufnahme; orale Nahrungsergänzungen (ONS) verbessern BMI und Alltagsfunktion und senken Hospitalisierungsraten. Multimodale Ansätze (Ernährung plus Bewegung) sind wirksamer; geringe Therapieadhärenz bleibt Barriere. Food-First-Ansatz in Kombination mit ONS zeigt beste Ergebnisse.</w:t>
      </w:r>
    </w:p>
    <w:p>
      <w:r>
        <w:rPr>
          <w:b/>
          <w:sz w:val="19"/>
        </w:rPr>
        <w:t xml:space="preserve">Übertragbarkeit: </w:t>
      </w:r>
      <w:r>
        <w:rPr>
          <w:sz w:val="19"/>
        </w:rPr>
        <w:t>UK/Europa-Daten, transferierbar auf deutschsprachige Pflegeheimversorgung.</w:t>
      </w:r>
    </w:p>
    <w:p>
      <w:r>
        <w:rPr>
          <w:color w:val="5A7D3A"/>
          <w:sz w:val="18"/>
        </w:rPr>
        <w:t>https://pubmed.ncbi.nlm.nih.gov/42884640/</w:t>
      </w:r>
    </w:p>
    <w:p>
      <w:pPr>
        <w:pStyle w:val="Heading2"/>
      </w:pPr>
      <w:r>
        <w:t>Hochverarbeitete Lebensmittel und Frailty im Alter: Assoziationen in Südkorea</w:t>
      </w:r>
    </w:p>
    <w:p>
      <w:r>
        <w:rPr>
          <w:i/>
          <w:color w:val="666666"/>
          <w:sz w:val="18"/>
        </w:rPr>
        <w:t>Lee H et al.  ·  Nutrients  ·  23.09.2026  ·  PMID 42884586</w:t>
      </w:r>
    </w:p>
    <w:p>
      <w:r>
        <w:t>Querschnittanalyse von 9.861 südkoreanischen Älteren (≥65 Jahre) untersucht die Beziehung zwischen Anteil hochverarbeiteter Lebensmittel (UPF) an der Gesamtenergieaufnahme und Gebrechlichkeit.</w:t>
      </w:r>
    </w:p>
    <w:p>
      <w:r>
        <w:rPr>
          <w:b/>
        </w:rPr>
        <w:t xml:space="preserve">Ergebnis: </w:t>
      </w:r>
      <w:r>
        <w:t>Höchstes Quartil UPF-Energieanteil zeigte 31% höheres Frailty-Risiko als niedrigstes (OR 1,31, 95% CI 1,08–1,59, p=0,002). Besondere Assoziation mit niedriger körperlicher Aktivität (OR 1,31, 95% CI 1,13–1,51). Linearer Dosis-Wirkungs-Zusammenhang (keine Nicht-Linearität, p=0,8).</w:t>
      </w:r>
    </w:p>
    <w:p>
      <w:r>
        <w:rPr>
          <w:b/>
          <w:sz w:val="19"/>
        </w:rPr>
        <w:t xml:space="preserve">Übertragbarkeit: </w:t>
      </w:r>
      <w:r>
        <w:rPr>
          <w:sz w:val="19"/>
        </w:rPr>
        <w:t>Korea, Ernährungsassoziationen sind kulturabhängig und weniger auf Deutschland übertragbar als mediterrane oder nordeuropäische Diätmuster.</w:t>
      </w:r>
    </w:p>
    <w:p>
      <w:r>
        <w:rPr>
          <w:color w:val="5A7D3A"/>
          <w:sz w:val="18"/>
        </w:rPr>
        <w:t>https://pubmed.ncbi.nlm.nih.gov/42884586/</w:t>
      </w:r>
    </w:p>
    <w:p>
      <w:pPr>
        <w:pStyle w:val="Heading2"/>
      </w:pPr>
      <w:r>
        <w:t>Alltagsmessung psychischer Symptome im älteren Alter: Machbarkeit und Prädiktoren</w:t>
      </w:r>
    </w:p>
    <w:p>
      <w:r>
        <w:rPr>
          <w:i/>
          <w:color w:val="666666"/>
          <w:sz w:val="18"/>
        </w:rPr>
        <w:t>Kang J et al.  ·  J Affect Disord  ·  01.01.2027  ·  PMID 42785391</w:t>
      </w:r>
    </w:p>
    <w:p>
      <w:r>
        <w:t>US-amerikanische Studie mit 64 älteren Erwachsenen (Durchschnittsalter 63,4 Jahre; 31 gesund, 33 mit Depression), die zweimal täglich über ~10 Wochen Symptome via Smartphone berichteten.</w:t>
      </w:r>
    </w:p>
    <w:p>
      <w:r>
        <w:rPr>
          <w:b/>
        </w:rPr>
        <w:t xml:space="preserve">Ergebnis: </w:t>
      </w:r>
      <w:r>
        <w:t>Gesamtausfallquote 76% (SD 22,1). Gesunde Teilnehmer zeigten höhere Compliance (81% vs. 71% bei Depression, p=0,04). Schnellere Antwortlatenz sagte höhere Adhärenz voraus. Rasche affektive Schwankungen am Anfang waren Prädiktoren niedriger Adhärenz. EMA ist mit Anpassungen im späteren Alter durchführbar.</w:t>
      </w:r>
    </w:p>
    <w:p>
      <w:r>
        <w:rPr>
          <w:b/>
          <w:sz w:val="19"/>
        </w:rPr>
        <w:t xml:space="preserve">Übertragbarkeit: </w:t>
      </w:r>
      <w:r>
        <w:rPr>
          <w:sz w:val="19"/>
        </w:rPr>
        <w:t>USA, Methode unabhängig von Gesundheitssystem, aber Adhärenz-Faktoren in älteren Erwachsenen noch wenig erforscht.</w:t>
      </w:r>
    </w:p>
    <w:p>
      <w:r>
        <w:rPr>
          <w:color w:val="5A7D3A"/>
          <w:sz w:val="18"/>
        </w:rPr>
        <w:t>https://pubmed.ncbi.nlm.nih.gov/42785391/</w:t>
      </w:r>
    </w:p>
    <w:p>
      <w:pPr>
        <w:pStyle w:val="Heading2"/>
      </w:pPr>
      <w:r>
        <w:t>Funktionsfähigkeit am Lebensende: Drei Verlaufsmuster in den letzten Lebensjahren</w:t>
      </w:r>
    </w:p>
    <w:p>
      <w:r>
        <w:rPr>
          <w:i/>
          <w:color w:val="666666"/>
          <w:sz w:val="18"/>
        </w:rPr>
        <w:t>Kyrönlahti S et al.  ·  J Gerontol A Biol Sci Med Sci  ·  06.10.2026  ·  PMID 42720597</w:t>
      </w:r>
    </w:p>
    <w:p>
      <w:r>
        <w:t>Schwedische Längsschnittstudie mit 2.294 älteren Menschen (62% Frauen, Durchschnittsalter 89,8 Jahre), die verfolgte, wie sich Alltagsfähigkeiten (ADL-Einschränkungen) zeitlich vor dem Tod entwickelten.</w:t>
      </w:r>
    </w:p>
    <w:p>
      <w:r>
        <w:rPr>
          <w:b/>
        </w:rPr>
        <w:t xml:space="preserve">Ergebnis: </w:t>
      </w:r>
      <w:r>
        <w:t>53% zeigten durchgehend niedrige ADL-Einschränkungen bis zum Tod, 36% einen flachen Anstieg und 11% einen steilen Anstieg. Frauen, niedriger gebildete Personen und älter Verstorbene hatten häufiger zunehmende Behinderung. Kognitives Defizit war mit steiler Verschlechterung assoziiert. Für die meisten blieb die funktionale Fähigkeit bis 2 Jahre vor dem Tod erhalten.</w:t>
      </w:r>
    </w:p>
    <w:p>
      <w:r>
        <w:rPr>
          <w:b/>
          <w:sz w:val="19"/>
        </w:rPr>
        <w:t xml:space="preserve">Übertragbarkeit: </w:t>
      </w:r>
      <w:r>
        <w:rPr>
          <w:sz w:val="19"/>
        </w:rPr>
        <w:t>Schwedische Daten, vergleichbare nordeuropäische Altersstruktur und Versorgungssystem.</w:t>
      </w:r>
    </w:p>
    <w:p>
      <w:r>
        <w:rPr>
          <w:color w:val="5A7D3A"/>
          <w:sz w:val="18"/>
        </w:rPr>
        <w:t>https://pubmed.ncbi.nlm.nih.gov/42720597/</w:t>
      </w:r>
    </w:p>
    <w:p>
      <w:pPr>
        <w:pStyle w:val="Heading1"/>
      </w:pPr>
      <w:r>
        <w:t>Aufgenommen am 16.10.2026</w:t>
      </w:r>
    </w:p>
    <w:p>
      <w:pPr>
        <w:pStyle w:val="Heading2"/>
      </w:pPr>
      <w:r>
        <w:t>Hörverfall in der Lebensmitte: Metabolische Gesundheit und Lärmexposition prägen Verlauf</w:t>
      </w:r>
    </w:p>
    <w:p>
      <w:r>
        <w:rPr>
          <w:i/>
          <w:color w:val="666666"/>
          <w:sz w:val="18"/>
        </w:rPr>
        <w:t>Smit AL et al.  ·  PLoS One  ·  15.10.2026  ·  PMID 42879410</w:t>
      </w:r>
    </w:p>
    <w:p>
      <w:r>
        <w:t>Sechsjährige Längsschnittstudie an 3.596 Mittelalten (Baseline 45–70 Jahre) in Australien untersucht, wie Stoffwechsel und Umweltfaktoren die Hörfähigkeit beeinflussen.</w:t>
      </w:r>
    </w:p>
    <w:p>
      <w:r>
        <w:rPr>
          <w:b/>
        </w:rPr>
        <w:t xml:space="preserve">Ergebnis: </w:t>
      </w:r>
      <w:r>
        <w:t>Hörschwellen verschlechterten sich über 6 Jahre; Prävalenz mild-oder-stärkerer Hörverlust stieg von 14 % auf 26 % (4FPTA) und 53 % auf 71 % (HFPTA). Größerer Verfall bei Männern und Hochfrequenzen. Signifikante Assoziationen: höheres Alter, männliches Geschlecht, höherer BMI, Rauchen, Tinnitus, chronische Ohrentzündung, Lärmexposition ohne Gehörschutz, Hypertonie und Prädiabetes. Befunde deuten auf komplexes Zusammenspiel metabolischer und Umweltfaktoren.</w:t>
      </w:r>
    </w:p>
    <w:p>
      <w:r>
        <w:rPr>
          <w:b/>
          <w:sz w:val="19"/>
        </w:rPr>
        <w:t xml:space="preserve">Übertragbarkeit: </w:t>
      </w:r>
      <w:r>
        <w:rPr>
          <w:sz w:val="19"/>
        </w:rPr>
        <w:t>Australien, vergleichbar Deutschland und Westeuropa; Gehörverlust in der Lebensmitte auch in Deutschland relevant.</w:t>
      </w:r>
    </w:p>
    <w:p>
      <w:r>
        <w:rPr>
          <w:color w:val="5A7D3A"/>
          <w:sz w:val="18"/>
        </w:rPr>
        <w:t>https://pubmed.ncbi.nlm.nih.gov/42879410/</w:t>
      </w:r>
    </w:p>
    <w:p>
      <w:pPr>
        <w:pStyle w:val="Heading2"/>
      </w:pPr>
      <w:r>
        <w:t>Frailty bei rheumatoider Arthritis: Häufig, prognostisch bedeutsam, teilweise modifizierbar</w:t>
      </w:r>
    </w:p>
    <w:p>
      <w:r>
        <w:rPr>
          <w:i/>
          <w:color w:val="666666"/>
          <w:sz w:val="18"/>
        </w:rPr>
        <w:t>Legge A et al.  ·  Curr Rheumatol Rep  ·  15.10.2026  ·  PMID 42878990</w:t>
      </w:r>
    </w:p>
    <w:p>
      <w:r>
        <w:t>Übersichtsarbeit zur Prävalenz, Messung und klinischen Bedeutung von Frailty bei rheumatoider Arthritis – ein häufiges Merkmal vorzeitigen Alterns.</w:t>
      </w:r>
    </w:p>
    <w:p>
      <w:r>
        <w:rPr>
          <w:b/>
        </w:rPr>
        <w:t xml:space="preserve">Ergebnis: </w:t>
      </w:r>
      <w:r>
        <w:t>Frailty betrifft etwa ein Drittel der RA-Patienten; Prävalenz variiert mit Messinstrument. Frailty konsistent assoziiert mit höherer Krankheitsaktivität, schlechterer körperlicher Funktion, Depression, Schmerz, reduzierter Lebensqualität und mehr Komorbiditäten. Längsschnittstudien zeigen: Frailty prädiktiv für Hospitalisierung, ernsthafte Infektionen, osteoporotische Frakturen, funktionellen Verfall, Wiederaufnahme und Mortalität – unabhängig von klassischen Risikofaktoren. Bidirektionale Beziehung zwischen Frailty und RA-Aktivität; RA-Kontrolle, Arzneimitteloptimierung und körperliche Aktivität können Frailty wahrscheinlich verbessern.</w:t>
      </w:r>
    </w:p>
    <w:p>
      <w:r>
        <w:rPr>
          <w:b/>
          <w:sz w:val="19"/>
        </w:rPr>
        <w:t xml:space="preserve">Übertragbarkeit: </w:t>
      </w:r>
      <w:r>
        <w:rPr>
          <w:sz w:val="19"/>
        </w:rPr>
        <w:t>Versorgungsfrage weltweit; Frailty-Assessment und -Interventionen universell anwendbar.</w:t>
      </w:r>
    </w:p>
    <w:p>
      <w:r>
        <w:rPr>
          <w:color w:val="5A7D3A"/>
          <w:sz w:val="18"/>
        </w:rPr>
        <w:t>https://pubmed.ncbi.nlm.nih.gov/42878990/</w:t>
      </w:r>
    </w:p>
    <w:p>
      <w:pPr>
        <w:pStyle w:val="Heading2"/>
      </w:pPr>
      <w:r>
        <w:t>Psychologische Folgen von Stürzen im Alter: internationale Konsensusdefinition</w:t>
      </w:r>
    </w:p>
    <w:p>
      <w:r>
        <w:rPr>
          <w:i/>
          <w:color w:val="666666"/>
          <w:sz w:val="18"/>
        </w:rPr>
        <w:t>Okrah AK et al.  ·  Age Ageing  ·  03.08.2026  ·  PMID 42878245</w:t>
      </w:r>
    </w:p>
    <w:p>
      <w:r>
        <w:t>Internationale Expertengruppe entwickelt erste formale Definition der psychologischen Schäden nach Stürzen älterer Menschen.</w:t>
      </w:r>
    </w:p>
    <w:p>
      <w:r>
        <w:rPr>
          <w:b/>
        </w:rPr>
        <w:t xml:space="preserve">Ergebnis: </w:t>
      </w:r>
      <w:r>
        <w:t>93 % (28/30) der Panel-Mitglieder bestätigten Bedarf für eine formale Definition. Konsensus erreicht in Runde 4 (n=48, 77,4%), stabilisiert in Runde 5 (n=49, 86,0%). Psychologische Sturzfolgen definiert als emotionale, verhaltensbezogene und psychische Konsequenzen nach Sturz oder Sturzangst, mit Beispielen Sturzsorge (89%) und Aktivitätsvermeidung (82%).</w:t>
      </w:r>
    </w:p>
    <w:p>
      <w:r>
        <w:rPr>
          <w:b/>
          <w:sz w:val="19"/>
        </w:rPr>
        <w:t xml:space="preserve">Übertragbarkeit: </w:t>
      </w:r>
      <w:r>
        <w:rPr>
          <w:sz w:val="19"/>
        </w:rPr>
        <w:t>UK, Australien, Deutschland – Sturzprävention ist universelle Versorgungsfrage.</w:t>
      </w:r>
    </w:p>
    <w:p>
      <w:r>
        <w:rPr>
          <w:color w:val="5A7D3A"/>
          <w:sz w:val="18"/>
        </w:rPr>
        <w:t>https://pubmed.ncbi.nlm.nih.gov/42878245/</w:t>
      </w:r>
    </w:p>
    <w:p>
      <w:pPr>
        <w:pStyle w:val="Heading2"/>
      </w:pPr>
      <w:r>
        <w:t>Soziale Teilhabe stärker mit gesundem Altern verbunden als einzelne Verhaltensweisen</w:t>
      </w:r>
    </w:p>
    <w:p>
      <w:r>
        <w:rPr>
          <w:i/>
          <w:color w:val="666666"/>
          <w:sz w:val="18"/>
        </w:rPr>
        <w:t>Sahab L et al.  ·  Front Public Health  ·  30.09.2026  ·  PMID 42876511</w:t>
      </w:r>
    </w:p>
    <w:p>
      <w:r>
        <w:t>Longitudinale Analyse von 9.748 älteren Amerikanern über 10 Jahre prüft, welche Faktoren mit Freiheit von Behinderung, kognitiver Intaktheit und hoher Funktionsfähigkeit im Alter assoziiert sind.</w:t>
      </w:r>
    </w:p>
    <w:p>
      <w:r>
        <w:rPr>
          <w:b/>
        </w:rPr>
        <w:t xml:space="preserve">Ergebnis: </w:t>
      </w:r>
      <w:r>
        <w:t>Soziale Teilhabe 2006 signifikant assoziiert mit gesundem Altern 2016 (Schätzer 0,09, 95%-KI 0,08–0,11). Körperliche Aktivität zeigte stärkste Assoziation (0,31, 95%-KI 0,29–0,33). Gesundes Altern 2010 prädiktiv für 2016 (0,46, 95%-KI 0,45–0,47). Soziale Teilhabe ist Schlüsselfaktor für Healthy Ageing neben etablierten Verhaltensweisen.</w:t>
      </w:r>
    </w:p>
    <w:p>
      <w:r>
        <w:rPr>
          <w:b/>
          <w:sz w:val="19"/>
        </w:rPr>
        <w:t xml:space="preserve">Übertragbarkeit: </w:t>
      </w:r>
      <w:r>
        <w:rPr>
          <w:sz w:val="19"/>
        </w:rPr>
        <w:t>USA, Datenbasis Health and Retirement Study – Sozialsystem unterscheidet sich; Kernbefund zu sozialer Teilhabe aber universell relevant.</w:t>
      </w:r>
    </w:p>
    <w:p>
      <w:r>
        <w:rPr>
          <w:color w:val="5A7D3A"/>
          <w:sz w:val="18"/>
        </w:rPr>
        <w:t>https://pubmed.ncbi.nlm.nih.gov/42876511/</w:t>
      </w:r>
    </w:p>
    <w:p>
      <w:pPr>
        <w:pStyle w:val="Heading2"/>
      </w:pPr>
      <w:r>
        <w:t>Frailty-Assessment in Alzheimer-Therapieentscheidungen: Expertenkonsens</w:t>
      </w:r>
    </w:p>
    <w:p>
      <w:r>
        <w:rPr>
          <w:i/>
          <w:color w:val="666666"/>
          <w:sz w:val="18"/>
        </w:rPr>
        <w:t>Bellelli G et al.  ·  J Prev Alzheimers Dis  ·  04.09.2026  ·  PMID 42697176</w:t>
      </w:r>
    </w:p>
    <w:p>
      <w:r>
        <w:t>Europäische und internationale Expertengruppe empfiehlt systematische Frailty-Bewertung bei Auswahl von Disease-modifying-Therapien im Alter.</w:t>
      </w:r>
    </w:p>
    <w:p>
      <w:r>
        <w:rPr>
          <w:b/>
        </w:rPr>
        <w:t xml:space="preserve">Ergebnis: </w:t>
      </w:r>
      <w:r>
        <w:t>Frailty betrifft etwa ein Drittel der Alzheimer-Patienten. Frailty ist assoziiert mit höherer Krankheitsaktivität, schlechterer Funktionsfähigkeit, mehr Depressionen, Schmerzen und Mortalität – unabhängig von klassischen Risikofaktoren. Empfehlung: regelmäßiges Frailty-Assessment in Klinik und Studien; Arzneimitteloptimierung und körperliche Aktivität können Frailty möglicherweise verbessern.</w:t>
      </w:r>
    </w:p>
    <w:p>
      <w:r>
        <w:rPr>
          <w:b/>
          <w:sz w:val="19"/>
        </w:rPr>
        <w:t xml:space="preserve">Übertragbarkeit: </w:t>
      </w:r>
      <w:r>
        <w:rPr>
          <w:sz w:val="19"/>
        </w:rPr>
        <w:t>Europäische Versorgungssysteme (Italien, UK, Frankreich, Schweiz, Skandinavien, Irland); direkt auf deutsches Setting übertragbar.</w:t>
      </w:r>
    </w:p>
    <w:p>
      <w:r>
        <w:rPr>
          <w:color w:val="5A7D3A"/>
          <w:sz w:val="18"/>
        </w:rPr>
        <w:t>https://pubmed.ncbi.nlm.nih.gov/42697176/</w:t>
      </w:r>
    </w:p>
    <w:p>
      <w:pPr>
        <w:pStyle w:val="Heading2"/>
      </w:pPr>
      <w:r>
        <w:t>Kognitiver Abbau beginnt bereits in den 30ern: Längsschnittpool aus drei Kontinenten</w:t>
      </w:r>
    </w:p>
    <w:p>
      <w:r>
        <w:rPr>
          <w:i/>
          <w:color w:val="666666"/>
          <w:sz w:val="18"/>
        </w:rPr>
        <w:t>Novotný JS et al.  ·  J Prev Alzheimers Dis  ·  07.08.2026  ·  PMID 42566820</w:t>
      </w:r>
    </w:p>
    <w:p>
      <w:r>
        <w:t>Gepoolte Längsschnittstudie mit 14.389 Erwachsenen aus China, USA und Tschechien identifiziert Alter des Beginns messbarer kognitiver Abnahme und ihre Trajektorien.</w:t>
      </w:r>
    </w:p>
    <w:p>
      <w:r>
        <w:rPr>
          <w:b/>
        </w:rPr>
        <w:t xml:space="preserve">Ergebnis: </w:t>
      </w:r>
      <w:r>
        <w:t>Messbarer kognitiver Abbau erste Mal in der Altersgruppe 31–40 Jahre erkannt (durchschnittliche Änderung −1,2 Punkte, 95%-KI −2,1 bis −0,3). Abnahmemagnitude stieg progressiv mit Alter, erreichte −11,4 Punkte in ältesten Gruppe (alle p&lt;0,001). Nicht-Gedächtnisdomänen zeigten frühere Anfälligkeit (ab 31 Jahre), signifikanter Gedächtnisabbau erst nach 50. Individuelle Trajektorien zeigen hohe Heterogenität; chronologisches Alter ist kein deterministischer Proxy für Abbau. Befunde unterstützen Lebenskurs-Ansätze zur Gehirngesundheit.</w:t>
      </w:r>
    </w:p>
    <w:p>
      <w:r>
        <w:rPr>
          <w:b/>
          <w:sz w:val="19"/>
        </w:rPr>
        <w:t xml:space="preserve">Übertragbarkeit: </w:t>
      </w:r>
      <w:r>
        <w:rPr>
          <w:sz w:val="19"/>
        </w:rPr>
        <w:t>Asien, Nordamerika, Europa – Datenkohärenz über drei Kontinente; universell für frühe Überwachung relevant.</w:t>
      </w:r>
    </w:p>
    <w:p>
      <w:r>
        <w:rPr>
          <w:color w:val="5A7D3A"/>
          <w:sz w:val="18"/>
        </w:rPr>
        <w:t>https://pubmed.ncbi.nlm.nih.gov/42566820/</w:t>
      </w:r>
    </w:p>
    <w:p>
      <w:pPr>
        <w:pStyle w:val="Heading1"/>
      </w:pPr>
      <w:r>
        <w:t>Aufgenommen am 15.10.2026</w:t>
      </w:r>
    </w:p>
    <w:p>
      <w:pPr>
        <w:pStyle w:val="Heading2"/>
      </w:pPr>
      <w:r>
        <w:t>Blutmetaboliten als Sterblichkeitsuhr: Beschleunigte Metabolomic-Alterung erhöht Mortalität um 60%</w:t>
      </w:r>
    </w:p>
    <w:p>
      <w:r>
        <w:rPr>
          <w:i/>
          <w:color w:val="666666"/>
          <w:sz w:val="18"/>
        </w:rPr>
        <w:t>Cao L et al.  ·  Sci Transl Med  ·  14.10.2026  ·  PMID 42873893</w:t>
      </w:r>
    </w:p>
    <w:p>
      <w:r>
        <w:t>Entwicklung von Metabolomic-Alterungsuhr (mAA) und Mortalitäts-Metrik (Age Deviation) an 18.476 Chinesen (Alter 1–96 Jahre) mittels Plasma-Metabolom-Profiling über 6 Jahre Nachbeobachtung (2019–2025).</w:t>
      </w:r>
    </w:p>
    <w:p>
      <w:r>
        <w:rPr>
          <w:b/>
        </w:rPr>
        <w:t xml:space="preserve">Ergebnis: </w:t>
      </w:r>
      <w:r>
        <w:t>56 altersassoziierte Metabolite wurden identifiziert. Höhere mAA war assoziiert mit Gesundheitsverschlechterung, ungünstigen Lebensstilen und erhöhtem Risiko für chronische Erkrankungen (Fettleber, Hypertonie, Diabetes) sowie All-Cause-Mortalität während Follow-up. Age Deviation (Abweichung vom alterserwarteten Mortalitätsrisiko) korrelierte mit etablierten Gesundheitsmessgrößen und Multimorbidität. Plasma-Metabolomic-Profile könnten als skalierbare, lebensumfassende Methode zur Risikoschichtung verwendet werden.</w:t>
      </w:r>
    </w:p>
    <w:p>
      <w:r>
        <w:rPr>
          <w:b/>
          <w:sz w:val="19"/>
        </w:rPr>
        <w:t xml:space="preserve">Übertragbarkeit: </w:t>
      </w:r>
      <w:r>
        <w:rPr>
          <w:sz w:val="19"/>
        </w:rPr>
        <w:t>China; Metabolomic-Biomarker erfordern Validierung in europäischen Kohorten</w:t>
      </w:r>
    </w:p>
    <w:p>
      <w:r>
        <w:rPr>
          <w:color w:val="5A7D3A"/>
          <w:sz w:val="18"/>
        </w:rPr>
        <w:t>https://pubmed.ncbi.nlm.nih.gov/42873893/</w:t>
      </w:r>
    </w:p>
    <w:p>
      <w:pPr>
        <w:pStyle w:val="Heading2"/>
      </w:pPr>
      <w:r>
        <w:t>Frailty und Hypoalbuminämie als Prädiktoren für Funktionsverlust nach Schlaganfall</w:t>
      </w:r>
    </w:p>
    <w:p>
      <w:r>
        <w:rPr>
          <w:i/>
          <w:color w:val="666666"/>
          <w:sz w:val="18"/>
        </w:rPr>
        <w:t>Yang J et al.  ·  Nurs Open  ·  Okt. 2026  ·  PMID 42872623</w:t>
      </w:r>
    </w:p>
    <w:p>
      <w:r>
        <w:t>Prospektive Kohortenstudie an 175 Schlaganfallpatienten, die untersuchte, ob Hypoalbuminämie die Beziehung zwischen Gebrechlichkeit und schlechtem funktionellem Outcome vermittelt.</w:t>
      </w:r>
    </w:p>
    <w:p>
      <w:r>
        <w:rPr>
          <w:b/>
        </w:rPr>
        <w:t xml:space="preserve">Ergebnis: </w:t>
      </w:r>
      <w:r>
        <w:t>Von 175 Patienten waren 29,7% gebrechlich und 36,6% entwickelten Hypoalbuminämie. Gebrechlichkeit war assoziiert mit schlechtem Outcome (mRS &gt;3) bei Entlassung (RR 1,56; 95% KI 1,12–2,16), nach 30 Tagen (RR 2,02; 95% KI 1,41–2,89) und nach 90 Tagen (RR 2,79; 95% KI 1,81–4,30). Hypoalbuminämie vermittelte diese Assoziation teilweise mit Anteilen von 22,2% (Entlassung), 16,9% (30 Tage) und 14,0% (90 Tage). Das Frailty-Screening und Albuminmonitoring können frühe Risikostratifizierung ermöglichen.</w:t>
      </w:r>
    </w:p>
    <w:p>
      <w:r>
        <w:rPr>
          <w:b/>
          <w:sz w:val="19"/>
        </w:rPr>
        <w:t xml:space="preserve">Übertragbarkeit: </w:t>
      </w:r>
      <w:r>
        <w:rPr>
          <w:sz w:val="19"/>
        </w:rPr>
        <w:t>China-Daten, aber Frailty-Assessment und Ernährungsmonitoring sind universal anwendbar</w:t>
      </w:r>
    </w:p>
    <w:p>
      <w:r>
        <w:rPr>
          <w:color w:val="5A7D3A"/>
          <w:sz w:val="18"/>
        </w:rPr>
        <w:t>https://pubmed.ncbi.nlm.nih.gov/42872623/</w:t>
      </w:r>
    </w:p>
    <w:p>
      <w:pPr>
        <w:pStyle w:val="Heading2"/>
      </w:pPr>
      <w:r>
        <w:t>Neurotoxische Berufsexpositionen beschleunigen Gehirnalterung: Scoping Review zu Kognitiver Reserve</w:t>
      </w:r>
    </w:p>
    <w:p>
      <w:r>
        <w:rPr>
          <w:i/>
          <w:color w:val="666666"/>
          <w:sz w:val="18"/>
        </w:rPr>
        <w:t>Leton N et al.  ·  Front Public Health  ·  29.09.2026  ·  PMID 42871458</w:t>
      </w:r>
    </w:p>
    <w:p>
      <w:r>
        <w:t>Systematische Scoping Review (16 Studien, 2011–2026) zur Assoziation beruflicher Neurotoxinexpositionen (Blei, Aluminium, Lösungsmittel) mit kognitiven Defiziten und Gehirnalterung.</w:t>
      </w:r>
    </w:p>
    <w:p>
      <w:r>
        <w:rPr>
          <w:b/>
        </w:rPr>
        <w:t xml:space="preserve">Ergebnis: </w:t>
      </w:r>
      <w:r>
        <w:t>Studien zeigten durchgehend Assoziationen zwischen Exposition (Blei, Lösungsmittel, Verbrennungsprodukte) und kognitiven oder neurologischen Defiziten relevant für Gehirnalterung. Häufigste Outcomes: Kognitive Abnahme/Beeinträchtigung; Neuroimaging-Befunde: funktionelle Konnektivität, Weiße-Substanz-Veränderungen, kortikale Dicke und Hirnvolumenreduktion. Kognitive Reserve wurde inkonsistent operationalisiert (Bildung, biologische Anfälligkeit, Neuroimaging-Marker). China war am häufigsten vertreten, Evidenz aus anderen ressourcenlimitierten Regionen begrenzt.</w:t>
      </w:r>
    </w:p>
    <w:p>
      <w:r>
        <w:rPr>
          <w:b/>
          <w:sz w:val="19"/>
        </w:rPr>
        <w:t xml:space="preserve">Übertragbarkeit: </w:t>
      </w:r>
      <w:r>
        <w:rPr>
          <w:sz w:val="19"/>
        </w:rPr>
        <w:t>Internationale Berufsgesundheit; Deutschland mit vergleichbarer Expositionserfassung</w:t>
      </w:r>
    </w:p>
    <w:p>
      <w:r>
        <w:rPr>
          <w:color w:val="5A7D3A"/>
          <w:sz w:val="18"/>
        </w:rPr>
        <w:t>https://pubmed.ncbi.nlm.nih.gov/42871458/</w:t>
      </w:r>
    </w:p>
    <w:p>
      <w:pPr>
        <w:pStyle w:val="Heading2"/>
      </w:pPr>
      <w:r>
        <w:t>Altersstigma fördert Depression im Alter: Soziale Unterstützung als Schutzfaktor</w:t>
      </w:r>
    </w:p>
    <w:p>
      <w:r>
        <w:rPr>
          <w:i/>
          <w:color w:val="666666"/>
          <w:sz w:val="18"/>
        </w:rPr>
        <w:t>Karasoy G et al.  ·  Psychogeriatrics  ·  Nov. 2026  ·  PMID 42870687</w:t>
      </w:r>
    </w:p>
    <w:p>
      <w:r>
        <w:t>Querschnittstudie an 162 Personen ab 65 Jahren zur Assoziation von internalisiertem Altersstigma und wahrgenommener sozialer Unterstützung mit depressiven Symptomen.</w:t>
      </w:r>
    </w:p>
    <w:p>
      <w:r>
        <w:rPr>
          <w:b/>
        </w:rPr>
        <w:t xml:space="preserve">Ergebnis: </w:t>
      </w:r>
      <w:r>
        <w:t>Höheres Altersstigma war assoziiert mit höheren depressiven Symptomen (β=0,205; 95% KI 0,099–0,311), höhere soziale Unterstützung mit niedrigeren Symptomen (β=−0,506; 95% KI −0,636 bis −0,375). Die Interaktion war signifikant (B=−0,002; 95% KI −0,003 bis −0,001; p&lt;0,001): Altersstigma war nur bei niedriger bis mittlerer sozialer Unterstützung mit Depression assoziiert, nicht bei hoher Unterstützung. Soziale Ressourcen puffern den negativen Effekt von Altersstereotypen.</w:t>
      </w:r>
    </w:p>
    <w:p>
      <w:r>
        <w:rPr>
          <w:b/>
          <w:sz w:val="19"/>
        </w:rPr>
        <w:t xml:space="preserve">Übertragbarkeit: </w:t>
      </w:r>
      <w:r>
        <w:rPr>
          <w:sz w:val="19"/>
        </w:rPr>
        <w:t>Türkei; Psychosoziale Mechanismen universal, aber Sozialversicherung unterschiedlich</w:t>
      </w:r>
    </w:p>
    <w:p>
      <w:r>
        <w:rPr>
          <w:color w:val="5A7D3A"/>
          <w:sz w:val="18"/>
        </w:rPr>
        <w:t>https://pubmed.ncbi.nlm.nih.gov/42870687/</w:t>
      </w:r>
    </w:p>
    <w:p>
      <w:pPr>
        <w:pStyle w:val="Heading2"/>
      </w:pPr>
      <w:r>
        <w:t>Sozioräumliche Ungleichheit und vorzeitige Alterung: Schwarze Amerikaner mit 5- bis 6-fach höherer Exposition</w:t>
      </w:r>
    </w:p>
    <w:p>
      <w:r>
        <w:rPr>
          <w:i/>
          <w:color w:val="666666"/>
          <w:sz w:val="18"/>
        </w:rPr>
        <w:t>Martin CL et al.  ·  J Gerontol B Psychol Sci Soc Sci  ·  01.10.2026  ·  PMID 42837511</w:t>
      </w:r>
    </w:p>
    <w:p>
      <w:r>
        <w:t>Analyse der National Longitudinal Study of Adolescent to Adult Health (Add Health), die umfangreiche, zeitvariable sozioräumliche Indikatoren (Wohnen, Justiz, Gewalt, Wirtschaft) mit geografischen Ebenen verknüpfte, um Altersungleichheiten vom Jugendalter (12–20 Jahre) bis ins frühe mittlere Alter (33–42 Jahre) zu dokumentieren.</w:t>
      </w:r>
    </w:p>
    <w:p>
      <w:r>
        <w:rPr>
          <w:b/>
        </w:rPr>
        <w:t xml:space="preserve">Ergebnis: </w:t>
      </w:r>
      <w:r>
        <w:t>Erhebliche und persistente Black-White-Disparitäten über alle Bereiche hinweg: Schwarze Befragte lebten signifikant häufiger in Counties mit höherer Zwangsräumungsquote, ökonomischer Segregation, höherer Haftquote und mehr Hate-Crime-Vorfällen. Schwarze Befragte lebten zudem in Bundesstaaten mit höherer historischer Lynchjustiz-Gewalt. Diese Messungen ermöglichen die Identifikation von Life-Course-Pfaden gesundheitlicher Ungleichheit.</w:t>
      </w:r>
    </w:p>
    <w:p>
      <w:r>
        <w:rPr>
          <w:b/>
          <w:sz w:val="19"/>
        </w:rPr>
        <w:t xml:space="preserve">Übertragbarkeit: </w:t>
      </w:r>
      <w:r>
        <w:rPr>
          <w:sz w:val="19"/>
        </w:rPr>
        <w:t>USA-Studie; Konzept der strukturellen Determinanten auf DACH übertragbar, aber Ausprägung völlig anders</w:t>
      </w:r>
    </w:p>
    <w:p>
      <w:r>
        <w:rPr>
          <w:color w:val="5A7D3A"/>
          <w:sz w:val="18"/>
        </w:rPr>
        <w:t>https://pubmed.ncbi.nlm.nih.gov/42837511/</w:t>
      </w:r>
    </w:p>
    <w:p>
      <w:pPr>
        <w:pStyle w:val="Heading2"/>
      </w:pPr>
      <w:r>
        <w:t>Geschlechtsspezifische Osteoporose-Progression: Knochendichteverlust ab 56 Jahren bei Männern, ab 64 Jahren bei Frauen</w:t>
      </w:r>
    </w:p>
    <w:p>
      <w:r>
        <w:rPr>
          <w:i/>
          <w:color w:val="666666"/>
          <w:sz w:val="18"/>
        </w:rPr>
        <w:t>Schröder G et al.  ·  PLoS One  ·  28.09.2026  ·  PMID 42804446</w:t>
      </w:r>
    </w:p>
    <w:p>
      <w:r>
        <w:t>Retrospektive Analyse von 71 CT-Aufnahmen der Wirbelsäule (C3–L5, Alter 4–102 Jahre) zur Quantifizierung altersbezogener Knochendichteverluste.</w:t>
      </w:r>
    </w:p>
    <w:p>
      <w:r>
        <w:rPr>
          <w:b/>
        </w:rPr>
        <w:t xml:space="preserve">Ergebnis: </w:t>
      </w:r>
      <w:r>
        <w:t>Hounsfield-Einheiten (HU) nahmen mit dem Alter ab (p&lt;0,001), mit ausgeprägtem Rückgang nach dem 60. Lebensjahr. Regressionsanalysen zeigten zwei Phasen des Dichteverlusts: bei Frauen später eintretend (nach 64 Jahren) als bei Männern (nach 56 Jahren, p&lt;0,001). HU-Werte korrelierten mit Knochenmineraldichte (r=0,86; 95% KI 0,72–0,94) und Knochenvolumenanteil (r=0,51; 95% KI 0,17–0,75). Ergebnisse unterstreichen Bedarf für geschlechtsspezifische Osteoporose-Prävention.</w:t>
      </w:r>
    </w:p>
    <w:p>
      <w:r>
        <w:rPr>
          <w:b/>
          <w:sz w:val="19"/>
        </w:rPr>
        <w:t xml:space="preserve">Übertragbarkeit: </w:t>
      </w:r>
      <w:r>
        <w:rPr>
          <w:sz w:val="19"/>
        </w:rPr>
        <w:t>Deutsche Kliniken mit CT-Daten vergleichbar; Altersgradienten international übertragbar</w:t>
      </w:r>
    </w:p>
    <w:p>
      <w:r>
        <w:rPr>
          <w:color w:val="5A7D3A"/>
          <w:sz w:val="18"/>
        </w:rPr>
        <w:t>https://pubmed.ncbi.nlm.nih.gov/42804446/</w:t>
      </w:r>
    </w:p>
    <w:p>
      <w:pPr>
        <w:pStyle w:val="Heading1"/>
      </w:pPr>
      <w:r>
        <w:t>Aufgenommen am 14.10.2026</w:t>
      </w:r>
    </w:p>
    <w:p>
      <w:pPr>
        <w:pStyle w:val="Heading2"/>
      </w:pPr>
      <w:r>
        <w:t>Schlafqualität als Vermittler zwischen Frailty und kognitiver Beeinträchtigung</w:t>
      </w:r>
    </w:p>
    <w:p>
      <w:r>
        <w:rPr>
          <w:i/>
          <w:color w:val="666666"/>
          <w:sz w:val="18"/>
        </w:rPr>
        <w:t>Chen L et al.  ·  Nurs Open  ·  Okt. 2026  ·  PMID 42868268</w:t>
      </w:r>
    </w:p>
    <w:p>
      <w:r>
        <w:t>Querschnittstudie an 2.830 Personen ab 60 Jahren in China untersuchte, ob Schlafqualität die Beziehung zwischen körperlicher Gebrechlichkeit (Frailty) und kognitiver Beeinträchtigung erklärt.</w:t>
      </w:r>
    </w:p>
    <w:p>
      <w:r>
        <w:rPr>
          <w:b/>
        </w:rPr>
        <w:t xml:space="preserve">Ergebnis: </w:t>
      </w:r>
      <w:r>
        <w:t>Kognitive Beeinträchtigung lag bei 21,77% vor. Schlafqualität vermittelte partiell die Beziehung zwischen Frailty und kognitiver Beeinträchtigung und erklärte 12,37 % des Gesamteffekts. Bessere Schlafqualität senkte signifikant das Risiko für kognitiven Verfall bei gebrechlichen älteren Menschen.</w:t>
      </w:r>
    </w:p>
    <w:p>
      <w:r>
        <w:rPr>
          <w:b/>
          <w:sz w:val="19"/>
        </w:rPr>
        <w:t xml:space="preserve">Übertragbarkeit: </w:t>
      </w:r>
      <w:r>
        <w:rPr>
          <w:sz w:val="19"/>
        </w:rPr>
        <w:t>China, aber Frailty-Screening und Schlafintervention sind geriatrischer Standard überall.</w:t>
      </w:r>
    </w:p>
    <w:p>
      <w:r>
        <w:rPr>
          <w:color w:val="5A7D3A"/>
          <w:sz w:val="18"/>
        </w:rPr>
        <w:t>https://pubmed.ncbi.nlm.nih.gov/42868268/</w:t>
      </w:r>
    </w:p>
    <w:p>
      <w:pPr>
        <w:pStyle w:val="Heading2"/>
      </w:pPr>
      <w:r>
        <w:t>Strukturelles Training und kognitive Aktivitäten verlängern demenzfreie Lebensjahre</w:t>
      </w:r>
    </w:p>
    <w:p>
      <w:r>
        <w:rPr>
          <w:i/>
          <w:color w:val="666666"/>
          <w:sz w:val="18"/>
        </w:rPr>
        <w:t>Li X et al.  ·  Alzheimers Dement  ·  Okt. 2026  ·  PMID 42867075</w:t>
      </w:r>
    </w:p>
    <w:p>
      <w:r>
        <w:t>Vierjährige prospektive Kohortenstudie (vier internationale Kohorten) untersuchte, wie körperliche Aktivität und kognitiv-soziale Aktivitäten zusammenhängen und die demenzfreie Lebenserwartung ab 50 Jahren beeinflussen.</w:t>
      </w:r>
    </w:p>
    <w:p>
      <w:r>
        <w:rPr>
          <w:b/>
        </w:rPr>
        <w:t xml:space="preserve">Ergebnis: </w:t>
      </w:r>
      <w:r>
        <w:t>Demenzfreie Lebenserwartung ab 50 Jahren betrug 17,5 Jahre (niedrig-niedrig), 23,2 Jahre (hoch-niedrig), 20,1 Jahre (niedrig-hoch) und 24,7 Jahre (hoch-hoch). Strukturelles Training und kognitiv-soziale Aktivitäten zeigten kombinierte, nicht austauschbare Vorteile – beide Faktoren sind erforderlich für optimale kognitive Alterung.</w:t>
      </w:r>
    </w:p>
    <w:p>
      <w:r>
        <w:rPr>
          <w:b/>
          <w:sz w:val="19"/>
        </w:rPr>
        <w:t xml:space="preserve">Übertragbarkeit: </w:t>
      </w:r>
      <w:r>
        <w:rPr>
          <w:sz w:val="19"/>
        </w:rPr>
        <w:t>Vier Kohorten aus Asien, Nordamerika, Europa; Befunde gelten kulturübergreifend.</w:t>
      </w:r>
    </w:p>
    <w:p>
      <w:r>
        <w:rPr>
          <w:color w:val="5A7D3A"/>
          <w:sz w:val="18"/>
        </w:rPr>
        <w:t>https://pubmed.ncbi.nlm.nih.gov/42867075/</w:t>
      </w:r>
    </w:p>
    <w:p>
      <w:pPr>
        <w:pStyle w:val="Heading2"/>
      </w:pPr>
      <w:r>
        <w:t>Soziale Unterstützung mildert Frailty-Effekte auf Kognition im Krankenhaus</w:t>
      </w:r>
    </w:p>
    <w:p>
      <w:r>
        <w:rPr>
          <w:i/>
          <w:color w:val="666666"/>
          <w:sz w:val="18"/>
        </w:rPr>
        <w:t>Dai J et al.  ·  Front Public Health  ·  28.09.2026  ·  PMID 42865808</w:t>
      </w:r>
    </w:p>
    <w:p>
      <w:r>
        <w:t>Querschnittstudie an 1.611 hospitalisierten Personen ≥60 Jahren untersuchte, wie Frailty auf Kognition wirkt und ob soziale Unterstützung diese Beziehung puffert.</w:t>
      </w:r>
    </w:p>
    <w:p>
      <w:r>
        <w:rPr>
          <w:b/>
        </w:rPr>
        <w:t xml:space="preserve">Ergebnis: </w:t>
      </w:r>
      <w:r>
        <w:t>Der Gesamteffekt von Frailty auf niedrigere kognitive Scores war statistisch nicht signifikant (p&gt;0,05), aber der indirekte Effekt über Depressionen und eingeschränkte Alltagsfunktionen erklärte 88,8 % der Assoziation. Soziale Unterstützung moderierte den Frailty-BADL-Link (B=0,120, p&lt;0,001) und den GDS-MMSE-Link (B=0,014, p=0,004) signifikant.</w:t>
      </w:r>
    </w:p>
    <w:p>
      <w:r>
        <w:rPr>
          <w:b/>
          <w:sz w:val="19"/>
        </w:rPr>
        <w:t xml:space="preserve">Übertragbarkeit: </w:t>
      </w:r>
      <w:r>
        <w:rPr>
          <w:sz w:val="19"/>
        </w:rPr>
        <w:t>China; Versorgungsmodell mit geriatrischem Assessment in Kliniken vergleichbar.</w:t>
      </w:r>
    </w:p>
    <w:p>
      <w:r>
        <w:rPr>
          <w:color w:val="5A7D3A"/>
          <w:sz w:val="18"/>
        </w:rPr>
        <w:t>https://pubmed.ncbi.nlm.nih.gov/42865808/</w:t>
      </w:r>
    </w:p>
    <w:p>
      <w:pPr>
        <w:pStyle w:val="Heading2"/>
      </w:pPr>
      <w:r>
        <w:t>Schmerz vorhersagt Frailty-Entstehung bei Fettlebererkrankung deutlich</w:t>
      </w:r>
    </w:p>
    <w:p>
      <w:r>
        <w:rPr>
          <w:i/>
          <w:color w:val="666666"/>
          <w:sz w:val="18"/>
        </w:rPr>
        <w:t>Hu H et al.  ·  Front Endocrinol (Lausanne)  ·  28.09.2026  ·  PMID 42865368</w:t>
      </w:r>
    </w:p>
    <w:p>
      <w:r>
        <w:t>Prospektive Kohortenstudie mit 3.622 CHARLS- und 2.059 ELSA-Teilnehmern (7–8 Jahre Follow-up) untersuchte, ob Schmerz ein stärkerer Prädiktor für Frailty-Neuauftreten ist als andere Faktoren und ob Depressionen die Wirkung vermitteln.</w:t>
      </w:r>
    </w:p>
    <w:p>
      <w:r>
        <w:rPr>
          <w:b/>
        </w:rPr>
        <w:t xml:space="preserve">Ergebnis: </w:t>
      </w:r>
      <w:r>
        <w:t>Schmerz war der stärkste Prädiktor für neue Frailty. Nach vollständiger Anpassung (mit Basis-Frailty-Index) zeigte Schmerz in CHARLS HR 1,219 (95%-CI 1,085–1,368) und in ELSA HR 1,310 (95%-CI 1,114–1,539). Die Bevölkerungsattributable Fraktion betrug 8,01 % (CHARLS) und 11,98 % (ELSA). Depressionen vermittelten 74,0 % (CHARLS) und 46,1 % (ELSA) des Gesamteffekts.</w:t>
      </w:r>
    </w:p>
    <w:p>
      <w:r>
        <w:rPr>
          <w:b/>
          <w:sz w:val="19"/>
        </w:rPr>
        <w:t xml:space="preserve">Übertragbarkeit: </w:t>
      </w:r>
      <w:r>
        <w:rPr>
          <w:sz w:val="19"/>
        </w:rPr>
        <w:t>China (CHARLS) und Großbritannien (ELSA); externe Validierung erhöht Übertragbarkeit.</w:t>
      </w:r>
    </w:p>
    <w:p>
      <w:r>
        <w:rPr>
          <w:color w:val="5A7D3A"/>
          <w:sz w:val="18"/>
        </w:rPr>
        <w:t>https://pubmed.ncbi.nlm.nih.gov/42865368/</w:t>
      </w:r>
    </w:p>
    <w:p>
      <w:pPr>
        <w:pStyle w:val="Heading2"/>
      </w:pPr>
      <w:r>
        <w:t>Chronische Einsamkeit verschlechtert Gesundheit und Funktionsfähigkeit älterer Menschen</w:t>
      </w:r>
    </w:p>
    <w:p>
      <w:r>
        <w:rPr>
          <w:i/>
          <w:color w:val="666666"/>
          <w:sz w:val="18"/>
        </w:rPr>
        <w:t>Ma Y et al.  ·  Nat Commun  ·  11.09.2026  ·  PMID 42864355</w:t>
      </w:r>
    </w:p>
    <w:p>
      <w:r>
        <w:t>Längsschnittstudie an 4.090 älteren Personen aus der English Longitudinal Study of Ageing untersuchte, wie chronische Einsamkeit und soziale Isolation mit 17 Gesundheitsergebnissen zusammenhängen.</w:t>
      </w:r>
    </w:p>
    <w:p>
      <w:r>
        <w:rPr>
          <w:b/>
        </w:rPr>
        <w:t xml:space="preserve">Ergebnis: </w:t>
      </w:r>
      <w:r>
        <w:t>Chronische Einsamkeit war mit schlechterer allgemeiner Gesundheit, reduzierter Funktionsfähigkeit und beeinträchtigtem psychischem Wohlbefinden sowie mehr gesundheitsschädlichen Verhaltensweisen assoziiert. Chronische Isolation und Isolationsbeginn waren mit niedrigerer Lebensqualität verbunden; Isolationsremission zeigte positive Effekte auf Wohlbefinden und Kognition gegenüber persistierender Isolation.</w:t>
      </w:r>
    </w:p>
    <w:p>
      <w:r>
        <w:rPr>
          <w:b/>
          <w:sz w:val="19"/>
        </w:rPr>
        <w:t xml:space="preserve">Übertragbarkeit: </w:t>
      </w:r>
      <w:r>
        <w:rPr>
          <w:sz w:val="19"/>
        </w:rPr>
        <w:t>England; europäisches Versorgungssystem, vergleichbares Gesundheitswesen und Sozialstrukturen.</w:t>
      </w:r>
    </w:p>
    <w:p>
      <w:r>
        <w:rPr>
          <w:color w:val="5A7D3A"/>
          <w:sz w:val="18"/>
        </w:rPr>
        <w:t>https://pubmed.ncbi.nlm.nih.gov/42864355/</w:t>
      </w:r>
    </w:p>
    <w:p>
      <w:pPr>
        <w:pStyle w:val="Heading2"/>
      </w:pPr>
      <w:r>
        <w:t>Neue nationale Studie zeigt erhebliche Gesundheitsdefizite bei US-Midlife-Adulten</w:t>
      </w:r>
    </w:p>
    <w:p>
      <w:r>
        <w:rPr>
          <w:i/>
          <w:color w:val="666666"/>
          <w:sz w:val="18"/>
        </w:rPr>
        <w:t>Hummer RA et al.  ·  J Gerontol B Psychol Sci Soc Sci  ·  01.10.2026  ·  PMID 42837512</w:t>
      </w:r>
    </w:p>
    <w:p>
      <w:r>
        <w:t>Wave VI der National Longitudinal Study of Adolescent to Adult Health (Add Health) beschreibt Gesundheit und biologische Aging-Marker an 11.979 Personen durchschnittlich 44 Jahre alt und dokumentiert erhebliche Unterschiede nach Rasse, Ethnizität und Bildung.</w:t>
      </w:r>
    </w:p>
    <w:p>
      <w:r>
        <w:rPr>
          <w:b/>
        </w:rPr>
        <w:t xml:space="preserve">Ergebnis: </w:t>
      </w:r>
      <w:r>
        <w:t>Von 11.979 befragten Personen hatten 49,9 % BMI ≥30 kg/m², 17 % berichteten aktuelle Depression. Breite Disparitäten bestanden in allen bewerteten Gesundheitsergebnissen nach Rasse/Ethnizität und Bildung. Wave VI lieferte 11.979 Umfragen, 6.073 Hausuntersuchungen und tausende kontextuelle und biologische Variablen für Lebensverlauf-Forschung.</w:t>
      </w:r>
    </w:p>
    <w:p>
      <w:r>
        <w:rPr>
          <w:b/>
          <w:sz w:val="19"/>
        </w:rPr>
        <w:t xml:space="preserve">Übertragbarkeit: </w:t>
      </w:r>
      <w:r>
        <w:rPr>
          <w:sz w:val="19"/>
        </w:rPr>
        <w:t>USA; Aussagen zu sozialen Unterschieden in Gesundheit übertragbar, Finanzierungssystem grundlegend anders.</w:t>
      </w:r>
    </w:p>
    <w:p>
      <w:r>
        <w:rPr>
          <w:color w:val="5A7D3A"/>
          <w:sz w:val="18"/>
        </w:rPr>
        <w:t>https://pubmed.ncbi.nlm.nih.gov/42837512/</w:t>
      </w:r>
    </w:p>
    <w:p>
      <w:pPr>
        <w:pStyle w:val="Heading1"/>
      </w:pPr>
      <w:r>
        <w:t>Aufgenommen am 13.10.2026</w:t>
      </w:r>
    </w:p>
    <w:p>
      <w:pPr>
        <w:pStyle w:val="Heading2"/>
      </w:pPr>
      <w:r>
        <w:t>Muskelabbau im Alter: Sozioökonomie, Ernährung und körperliche Aktivität beeinflussen Muskelmasse über 17 Jahre</w:t>
      </w:r>
    </w:p>
    <w:p>
      <w:r>
        <w:rPr>
          <w:i/>
          <w:color w:val="666666"/>
          <w:sz w:val="18"/>
        </w:rPr>
        <w:t>Suleiman A et al.  ·  Australas J Ageing  ·  Dez. 2026  ·  PMID 42861734</w:t>
      </w:r>
    </w:p>
    <w:p>
      <w:r>
        <w:t>Eine 17-jährige prospektive Kohortenstudie mit 3033 Teilnehmern identifizierte Faktoren, die die Muskelmasse im Alter beeinflussen.</w:t>
      </w:r>
    </w:p>
    <w:p>
      <w:r>
        <w:rPr>
          <w:b/>
        </w:rPr>
        <w:t xml:space="preserve">Ergebnis: </w:t>
      </w:r>
      <w:r>
        <w:t>Höheres Alter und weibliches Geschlecht waren mit niedrigerer appendikulärer Muskelmasse assoziiert (β = −0,07 pro Jahr; 95%-KI −0,08 bis −0,06). Positive Prädiktoren waren Sozialstatus (β = 0,33), Kalziumaufnahme (β = 0,46), Knochenmineraldichte (β = 0,38) und Schilddrüsenhormontherapie (β = 0,52). Körperliche Inaktivität (β = −0,48), Rauchen (β = −0,24) und Schlaganfall-Vorgeschichte (β = −0,51) waren mit geringerer Muskelmasse assoziiert. Die Ergebnisse zeigen modifizierbare Faktoren für den Erhalt der Muskelmasse in der Alterung.</w:t>
      </w:r>
    </w:p>
    <w:p>
      <w:r>
        <w:rPr>
          <w:b/>
          <w:sz w:val="19"/>
        </w:rPr>
        <w:t xml:space="preserve">Übertragbarkeit: </w:t>
      </w:r>
      <w:r>
        <w:rPr>
          <w:sz w:val="19"/>
        </w:rPr>
        <w:t>Australische prospektive Kohortendaten, vergleichbar mit europäischen Versorgungssettings</w:t>
      </w:r>
    </w:p>
    <w:p>
      <w:r>
        <w:rPr>
          <w:color w:val="5A7D3A"/>
          <w:sz w:val="18"/>
        </w:rPr>
        <w:t>https://pubmed.ncbi.nlm.nih.gov/42861734/</w:t>
      </w:r>
    </w:p>
    <w:p>
      <w:pPr>
        <w:pStyle w:val="Heading2"/>
      </w:pPr>
      <w:r>
        <w:t>Widerstandstraining bei älteren Männern: weniger Muskelaufbau trotz gleicher Trainingsbelastung</w:t>
      </w:r>
    </w:p>
    <w:p>
      <w:r>
        <w:rPr>
          <w:i/>
          <w:color w:val="666666"/>
          <w:sz w:val="18"/>
        </w:rPr>
        <w:t>Lewis DT et al.  ·  Physiol Rep  ·  Okt. 2026  ·  PMID 42860700</w:t>
      </w:r>
    </w:p>
    <w:p>
      <w:r>
        <w:t>Eine Studie mit 17 jüngeren und 15 älteren untrainierten Männern verglich Muskelaufbau und Proteinveränderungen nach 10–12 Wochen Widerstandstraining.</w:t>
      </w:r>
    </w:p>
    <w:p>
      <w:r>
        <w:rPr>
          <w:b/>
        </w:rPr>
        <w:t xml:space="preserve">Ergebnis: </w:t>
      </w:r>
      <w:r>
        <w:t>Trotz vergleichbarer Trainingsvolumina gewannen jüngere Männer mehr Muskelmasse (+2,73 kg vs. +1,18 kg; p = 0,009) und zeigten größere Zuwächse der Unterschenkeldicke (+0,49 cm vs. +0,20 cm; p = 0,002). Bei jüngeren Erwachsenen veränderte das Training 135 Proteine (FDR &lt; 0,05), bei älteren jedoch null. Die Proteom-Plastizität war bei älteren Männern komprimiert statt qualitativ verändert, was erklärt, warum der Muskelaufbau trotz Training geringer ausfällt.</w:t>
      </w:r>
    </w:p>
    <w:p>
      <w:r>
        <w:rPr>
          <w:b/>
          <w:sz w:val="19"/>
        </w:rPr>
        <w:t xml:space="preserve">Übertragbarkeit: </w:t>
      </w:r>
      <w:r>
        <w:rPr>
          <w:sz w:val="19"/>
        </w:rPr>
        <w:t>USA-Universitätsdaten zur Trainingsphysiologie, Befund zum Altern universell übertragbar</w:t>
      </w:r>
    </w:p>
    <w:p>
      <w:r>
        <w:rPr>
          <w:color w:val="5A7D3A"/>
          <w:sz w:val="18"/>
        </w:rPr>
        <w:t>https://pubmed.ncbi.nlm.nih.gov/42860700/</w:t>
      </w:r>
    </w:p>
    <w:p>
      <w:pPr>
        <w:pStyle w:val="Heading2"/>
      </w:pPr>
      <w:r>
        <w:t>Frailty-Screening bei Hämodialysepatienten: XGBoost-Modell mit AUC 0,917 identifiziert 48,6 % der Patienten</w:t>
      </w:r>
    </w:p>
    <w:p>
      <w:r>
        <w:rPr>
          <w:i/>
          <w:color w:val="666666"/>
          <w:sz w:val="18"/>
        </w:rPr>
        <w:t>Wang J et al.  ·  Ann Med  ·  11.10.2026  ·  PMID 42860582</w:t>
      </w:r>
    </w:p>
    <w:p>
      <w:r>
        <w:t>Eine retrospektive Studie mit 626 Hämodialysepatienten aus vier Kliniken entwickelte ein Machine-Learning-Modell zur Frailty-Erkennung.</w:t>
      </w:r>
    </w:p>
    <w:p>
      <w:r>
        <w:rPr>
          <w:b/>
        </w:rPr>
        <w:t xml:space="preserve">Ergebnis: </w:t>
      </w:r>
      <w:r>
        <w:t>Frailty-Prävalenz lag bei 48,6 %. Das XGBoost-Modell zeigte beste externe Validierungsleistung: AUC = 0,917 (95%-KI 0,867–0,967), Genauigkeit 84,7 %, Sensitivität 85,0 %, Spezifität 84,4 %. Sechs Prädiktoren wurden identifiziert: Alter, Griffstärke, Komorbiditäten, Charlson-Index, Albumin und Pro-BNP. Das Modell unterstützt systematisches Frailty-Screening in der Nierenfachversorgung.</w:t>
      </w:r>
    </w:p>
    <w:p>
      <w:r>
        <w:rPr>
          <w:b/>
          <w:sz w:val="19"/>
        </w:rPr>
        <w:t xml:space="preserve">Übertragbarkeit: </w:t>
      </w:r>
      <w:r>
        <w:rPr>
          <w:sz w:val="19"/>
        </w:rPr>
        <w:t>Chinesische Klinikstudie; Frailty-Screening und Prognose universal relevant</w:t>
      </w:r>
    </w:p>
    <w:p>
      <w:r>
        <w:rPr>
          <w:color w:val="5A7D3A"/>
          <w:sz w:val="18"/>
        </w:rPr>
        <w:t>https://pubmed.ncbi.nlm.nih.gov/42860582/</w:t>
      </w:r>
    </w:p>
    <w:p>
      <w:pPr>
        <w:pStyle w:val="Heading2"/>
      </w:pPr>
      <w:r>
        <w:t>KI-gestützte Assessment-Tools für intrinsische Kapazität: 161 Studien zeigen Schwerpunkte bei Kognition und Mobilität, Lücken bei Sinnesfunktion</w:t>
      </w:r>
    </w:p>
    <w:p>
      <w:r>
        <w:rPr>
          <w:i/>
          <w:color w:val="666666"/>
          <w:sz w:val="18"/>
        </w:rPr>
        <w:t>Yu C et al.  ·  J Med Internet Res  ·  05.10.2026  ·  PMID 42832757</w:t>
      </w:r>
    </w:p>
    <w:p>
      <w:r>
        <w:t>Ein systematisches Scoping-Review (161 Studien, 2016–2026) charakterisierte KI-basierte digitale Messtools zur Erfassung intrinsischer Kapazität bei älteren Menschen nach WHO-Domänen und Technologie.</w:t>
      </w:r>
    </w:p>
    <w:p>
      <w:r>
        <w:rPr>
          <w:b/>
        </w:rPr>
        <w:t xml:space="preserve">Ergebnis: </w:t>
      </w:r>
      <w:r>
        <w:t>Forschung seit 2016 exponentiell gestiegen; 28 Länder vertreten (USA, China dominant). 11 Kategorien KI-gestützter Geräte identifiziert: Multimodal-Erfassungsgeräte, Computer-Vision-Systeme, KI-Plattformen führend. 21 Typen digitaler Biomarker: Gangparameter, digitale Aufgabenleistung, körperliche Aktivität, Sprache, Gesichtszüge häufigst. Machine Learning und Deep Learning dominieren; Computer Vision und NLP zentral für multimodale Interpretation. Kognition und Lokomotion am weitesten entwickelt; Vitalität, Hörvermögen und Multi-Domain-Assessment unterrepräsentiert. KI-Tools könnten klinische Assessment ergänzen, benötigen aber robuste Validierung und Implementierungsforschung.</w:t>
      </w:r>
    </w:p>
    <w:p>
      <w:r>
        <w:rPr>
          <w:b/>
          <w:sz w:val="19"/>
        </w:rPr>
        <w:t xml:space="preserve">Übertragbarkeit: </w:t>
      </w:r>
      <w:r>
        <w:rPr>
          <w:sz w:val="19"/>
        </w:rPr>
        <w:t>Globale Übersicht; Lücken in der Standardisierung und externen Validierung überall manifest</w:t>
      </w:r>
    </w:p>
    <w:p>
      <w:r>
        <w:rPr>
          <w:color w:val="5A7D3A"/>
          <w:sz w:val="18"/>
        </w:rPr>
        <w:t>https://pubmed.ncbi.nlm.nih.gov/42832757/</w:t>
      </w:r>
    </w:p>
    <w:p>
      <w:pPr>
        <w:pStyle w:val="Heading2"/>
      </w:pPr>
      <w:r>
        <w:t>Mundmikrobiom und Kognition: Nitratverstoffwechselnde Bakterien assoziiert mit besserer kognitiver Leistung</w:t>
      </w:r>
    </w:p>
    <w:p>
      <w:r>
        <w:rPr>
          <w:i/>
          <w:color w:val="666666"/>
          <w:sz w:val="18"/>
        </w:rPr>
        <w:t>L'Heureux JE et al.  ·  PLoS One  ·  05.10.2026  ·  PMID 42832417</w:t>
      </w:r>
    </w:p>
    <w:p>
      <w:r>
        <w:t>Eine Studie mit 60 gesunden Teilnehmern (je 15 junge und 15 ältere Erwachsene aus UK und Belgien) untersuchte Zusammenhänge zwischen Mundmikrobiom, Stickstoffmonoxid-Biomarker und kognitiver Funktion.</w:t>
      </w:r>
    </w:p>
    <w:p>
      <w:r>
        <w:rPr>
          <w:b/>
        </w:rPr>
        <w:t xml:space="preserve">Ergebnis: </w:t>
      </w:r>
      <w:r>
        <w:t>Trotz geografischer Unterschiede in der Mikrobiomzusammensetzung waren altersbedingte mikrobielle Verschiebungen konsistent über Kohorten hinweg, mit Anreicherung von Treponema und Tannerella bei älteren Erwachsenen. Nitratverstoffwechselnde Taxa (Haemophilus parainfluenzae, Neisseria flavescens) waren konsistent mit kognitiven Leistungsmaßen assoziiert (p &lt; 0,05 in beiden Kohorten). Im UK war höheres Plasma-Nitrat mit besserer Digit-Symbol-Substitutions-Genauigkeit (β = 19,2; p &lt; 0,01) und schnellerer Reaktionszeit (β = −3444 ms; p &lt; 0,05) verknüpft. Geografie ist ein Haupttreiber mikrobieller Variation, konsistente altersbedingte Assoziationen bleiben aber über Populationen erhalten.</w:t>
      </w:r>
    </w:p>
    <w:p>
      <w:r>
        <w:rPr>
          <w:b/>
          <w:sz w:val="19"/>
        </w:rPr>
        <w:t xml:space="preserve">Übertragbarkeit: </w:t>
      </w:r>
      <w:r>
        <w:rPr>
          <w:sz w:val="19"/>
        </w:rPr>
        <w:t>UK und Belgien; europäische Grundlagenforschung mit klinischem Bezug zur Kognitionsförderung</w:t>
      </w:r>
    </w:p>
    <w:p>
      <w:r>
        <w:rPr>
          <w:color w:val="5A7D3A"/>
          <w:sz w:val="18"/>
        </w:rPr>
        <w:t>https://pubmed.ncbi.nlm.nih.gov/42832417/</w:t>
      </w:r>
    </w:p>
    <w:p>
      <w:pPr>
        <w:pStyle w:val="Heading2"/>
      </w:pPr>
      <w:r>
        <w:t>Migration im späten Alter: Identität und Zugehörigkeit bleiben zentral, alltägliche Integration folgt eigenem Weg</w:t>
      </w:r>
    </w:p>
    <w:p>
      <w:r>
        <w:rPr>
          <w:i/>
          <w:color w:val="666666"/>
          <w:sz w:val="18"/>
        </w:rPr>
        <w:t>Adad J et al.  ·  J Cross Cult Gerontol  ·  12.09.2026  ·  PMID 42730791</w:t>
      </w:r>
    </w:p>
    <w:p>
      <w:r>
        <w:t>Eine qualitative Studie mit 12 älteren Französinnen und Franzosen (≥ 70 Jahre), die nach Israel migrierten, untersuchte die Bedeutung dieser Erfahrung für Identität und Wohlbefinden.</w:t>
      </w:r>
    </w:p>
    <w:p>
      <w:r>
        <w:rPr>
          <w:b/>
        </w:rPr>
        <w:t xml:space="preserve">Ergebnis: </w:t>
      </w:r>
      <w:r>
        <w:t>Die Analyse zeigte ein ambivalentes Muster: Migration verursachte Unterbrechungen vertrauter sozialer Welten, wurde aber konsistent als Erfüllung eines Lebensprojekts um Familie, jüdische Identität und Zugehörigkeit interpretiert. Sprachliche, soziale und institutionelle Herausforderungen waren persistent, minderten aber die emotionale Bindung an Israel nicht. Emotionale Zugehörigkeit und alltägliche Integration folgen unterschiedlichen Trajektorien, was ein nuancierteres Verständnis von später Migration als Identitätsnegotiation statt einfacher Anpassung begründet.</w:t>
      </w:r>
    </w:p>
    <w:p>
      <w:r>
        <w:rPr>
          <w:b/>
          <w:sz w:val="19"/>
        </w:rPr>
        <w:t xml:space="preserve">Übertragbarkeit: </w:t>
      </w:r>
      <w:r>
        <w:rPr>
          <w:sz w:val="19"/>
        </w:rPr>
        <w:t>Qualitative Daten aus Israel und Frankreich; Erkenntnisse zu Identität und Wohlbefinden im Migrationsalter übertragbar</w:t>
      </w:r>
    </w:p>
    <w:p>
      <w:r>
        <w:rPr>
          <w:color w:val="5A7D3A"/>
          <w:sz w:val="18"/>
        </w:rPr>
        <w:t>https://pubmed.ncbi.nlm.nih.gov/42730791/</w:t>
      </w:r>
    </w:p>
    <w:p>
      <w:pPr>
        <w:pStyle w:val="Heading2"/>
      </w:pPr>
      <w:r>
        <w:t>Fettleber und Insulinresistenz: Triglycerid-Glukose-Index mit HR bis 8,27 für Lebererkrankung, biologisches Altern mediert 3–12 %</w:t>
      </w:r>
    </w:p>
    <w:p>
      <w:r>
        <w:rPr>
          <w:i/>
          <w:color w:val="666666"/>
          <w:sz w:val="18"/>
        </w:rPr>
        <w:t>Wang K et al.  ·  Front Endocrinol (Lausanne)  ·  11.08.2026  ·  PMID 42643580</w:t>
      </w:r>
    </w:p>
    <w:p>
      <w:r>
        <w:t>Eine prospektive Kohortenstudie mit 426.831 UK-Biobank-Teilnehmern ohne Fettleber zu Beginn untersuchte Triglycerid-Glukose-Indizes und Leberkrankheitsrisiko über 13,72 Jahre Nachbeobachtung.</w:t>
      </w:r>
    </w:p>
    <w:p>
      <w:r>
        <w:rPr>
          <w:b/>
        </w:rPr>
        <w:t xml:space="preserve">Ergebnis: </w:t>
      </w:r>
      <w:r>
        <w:t>Über den Nachbeobachtungszeitraum traten 6.308 neue Fettleberfälle auf. Alle sechs Triglycerid-Glukose-Adiposität-Composite-Indizes waren signifikant mit erhöhtem Fettleberrisiko assoziiert. Hazard Ratios für höchstes vs. niedrigstes Quartil: TyG-Taillenumfang 8,27 (95%-KI 7,34–9,30), TyG-Taille-Größe-Verhältnis 8,18 (7,24–9,23), TyG-BMI 6,28 (5,62–7,02), TyG-Body-Roundness-Index 7,79 (6,91–8,78). Biologisches Altern (KDM-BA, PhenoAge) vermittelte 3–12 % dieser Assoziationen. Nicht-lineare Beziehungen waren vorhanden (alle p &lt; 0,001).</w:t>
      </w:r>
    </w:p>
    <w:p>
      <w:r>
        <w:rPr>
          <w:b/>
          <w:sz w:val="19"/>
        </w:rPr>
        <w:t xml:space="preserve">Übertragbarkeit: </w:t>
      </w:r>
      <w:r>
        <w:rPr>
          <w:sz w:val="19"/>
        </w:rPr>
        <w:t>UK Biobank mit 426.831 Teilnehmern; Indexe zur Insulinresistenz und Lebererkrankung universal relevant</w:t>
      </w:r>
    </w:p>
    <w:p>
      <w:r>
        <w:rPr>
          <w:color w:val="5A7D3A"/>
          <w:sz w:val="18"/>
        </w:rPr>
        <w:t>https://pubmed.ncbi.nlm.nih.gov/42643580/</w:t>
      </w:r>
    </w:p>
    <w:p>
      <w:pPr>
        <w:pStyle w:val="Heading1"/>
      </w:pPr>
      <w:r>
        <w:t>Aufgenommen am 12.10.2026</w:t>
      </w:r>
    </w:p>
    <w:p>
      <w:pPr>
        <w:pStyle w:val="Heading2"/>
      </w:pPr>
      <w:r>
        <w:t>Motivation, Fähigkeit und Gelegenheit steuern Teilnahme an Altersprogrammen</w:t>
      </w:r>
    </w:p>
    <w:p>
      <w:r>
        <w:rPr>
          <w:i/>
          <w:color w:val="666666"/>
          <w:sz w:val="18"/>
        </w:rPr>
        <w:t>Faizal NA et al.  ·  Front Public Health  ·  25.09.2026  ·  PMID 42857060</w:t>
      </w:r>
    </w:p>
    <w:p>
      <w:r>
        <w:t>Qualitative Analyse mittels Theoretical Domains Framework und COM-B-Modell der Barrieren und Förderfaktoren für die Teilnahme an Active-Ageing-Programmen bei Älteren (50+) in Singapur, basierend auf 28 Interviews.</w:t>
      </w:r>
    </w:p>
    <w:p>
      <w:r>
        <w:rPr>
          <w:b/>
        </w:rPr>
        <w:t xml:space="preserve">Ergebnis: </w:t>
      </w:r>
      <w:r>
        <w:t>Motivation (Wissen, Wohlbefinden, digitale Fähigkeiten) war zentral, wurde aber durch Gesundheitsbedenken und körperliche Beschwerden, Technologie-Ängstlichkeit, Gedächtnisprobleme und sprachliche Barrieren gehemmt. Umweltfaktoren (Zeitverfügbarkeit, geografische Erreichbarkeit) und soziale Unterstützung (Familienermutigung) waren entscheidend. Ansatz zeigt, wie TDF und COM-B Intervention gestalten können.</w:t>
      </w:r>
    </w:p>
    <w:p>
      <w:r>
        <w:rPr>
          <w:b/>
          <w:sz w:val="19"/>
        </w:rPr>
        <w:t xml:space="preserve">Übertragbarkeit: </w:t>
      </w:r>
      <w:r>
        <w:rPr>
          <w:sz w:val="19"/>
        </w:rPr>
        <w:t>Singapur, Sozialdemokratie, digitale Versorgung, teilweise auf Deutschland übertragbar</w:t>
      </w:r>
    </w:p>
    <w:p>
      <w:r>
        <w:rPr>
          <w:color w:val="5A7D3A"/>
          <w:sz w:val="18"/>
        </w:rPr>
        <w:t>https://pubmed.ncbi.nlm.nih.gov/42857060/</w:t>
      </w:r>
    </w:p>
    <w:p>
      <w:pPr>
        <w:pStyle w:val="Heading2"/>
      </w:pPr>
      <w:r>
        <w:t>WHO-ICOPE-Ansatz für altersgerechte Primärversorgung in Portugal</w:t>
      </w:r>
    </w:p>
    <w:p>
      <w:r>
        <w:rPr>
          <w:i/>
          <w:color w:val="666666"/>
          <w:sz w:val="18"/>
        </w:rPr>
        <w:t>Vidinha Pereira AL et al.  ·  Front Public Health  ·  25.09.2026  ·  PMID 42856688</w:t>
      </w:r>
    </w:p>
    <w:p>
      <w:r>
        <w:t>Qualitative Analyse der Anpassungsfähigkeit des portugiesischen Gesundheitssystems an die alternde Bevölkerung und des Potenzials des WHO-ICOPE-Rahmens (Integrated Care for Older People) für die Primärversorgung.</w:t>
      </w:r>
    </w:p>
    <w:p>
      <w:r>
        <w:rPr>
          <w:b/>
        </w:rPr>
        <w:t xml:space="preserve">Ergebnis: </w:t>
      </w:r>
      <w:r>
        <w:t>Das portugiesische Gesundheitssystem, ursprünglich auf Mutter-Kind-Gesundheit ausgerichtet, zeigt Schwächen bei der Versorgung älterer Menschen mit Multimorbidität und Gebrechlichkeit. Der WHO-ICOPE-Ansatz wird als adaptierbar und skalierbar beschrieben, birgt aber Implementierungshürden durch Zeitmangel und mangelnde personelle und finanzielle Ressourcen. Pilot-Feldarbeit läuft zur Bewertung der Machbarkeit im portugiesischen Kontext.</w:t>
      </w:r>
    </w:p>
    <w:p>
      <w:r>
        <w:rPr>
          <w:b/>
          <w:sz w:val="19"/>
        </w:rPr>
        <w:t xml:space="preserve">Übertragbarkeit: </w:t>
      </w:r>
      <w:r>
        <w:rPr>
          <w:sz w:val="19"/>
        </w:rPr>
        <w:t>Portugal, südeuropäisches Sozialversicherungssystem, vergleichbare geriatrische Versorgungsfragen</w:t>
      </w:r>
    </w:p>
    <w:p>
      <w:r>
        <w:rPr>
          <w:color w:val="5A7D3A"/>
          <w:sz w:val="18"/>
        </w:rPr>
        <w:t>https://pubmed.ncbi.nlm.nih.gov/42856688/</w:t>
      </w:r>
    </w:p>
    <w:p>
      <w:pPr>
        <w:pStyle w:val="Heading2"/>
      </w:pPr>
      <w:r>
        <w:t>Markov-Modelle vorhersagen qualitätsadjustierte Lebenserwartung nach Strahlentherapie</w:t>
      </w:r>
    </w:p>
    <w:p>
      <w:r>
        <w:rPr>
          <w:i/>
          <w:color w:val="666666"/>
          <w:sz w:val="18"/>
        </w:rPr>
        <w:t>Tattenberg S et al.  ·  Med Phys  ·  Okt. 2026  ·  PMID 42837329</w:t>
      </w:r>
    </w:p>
    <w:p>
      <w:r>
        <w:t>Klinische Validierungsstudie eines Markov-Modells zur Simulation der lebenslangen qualitätsadjustierten Lebenserwartung (QALE) bei 148 Kopf-Hals-Krebspatienten nach Radiotherapie, inklusiv Tumorrezidiv, Toxizität, Fernmetastasen, Sekundärkarzinome und Sterblichkeit.</w:t>
      </w:r>
    </w:p>
    <w:p>
      <w:r>
        <w:rPr>
          <w:b/>
        </w:rPr>
        <w:t xml:space="preserve">Ergebnis: </w:t>
      </w:r>
      <w:r>
        <w:t>Lokoregionale Kontrolle in 94,4% der Simulationen vs. 89,9% klinisch (gute Übereinstimmung). Sterblichkeit mit Lokoregionalversagen 4,9% vs. 5,4% klinisch. Sekundärkarzinomrate 13,5%. Simulierte Lebenserwartung 76,5 ± 11,6 Jahre, qualitätsadjustiert 74,3 ± 11,0 QALY. Modell validiert für prospektive Vorhersagen und Vergleiche zwischen Patientenpopulationen.</w:t>
      </w:r>
    </w:p>
    <w:p>
      <w:r>
        <w:rPr>
          <w:b/>
          <w:sz w:val="19"/>
        </w:rPr>
        <w:t xml:space="preserve">Übertragbarkeit: </w:t>
      </w:r>
      <w:r>
        <w:rPr>
          <w:sz w:val="19"/>
        </w:rPr>
        <w:t>Methodische Innovation, Kohortendaten USA, QALE-Ansatz auf europäische Versorgung übertragbar</w:t>
      </w:r>
    </w:p>
    <w:p>
      <w:r>
        <w:rPr>
          <w:color w:val="5A7D3A"/>
          <w:sz w:val="18"/>
        </w:rPr>
        <w:t>https://pubmed.ncbi.nlm.nih.gov/42837329/</w:t>
      </w:r>
    </w:p>
    <w:p>
      <w:pPr>
        <w:pStyle w:val="Heading2"/>
      </w:pPr>
      <w:r>
        <w:t>Gebrechlichkeit und Depression lähmen Kognition bei Paaren langfristig</w:t>
      </w:r>
    </w:p>
    <w:p>
      <w:r>
        <w:rPr>
          <w:i/>
          <w:color w:val="666666"/>
          <w:sz w:val="18"/>
        </w:rPr>
        <w:t>Wu H et al.  ·  Psychiatry Res  ·  18.09.2026  ·  PMID 42828818</w:t>
      </w:r>
    </w:p>
    <w:p>
      <w:r>
        <w:t>Kohortenstudie an 5.828 Ehepaaren aus der China Health and Retirement Longitudinal Study (2011–2020) zur Analyse gemeinsamer Frailty- und Depressions-Trajektorien und ihrer Assoziation mit kognitiver Leistung über Zeit.</w:t>
      </w:r>
    </w:p>
    <w:p>
      <w:r>
        <w:rPr>
          <w:b/>
        </w:rPr>
        <w:t xml:space="preserve">Ergebnis: </w:t>
      </w:r>
      <w:r>
        <w:t>Vier distinct Multitrajectory-Gruppen identifiziert. Innerhalb von Paaren korrelierte kognitiver Verfall (r = 0,567, p &lt; 0,001). Alle Trajektoriengruppen außer der stabilen (G1) zeigten deutlich schlechtere beidseitige Kognition (p &lt; 0,001). Frauen in progressiver Frailty-Depression-Gruppe (G3) zeigten jährlichen kognitiven Rückgang von 0,125 Einheiten extra (p &lt; 0,001), Männer in G4 von 0,288 Einheiten/Jahr (p &lt; 0,001).</w:t>
      </w:r>
    </w:p>
    <w:p>
      <w:r>
        <w:rPr>
          <w:b/>
          <w:sz w:val="19"/>
        </w:rPr>
        <w:t xml:space="preserve">Übertragbarkeit: </w:t>
      </w:r>
      <w:r>
        <w:rPr>
          <w:sz w:val="19"/>
        </w:rPr>
        <w:t>China, Sozialversicherungssystem unterscheidet sich, Ergebnis zu Gebrechlichkeit-Depression-Kognition-Triaden übertragbar</w:t>
      </w:r>
    </w:p>
    <w:p>
      <w:r>
        <w:rPr>
          <w:color w:val="5A7D3A"/>
          <w:sz w:val="18"/>
        </w:rPr>
        <w:t>https://pubmed.ncbi.nlm.nih.gov/42828818/</w:t>
      </w:r>
    </w:p>
    <w:p>
      <w:pPr>
        <w:pStyle w:val="Heading2"/>
      </w:pPr>
      <w:r>
        <w:t>Räumliche Versorgungsgerechtigkeit für Altenpflege muss optimiert werden</w:t>
      </w:r>
    </w:p>
    <w:p>
      <w:r>
        <w:rPr>
          <w:i/>
          <w:color w:val="666666"/>
          <w:sz w:val="18"/>
        </w:rPr>
        <w:t>Chen X et al.  ·  Front Public Health  ·  18.09.2026  ·  PMID 42827439</w:t>
      </w:r>
    </w:p>
    <w:p>
      <w:r>
        <w:t>Raumanalytische Studie der Verteilung von Altenpflegeeinrichtungen in Guangzhou (China) unter Verwendung von Nearest-Neighbor-Index, Kernel-Density-Analyse, Netzwerk-Erreichbarkeit und Angebots-Nachfrage-Matching-Modellen.</w:t>
      </w:r>
    </w:p>
    <w:p>
      <w:r>
        <w:rPr>
          <w:b/>
        </w:rPr>
        <w:t xml:space="preserve">Ergebnis: </w:t>
      </w:r>
      <w:r>
        <w:t>Nachfrage und Angebot an Altenpflegefazilitäten zeigen starke räumliche Clusterung mit zentralem Versorgungskern. Gesamterreichbarkeit relativ hoch, aber mit Zentrum-Peripherie-Gefälle. Ressourcenallokation insgesamt angemessen, aber regionale Disparitäten bleiben. Empfehlung: Weiterer Ausbau zur Ausbalancierung der Zugänglichkeit.</w:t>
      </w:r>
    </w:p>
    <w:p>
      <w:r>
        <w:rPr>
          <w:b/>
          <w:sz w:val="19"/>
        </w:rPr>
        <w:t xml:space="preserve">Übertragbarkeit: </w:t>
      </w:r>
      <w:r>
        <w:rPr>
          <w:sz w:val="19"/>
        </w:rPr>
        <w:t>China, andere Finanzierungsstruktur, Methoden zur Disparitätenmessung übertragbar</w:t>
      </w:r>
    </w:p>
    <w:p>
      <w:r>
        <w:rPr>
          <w:color w:val="5A7D3A"/>
          <w:sz w:val="18"/>
        </w:rPr>
        <w:t>https://pubmed.ncbi.nlm.nih.gov/42827439/</w:t>
      </w:r>
    </w:p>
    <w:p>
      <w:pPr>
        <w:pStyle w:val="Heading2"/>
      </w:pPr>
      <w:r>
        <w:t>Langzeitverläufe von Gedächtnis und Einsamkeit prägen Wahrnehmung des Alterns</w:t>
      </w:r>
    </w:p>
    <w:p>
      <w:r>
        <w:rPr>
          <w:i/>
          <w:color w:val="666666"/>
          <w:sz w:val="18"/>
        </w:rPr>
        <w:t>Koch J et al.  ·  J Gerontol B Psychol Sci Soc Sci  ·  07.10.2026  ·  PMID 42625387</w:t>
      </w:r>
    </w:p>
    <w:p>
      <w:r>
        <w:t>Longitudinale Studie über 9 Jahre an 753 Berliner Älteren (61–81 Jahre zu Baseline), in der körperliche Gesundheit, Kognition und Einsamkeit als Prädiktoren für die subjektive Wahrnehmung altersbezogener Veränderungen untersucht wurden.</w:t>
      </w:r>
    </w:p>
    <w:p>
      <w:r>
        <w:rPr>
          <w:b/>
        </w:rPr>
        <w:t xml:space="preserve">Ergebnis: </w:t>
      </w:r>
      <w:r>
        <w:t>Bessere Baseline-Gedächtnisleistung (Recall) war mit weniger wahrgenommenen Altersverlusten assoziiert. Steilere Gedächtnisverschlechterung und höhere Morbidität korrelierte mit stärkerer Wahrnehmung von Verlusten. Höhere Einsamkeit war mit mehr wahrgenommenen Verlusten und weniger wahrgenommenen Gewinnen verbunden. Verarbeitungsgeschwindigkeit, Arbeitsgedächtnis, Hör- und Sehvermögen zeigten keine signifikanten Assoziationen.</w:t>
      </w:r>
    </w:p>
    <w:p>
      <w:r>
        <w:rPr>
          <w:b/>
          <w:sz w:val="19"/>
        </w:rPr>
        <w:t xml:space="preserve">Übertragbarkeit: </w:t>
      </w:r>
      <w:r>
        <w:rPr>
          <w:sz w:val="19"/>
        </w:rPr>
        <w:t>Deutsche Studie mit Berliner Probanden, vergleichbare Dokumentation und Messinstrumente</w:t>
      </w:r>
    </w:p>
    <w:p>
      <w:r>
        <w:rPr>
          <w:color w:val="5A7D3A"/>
          <w:sz w:val="18"/>
        </w:rPr>
        <w:t>https://pubmed.ncbi.nlm.nih.gov/42625387/</w:t>
      </w:r>
    </w:p>
    <w:p>
      <w:pPr>
        <w:pStyle w:val="Heading1"/>
      </w:pPr>
      <w:r>
        <w:t>Aufgenommen am 11.10.2026</w:t>
      </w:r>
    </w:p>
    <w:p>
      <w:pPr>
        <w:pStyle w:val="Heading2"/>
      </w:pPr>
      <w:r>
        <w:t>Frailty-Assessment verbessert Risikostratifizierung bei rekonstruktiver Kopf-Hals-Chirurgie</w:t>
      </w:r>
    </w:p>
    <w:p>
      <w:r>
        <w:rPr>
          <w:i/>
          <w:color w:val="666666"/>
          <w:sz w:val="18"/>
        </w:rPr>
        <w:t>Tee JW et al.  ·  Microsurgery  ·  Okt. 2026  ·  PMID 42855949</w:t>
      </w:r>
    </w:p>
    <w:p>
      <w:r>
        <w:t>Retrospektive Kohortenstudie mit 406 Patienten, die sich einer Fibula-Free-Flap-Rekonstruktion unterzogen, untersuchte den Wert des modifizierten Frailty-Index (mFI-5) zur Vorhersage perioperativer Komplikationen.</w:t>
      </w:r>
    </w:p>
    <w:p>
      <w:r>
        <w:rPr>
          <w:b/>
        </w:rPr>
        <w:t xml:space="preserve">Ergebnis: </w:t>
      </w:r>
      <w:r>
        <w:t>Der mFI-5 war ein stärkerer Prädiktor für Morbidität als das chronologische Alter. Patienten mit mFI-5=1 (adjustierte Odds Ratio 1,84; 95%-KI 1,01–3,47) und mFI-5=2 (aOR 3,45; 95%-KI 1,38–8,57) zeigten signifikant erhöhtes Risiko für medizinische Komplikationen. Ein mFI-5=2 war auch unabhängiger Prädiktor für chirurgische Komplikationen (aOR 2,27; 95%-KI 1,00–5,43).</w:t>
      </w:r>
    </w:p>
    <w:p>
      <w:r>
        <w:rPr>
          <w:b/>
          <w:sz w:val="19"/>
        </w:rPr>
        <w:t xml:space="preserve">Übertragbarkeit: </w:t>
      </w:r>
      <w:r>
        <w:rPr>
          <w:sz w:val="19"/>
        </w:rPr>
        <w:t>Deutschland – Klinikdaten (ACS-NSQIP), Frailty-Assessment etabliert im deutschsprachigen Raum.</w:t>
      </w:r>
    </w:p>
    <w:p>
      <w:r>
        <w:rPr>
          <w:color w:val="5A7D3A"/>
          <w:sz w:val="18"/>
        </w:rPr>
        <w:t>https://pubmed.ncbi.nlm.nih.gov/42855949/</w:t>
      </w:r>
    </w:p>
    <w:p>
      <w:pPr>
        <w:pStyle w:val="Heading2"/>
      </w:pPr>
      <w:r>
        <w:t>Gesundheitskompetenz fördert erfolgreiches Altern bei älteren Ägyptern</w:t>
      </w:r>
    </w:p>
    <w:p>
      <w:r>
        <w:rPr>
          <w:i/>
          <w:color w:val="666666"/>
          <w:sz w:val="18"/>
        </w:rPr>
        <w:t>Ibrahim HS et al.  ·  BMC Public Health  ·  09.10.2026  ·  PMID 42855688</w:t>
      </w:r>
    </w:p>
    <w:p>
      <w:r>
        <w:t>Querschnittvergleichsstudie mit 246 Teilnehmern (123 mit chronischen Erkrankungen, 123 gesund), alle ≥65 Jahre, untersuchte den Zusammenhang zwischen Gesundheitskompetenz (Health Literacy) und erfolgreichem Altern (Successful Aging).</w:t>
      </w:r>
    </w:p>
    <w:p>
      <w:r>
        <w:rPr>
          <w:b/>
        </w:rPr>
        <w:t xml:space="preserve">Ergebnis: </w:t>
      </w:r>
      <w:r>
        <w:t>Patienten zeigten signifikant niedrigere Gesundheitskompetenz- und Erfolgreiches-Altern-Scores als Kontrollen (p&lt;0,001). Gesundheitskompetenz war positiv mit erfolgreichem Altern korreliert (r=0,612, p&lt;0,001) und blieb der stärkste unabhängige Prädiktor in der Regressionsanalyse. Höhere Bildung und Einkommen verbesserten erfolgreiches Altern; Alter, ländliche Wohnorte und Rauchen beeinträchtigten es.</w:t>
      </w:r>
    </w:p>
    <w:p>
      <w:r>
        <w:rPr>
          <w:b/>
          <w:sz w:val="19"/>
        </w:rPr>
        <w:t xml:space="preserve">Übertragbarkeit: </w:t>
      </w:r>
      <w:r>
        <w:rPr>
          <w:sz w:val="19"/>
        </w:rPr>
        <w:t>Ägypten – Übertragbarkeit begrenzt durch unterschiedliche Gesundheitssysteme und Sozialversicherung.</w:t>
      </w:r>
    </w:p>
    <w:p>
      <w:r>
        <w:rPr>
          <w:color w:val="5A7D3A"/>
          <w:sz w:val="18"/>
        </w:rPr>
        <w:t>https://pubmed.ncbi.nlm.nih.gov/42855688/</w:t>
      </w:r>
    </w:p>
    <w:p>
      <w:pPr>
        <w:pStyle w:val="Heading2"/>
      </w:pPr>
      <w:r>
        <w:t>Altersgerechte Versorgung und Wellness in Zhejiang: räumlich-zeitliche Entwicklung</w:t>
      </w:r>
    </w:p>
    <w:p>
      <w:r>
        <w:rPr>
          <w:i/>
          <w:color w:val="666666"/>
          <w:sz w:val="18"/>
        </w:rPr>
        <w:t>Qin S et al.  ·  Inquiry  ·  09.10.2026  ·  PMID 42853239</w:t>
      </w:r>
    </w:p>
    <w:p>
      <w:r>
        <w:t>Bewertungsstudie mit Entropie-Gewichtungsmethode analysierte räumlich-zeitliche Muster der Eignung älterenbezogener Versorgung und Wellness (SECW) in 11 Präfekturen Zhejangs 2014–2023 anhand von natürlichen Ressourcen, sozialen Ressourcen und sozialem Unterstützungsindex.</w:t>
      </w:r>
    </w:p>
    <w:p>
      <w:r>
        <w:rPr>
          <w:b/>
        </w:rPr>
        <w:t xml:space="preserve">Ergebnis: </w:t>
      </w:r>
      <w:r>
        <w:t>Gesamttrend der SECW in Zhejiang war aufsteigend, regionale Disparitäten bestanden fort. Ein Drei-Ebenen-Muster entstand: Hangzhou und Ningbo als Hochwertzentren; Küsten- und Zentralstädte als dynamische mittlere Ebene; Südwestregionen als relativ rückständige dritte Ebene. Moran's I-Analysen offenbarten negative räumliche Autokorrelation, dominiert von "High-Low"- und "Low-High"-Mustern; keine signifikanten Hochwertagglomerationen.</w:t>
      </w:r>
    </w:p>
    <w:p>
      <w:r>
        <w:rPr>
          <w:b/>
          <w:sz w:val="19"/>
        </w:rPr>
        <w:t xml:space="preserve">Übertragbarkeit: </w:t>
      </w:r>
      <w:r>
        <w:rPr>
          <w:sz w:val="19"/>
        </w:rPr>
        <w:t>China – Gesundheitssystem und Regionalstruktur unterscheiden sich von Deutschland; Konzept der Versorgungsgerechtigkeit aber relevant.</w:t>
      </w:r>
    </w:p>
    <w:p>
      <w:r>
        <w:rPr>
          <w:color w:val="5A7D3A"/>
          <w:sz w:val="18"/>
        </w:rPr>
        <w:t>https://pubmed.ncbi.nlm.nih.gov/42853239/</w:t>
      </w:r>
    </w:p>
    <w:p>
      <w:pPr>
        <w:pStyle w:val="Heading2"/>
      </w:pPr>
      <w:r>
        <w:t>Grünflächen schützen vor beschleunigter biologischer Alterung trotz Luftverschmutzung</w:t>
      </w:r>
    </w:p>
    <w:p>
      <w:r>
        <w:rPr>
          <w:i/>
          <w:color w:val="666666"/>
          <w:sz w:val="18"/>
        </w:rPr>
        <w:t>Ma G et al.  ·  Environ Health Perspect  ·  06.10.2026  ·  PMID 42852352</w:t>
      </w:r>
    </w:p>
    <w:p>
      <w:r>
        <w:t>Längsschnittstudie mit 11.760 Erwachsenen (20–65 Jahre) in chinesischer Hochverschmutzungsstadt untersuchte die Auswirkungen von Grünflächen und Luftschadstoffmischung auf biologische Alterungsmuster mittels Klemera-Doubal-Methode.</w:t>
      </w:r>
    </w:p>
    <w:p>
      <w:r>
        <w:rPr>
          <w:b/>
        </w:rPr>
        <w:t xml:space="preserve">Ergebnis: </w:t>
      </w:r>
      <w:r>
        <w:t>Höhere Grünflächenexposition (NDVI 500 m) war mit niedrigeren Chancen für Zugehörigkeit zur beschleunigten Alterungstrajektorie verbunden (OR 0,84; 95%-KI 0,75–0,95). Höhere PM₂,₅-, PM₁₀-, SO₂- und O₃-Expositionen waren mit höheren Chancen für beschleunigte Alterung assoziiert. Die Schadstoffmischung zeigte konsistente positive Assoziation (OR 1,16; 95%-KI 1,08–1,24), dominiert durch O₃ und PM₁₀. Grünflächen-Schutzeffekt wurde zu 25% durch reduzierte Schadstoffexposition vermittelt.</w:t>
      </w:r>
    </w:p>
    <w:p>
      <w:r>
        <w:rPr>
          <w:b/>
          <w:sz w:val="19"/>
        </w:rPr>
        <w:t xml:space="preserve">Übertragbarkeit: </w:t>
      </w:r>
      <w:r>
        <w:rPr>
          <w:sz w:val="19"/>
        </w:rPr>
        <w:t>China – Luftqualität und Grünflächenverfügbarkeit unterscheiden sich von Deutschland; Konzept aber auf deutsche Städte übertragbar.</w:t>
      </w:r>
    </w:p>
    <w:p>
      <w:r>
        <w:rPr>
          <w:color w:val="5A7D3A"/>
          <w:sz w:val="18"/>
        </w:rPr>
        <w:t>https://pubmed.ncbi.nlm.nih.gov/42852352/</w:t>
      </w:r>
    </w:p>
    <w:p>
      <w:pPr>
        <w:pStyle w:val="Heading2"/>
      </w:pPr>
      <w:r>
        <w:t>Regionale Disparitäten zwischen Bevölkerungsalterung und Gesundheitsressourcen in China</w:t>
      </w:r>
    </w:p>
    <w:p>
      <w:r>
        <w:rPr>
          <w:i/>
          <w:color w:val="666666"/>
          <w:sz w:val="18"/>
        </w:rPr>
        <w:t>Liu Q et al.  ·  Front Public Health  ·  23.09.2026  ·  PMID 42845648</w:t>
      </w:r>
    </w:p>
    <w:p>
      <w:r>
        <w:t>Provinziale Analyse (31 Regionen, 2000–2023) untersuchte die zeitlich-räumliche Koordination zwischen Alterungscharakteristiken der Bevölkerung und Kapazität des Gesundheitswesens mittels gekoppelter Koordinationsgradmodelle.</w:t>
      </w:r>
    </w:p>
    <w:p>
      <w:r>
        <w:rPr>
          <w:b/>
        </w:rPr>
        <w:t xml:space="preserve">Ergebnis: </w:t>
      </w:r>
      <w:r>
        <w:t>Chinas Alterungskoeffizient stieg von 7,0% (2000) auf 14,9% (2023). Die nationale Koordination verbesserte sich über den Zeitraum. Regionale Disparitäten blieben jedoch stark: Shandong und Jiangsu erreichten höchste Koordinationsklasse (D≥0,60), während Tibet und Qinghai in der niedrigsten Klasse blieben (D&lt;0,20). Der Variationskoeffizient der provinzialen Alterungskoeffizienten sank nur von 0,41 auf 0,38.</w:t>
      </w:r>
    </w:p>
    <w:p>
      <w:r>
        <w:rPr>
          <w:b/>
          <w:sz w:val="19"/>
        </w:rPr>
        <w:t xml:space="preserve">Übertragbarkeit: </w:t>
      </w:r>
      <w:r>
        <w:rPr>
          <w:sz w:val="19"/>
        </w:rPr>
        <w:t>China – Systeme und Ressourcenlage unterscheiden sich erheblich von Deutschland, Einsichten für Versorgungsplanung begrenzt übertragbar.</w:t>
      </w:r>
    </w:p>
    <w:p>
      <w:r>
        <w:rPr>
          <w:color w:val="5A7D3A"/>
          <w:sz w:val="18"/>
        </w:rPr>
        <w:t>https://pubmed.ncbi.nlm.nih.gov/42845648/</w:t>
      </w:r>
    </w:p>
    <w:p>
      <w:pPr>
        <w:pStyle w:val="Heading2"/>
      </w:pPr>
      <w:r>
        <w:t>Add CAPS-Protokoll: kognitives, physisches und Hörvermögen in der Midlife-Phase</w:t>
      </w:r>
    </w:p>
    <w:p>
      <w:r>
        <w:rPr>
          <w:i/>
          <w:color w:val="666666"/>
          <w:sz w:val="18"/>
        </w:rPr>
        <w:t>Aiello AE et al.  ·  J Gerontol B Psychol Sci Soc Sci  ·  01.10.2026  ·  PMID 42837504</w:t>
      </w:r>
    </w:p>
    <w:p>
      <w:r>
        <w:t>Methodenstudie zur Implementierung umfassender kognitiver, physischer und sensorischer Funktionstests (Add CAPS) bei 6.073 Personen durchschnittlich 44 Jahre alt in der Wave VI der Add Health Longitudinalstudie.</w:t>
      </w:r>
    </w:p>
    <w:p>
      <w:r>
        <w:rPr>
          <w:b/>
        </w:rPr>
        <w:t xml:space="preserve">Ergebnis: </w:t>
      </w:r>
      <w:r>
        <w:t>Antwortquoten betrugen ~85% für digitale kognitive Tests und ~94% für persönlich durchgeführte Tests. Jüngere Teilnehmende und solche mit höherer Bildung zeigten bessere kognitive Leistung. Männliche, ältere und weniger gebildete Teilnehmende hatten schlechteres Hörvermögen. Keine Altersunterschiede in der Handgriffstärke, aber Variation nach Bildung. Selbstberichtete kognitive und physische Schwierigkeiten waren häufig.</w:t>
      </w:r>
    </w:p>
    <w:p>
      <w:r>
        <w:rPr>
          <w:b/>
          <w:sz w:val="19"/>
        </w:rPr>
        <w:t xml:space="preserve">Übertragbarkeit: </w:t>
      </w:r>
      <w:r>
        <w:rPr>
          <w:sz w:val="19"/>
        </w:rPr>
        <w:t>USA – Add Health ist US-Kohortenstudie; Übertragung auf Deutschland eingeschränkt durch andere Altersstruktur und Versicherungssystem.</w:t>
      </w:r>
    </w:p>
    <w:p>
      <w:r>
        <w:rPr>
          <w:color w:val="5A7D3A"/>
          <w:sz w:val="18"/>
        </w:rPr>
        <w:t>https://pubmed.ncbi.nlm.nih.gov/42837504/</w:t>
      </w:r>
    </w:p>
    <w:p>
      <w:pPr>
        <w:pStyle w:val="Heading1"/>
      </w:pPr>
      <w:r>
        <w:t>Aufgenommen am 10.10.2026</w:t>
      </w:r>
    </w:p>
    <w:p>
      <w:pPr>
        <w:pStyle w:val="Heading2"/>
      </w:pPr>
      <w:r>
        <w:t>Aufwärts-Mobilität verzögert funktionalen Decline im Alter</w:t>
      </w:r>
    </w:p>
    <w:p>
      <w:r>
        <w:rPr>
          <w:i/>
          <w:color w:val="666666"/>
          <w:sz w:val="18"/>
        </w:rPr>
        <w:t>Guo L et al.  ·  J Glob Health  ·  09.10.2026  ·  PMID 42852608</w:t>
      </w:r>
    </w:p>
    <w:p>
      <w:r>
        <w:t>Harmonisierte Analyse von 100.362 Personen über 50 Jahren aus fünf Ländern (China, USA, Europa, Südkorea, Mexiko) zur Assoziation zwischen intergenerationaler Bildungsmobilität und intrinsischer Kapazität (kognitiv, Motorik, Vitalität, Sinne, psychisch).</w:t>
      </w:r>
    </w:p>
    <w:p>
      <w:r>
        <w:rPr>
          <w:b/>
        </w:rPr>
        <w:t xml:space="preserve">Ergebnis: </w:t>
      </w:r>
      <w:r>
        <w:t>Aufwärts-Mobilität korreliert mit höherer intrinsischer Kapazität (gepooltes β = 0,25; 95%-KI 0,24–0,26; p &lt; 0,001) und verzögert den altersbedingten Funktionsverlust in China, Europa, Südkorea und Mexiko signifikant. USA zeigt Ausnahme: Mobilität erhöht Baseline-Kapazität, aber nicht die Verlaufsrate. Befund unterstreicht Kontext-Abhängigkeit sozialer Determinanten.</w:t>
      </w:r>
    </w:p>
    <w:p>
      <w:r>
        <w:rPr>
          <w:b/>
          <w:sz w:val="19"/>
        </w:rPr>
        <w:t xml:space="preserve">Übertragbarkeit: </w:t>
      </w:r>
      <w:r>
        <w:rPr>
          <w:sz w:val="19"/>
        </w:rPr>
        <w:t>Europäische Länder inkludiert, aber Transferbarkeit auf Deutschland durch unterschiedliche Bildungs- und Sozialsysteme begrenzt.</w:t>
      </w:r>
    </w:p>
    <w:p>
      <w:r>
        <w:rPr>
          <w:color w:val="5A7D3A"/>
          <w:sz w:val="18"/>
        </w:rPr>
        <w:t>https://pubmed.ncbi.nlm.nih.gov/42852608/</w:t>
      </w:r>
    </w:p>
    <w:p>
      <w:pPr>
        <w:pStyle w:val="Heading2"/>
      </w:pPr>
      <w:r>
        <w:t>Zahnpflege-Inanspruchnahme und kognitiver Decline im Alter: 14-Jahr-Längsschnitt</w:t>
      </w:r>
    </w:p>
    <w:p>
      <w:r>
        <w:rPr>
          <w:i/>
          <w:color w:val="666666"/>
          <w:sz w:val="18"/>
        </w:rPr>
        <w:t>Jung YS et al.  ·  Front Public Health  ·  24.09.2026  ·  PMID 42851369</w:t>
      </w:r>
    </w:p>
    <w:p>
      <w:r>
        <w:t>Trajektorien-Analyse zahnärztlicher Inanspruchnahme über 14 Jahre (Health and Retirement Study, n = 14.599, ≥ 50 Jahre) und Assoziation mit kognitiver Leistung (27-Punkte-Score), mit Mediation durch Selbst-Gesundheit und ADL-Einschränkungen.</w:t>
      </w:r>
    </w:p>
    <w:p>
      <w:r>
        <w:rPr>
          <w:b/>
        </w:rPr>
        <w:t xml:space="preserve">Ergebnis: </w:t>
      </w:r>
      <w:r>
        <w:t>Drei Trajektorien identifiziert: Persistently High (53,3%), Decreasing (14,5%), Persistent Low (32,2%). Vs. Persistent High zeigte Persistent Low schnelleren kognitiven Decline (β = -0,107 pro 2-Jahr-Welle, 95%-KI -0,133 bis -0,081; p &lt; 0,0001), entsprechend 0,75 zusätzlichen Punkten über 14 Jahre. ADL-Verschlechterung mediiert 9,3–11,6% der Assoziation. Kausale Inferenz nicht möglich.</w:t>
      </w:r>
    </w:p>
    <w:p>
      <w:r>
        <w:rPr>
          <w:b/>
          <w:sz w:val="19"/>
        </w:rPr>
        <w:t xml:space="preserve">Übertragbarkeit: </w:t>
      </w:r>
      <w:r>
        <w:rPr>
          <w:sz w:val="19"/>
        </w:rPr>
        <w:t>US-Kohorte (Health and Retirement Study), Funktionsverschlechterung als Endpunkt systemunabhängig relevant; deutsche Übertragung mit Vorbehalten zur Gesundheitssystem-spezifität.</w:t>
      </w:r>
    </w:p>
    <w:p>
      <w:r>
        <w:rPr>
          <w:color w:val="5A7D3A"/>
          <w:sz w:val="18"/>
        </w:rPr>
        <w:t>https://pubmed.ncbi.nlm.nih.gov/42851369/</w:t>
      </w:r>
    </w:p>
    <w:p>
      <w:pPr>
        <w:pStyle w:val="Heading2"/>
      </w:pPr>
      <w:r>
        <w:t>Fettmasse-zu-Magermasse-Verhältnis im Alter: Perzentil-Kurven aus kanadischer Längsschnittstudie</w:t>
      </w:r>
    </w:p>
    <w:p>
      <w:r>
        <w:rPr>
          <w:i/>
          <w:color w:val="666666"/>
          <w:sz w:val="18"/>
        </w:rPr>
        <w:t>Kim C et al.  ·  J Cachexia Sarcopenia Muscle  ·  Okt. 2026  ·  PMID 42850807</w:t>
      </w:r>
    </w:p>
    <w:p>
      <w:r>
        <w:t>Entwicklung alters- und geschlechtsspezifischer FM/FFM-Perzentil-Kurven (1. bis 99. Perzentil) aus 28.791 Personen der Canadian Longitudinal Study on Aging (DXA-Messungen), um sarkopene Adipositas zu identifizieren.</w:t>
      </w:r>
    </w:p>
    <w:p>
      <w:r>
        <w:rPr>
          <w:b/>
        </w:rPr>
        <w:t xml:space="preserve">Ergebnis: </w:t>
      </w:r>
      <w:r>
        <w:t>Bei Männern steigen FM/FFM-Perzentile langsam mit Alter bis 70 Jahre, dann Stabilisierung; bei Frauen höhere Ausgangswerte, schnellerer Anstieg bis 68 Jahre (50. Perzentil: 0,71), dann Rückgang. Männer zeigen 50. Perzentil von 0,42 im Alter 86 Jahren. Kurven zeigen relevante alters- und geschlechtsspezifische Unterschiede für Risikoidentifikation.</w:t>
      </w:r>
    </w:p>
    <w:p>
      <w:r>
        <w:rPr>
          <w:b/>
          <w:sz w:val="19"/>
        </w:rPr>
        <w:t xml:space="preserve">Übertragbarkeit: </w:t>
      </w:r>
      <w:r>
        <w:rPr>
          <w:sz w:val="19"/>
        </w:rPr>
        <w:t>Kanadische Kohorte, ähnliches Gesundheitssystem; Daten direkt auf Deutschland übertragbar.</w:t>
      </w:r>
    </w:p>
    <w:p>
      <w:r>
        <w:rPr>
          <w:color w:val="5A7D3A"/>
          <w:sz w:val="18"/>
        </w:rPr>
        <w:t>https://pubmed.ncbi.nlm.nih.gov/42850807/</w:t>
      </w:r>
    </w:p>
    <w:p>
      <w:pPr>
        <w:pStyle w:val="Heading2"/>
      </w:pPr>
      <w:r>
        <w:t>Vitamin-D-Mangel und Sterblichkeit im Alter: Kohorten-Follow-up und Supplementierungseffekt</w:t>
      </w:r>
    </w:p>
    <w:p>
      <w:r>
        <w:rPr>
          <w:i/>
          <w:color w:val="666666"/>
          <w:sz w:val="18"/>
        </w:rPr>
        <w:t>Israel A et al.  ·  Aging Cell  ·  Okt. 2026  ·  PMID 42850752</w:t>
      </w:r>
    </w:p>
    <w:p>
      <w:r>
        <w:t>Longitudinale Analyse von über 468.500 Personen (israelisches und US-amerikanisches Kohorte) zur Assoziation zwischen Vitamin-D-Status und Alterungs-bezogenen Outcomes über bis zu 10 Jahren, mit Modellierung der Supplementierungs-Modifizierbarkeit.</w:t>
      </w:r>
    </w:p>
    <w:p>
      <w:r>
        <w:rPr>
          <w:b/>
        </w:rPr>
        <w:t xml:space="preserve">Ergebnis: </w:t>
      </w:r>
      <w:r>
        <w:t>Schwerer Vitamin-D-Mangel (&lt; 10 ng/mL vs. &gt; 30 ng/mL) assoziiert mit erhöhter Gesamtsterblichkeit (Israel: HR 2,57, 95%-KI 2,38–2,79; USA: HR 1,59, 95%-KI 1,55–1,63) und Multimorbidität. Supplementierung &gt; 10 ng/mL-Äquivalent reduziert Mortalität dose-abhängig (HR 0,72, 95%-KI 0,68–0,76). Befund unterstützt Vitamin D als modifizierbare Determinante der Alterungsvulnerabilität.</w:t>
      </w:r>
    </w:p>
    <w:p>
      <w:r>
        <w:rPr>
          <w:b/>
          <w:sz w:val="19"/>
        </w:rPr>
        <w:t xml:space="preserve">Übertragbarkeit: </w:t>
      </w:r>
      <w:r>
        <w:rPr>
          <w:sz w:val="19"/>
        </w:rPr>
        <w:t>Israelische Daten vergleichbar mit Deutschland (Gesundheitssystem); US-Ergebnisse mit Vorbehalten; klinische Modifizierbarkeit ist systemunabhängig.</w:t>
      </w:r>
    </w:p>
    <w:p>
      <w:r>
        <w:rPr>
          <w:color w:val="5A7D3A"/>
          <w:sz w:val="18"/>
        </w:rPr>
        <w:t>https://pubmed.ncbi.nlm.nih.gov/42850752/</w:t>
      </w:r>
    </w:p>
    <w:p>
      <w:pPr>
        <w:pStyle w:val="Heading2"/>
      </w:pPr>
      <w:r>
        <w:t>Ernährungsdiversität und Depression bei älteren Landbewohnern in China: dynamische Assoziationen</w:t>
      </w:r>
    </w:p>
    <w:p>
      <w:r>
        <w:rPr>
          <w:i/>
          <w:color w:val="666666"/>
          <w:sz w:val="18"/>
        </w:rPr>
        <w:t>Luohong et al.  ·  BMC Public Health  ·  24.07.2026  ·  PMID 42850599</w:t>
      </w:r>
    </w:p>
    <w:p>
      <w:r>
        <w:t>Latent Class Growth Analysis mit Netzwerk-Analyse (n = 899 ländliche Personen ≥ 60 Jahre, China, 2011–2018) zur Assoziation zwischen Ernährungsdiversitäts-Trajektorien und depressiven Symptomen (CESD-10).</w:t>
      </w:r>
    </w:p>
    <w:p>
      <w:r>
        <w:rPr>
          <w:b/>
        </w:rPr>
        <w:t xml:space="preserve">Ergebnis: </w:t>
      </w:r>
      <w:r>
        <w:t>Zwei Trajektorien: hoch und graduell steigend vs. persistently low. Persistently low-Gruppe zeigte höheres Depressionsrisiko (OR = 0,54, 95%-KI 0,396–0,736), d.h. 46% niedrigeres Risiko bei hoher Diversität. Netzwerk-Intensität unterschied sich signifikant (S = 0,98, p = 0,002). Kernale Symptome variierten zwischen Gruppen. Intervention auf Kernale Symptome empfohlen.</w:t>
      </w:r>
    </w:p>
    <w:p>
      <w:r>
        <w:rPr>
          <w:b/>
          <w:sz w:val="19"/>
        </w:rPr>
        <w:t xml:space="preserve">Übertragbarkeit: </w:t>
      </w:r>
      <w:r>
        <w:rPr>
          <w:sz w:val="19"/>
        </w:rPr>
        <w:t>China; Mechanism (Ernährung–Psyche) ist aber kulturunabhängig; moderate Übertragbarkeit auf Deutschland wegen anderer Ernährungskulturen und Lebensmittel-Verfügbarkeit.</w:t>
      </w:r>
    </w:p>
    <w:p>
      <w:r>
        <w:rPr>
          <w:color w:val="5A7D3A"/>
          <w:sz w:val="18"/>
        </w:rPr>
        <w:t>https://pubmed.ncbi.nlm.nih.gov/42850599/</w:t>
      </w:r>
    </w:p>
    <w:p>
      <w:pPr>
        <w:pStyle w:val="Heading2"/>
      </w:pPr>
      <w:r>
        <w:t>Neurologische Krankheitslast in Italien: Trends 1990–2023</w:t>
      </w:r>
    </w:p>
    <w:p>
      <w:r>
        <w:rPr>
          <w:i/>
          <w:color w:val="666666"/>
          <w:sz w:val="18"/>
        </w:rPr>
        <w:t>Brigo F et al.  ·  Neurol Sci  ·  09.10.2026  ·  PMID 42850460</w:t>
      </w:r>
    </w:p>
    <w:p>
      <w:r>
        <w:t>Analyse der Krankheitslast ausgewählter neurologischer Erkrankungen in Italien über 33 Jahre mittels Global Burden of Disease 2023-Daten (DALY, YLL, YLD).</w:t>
      </w:r>
    </w:p>
    <w:p>
      <w:r>
        <w:rPr>
          <w:b/>
        </w:rPr>
        <w:t xml:space="preserve">Ergebnis: </w:t>
      </w:r>
      <w:r>
        <w:t>Gesamte altersstandardisierte DALY-Raten sanken (EAPC -1,01%, 95%-KI -1,13 bis -0,89). Zerebrovaskuläre und ZNS-Infektionen zeigten größte Reduktionen; Multiple Sklerose, Parkinson, Epilepsie und Motoneuronerkrankung nahmen zu. Geschlechtsspezifische Unterschiede: Migräne, MS, Demenz stärker bei Frauen; Schlaganfall, Parkinson, Hirntumoren bei Männern.</w:t>
      </w:r>
    </w:p>
    <w:p>
      <w:r>
        <w:rPr>
          <w:b/>
          <w:sz w:val="19"/>
        </w:rPr>
        <w:t xml:space="preserve">Übertragbarkeit: </w:t>
      </w:r>
      <w:r>
        <w:rPr>
          <w:sz w:val="19"/>
        </w:rPr>
        <w:t>Italien, europäisches Gesundheitssystem mit vergleichbarer Datenerfassung; Ergebnisse auf Deutschland gut übertragbar.</w:t>
      </w:r>
    </w:p>
    <w:p>
      <w:r>
        <w:rPr>
          <w:color w:val="5A7D3A"/>
          <w:sz w:val="18"/>
        </w:rPr>
        <w:t>https://pubmed.ncbi.nlm.nih.gov/42850460/</w:t>
      </w:r>
    </w:p>
    <w:p>
      <w:pPr>
        <w:pStyle w:val="Heading1"/>
      </w:pPr>
      <w:r>
        <w:t>Aufgenommen am 09.10.2026</w:t>
      </w:r>
    </w:p>
    <w:p>
      <w:pPr>
        <w:pStyle w:val="Heading2"/>
      </w:pPr>
      <w:r>
        <w:t>Pflege-gestützte Intervention für aktives Altern bei migrierten älteren Menschen: Cluster-RCT-Protokoll</w:t>
      </w:r>
    </w:p>
    <w:p>
      <w:r>
        <w:rPr>
          <w:i/>
          <w:color w:val="666666"/>
          <w:sz w:val="18"/>
        </w:rPr>
        <w:t>Chen Z et al.  ·  J Eval Clin Pract  ·  Okt. 2026  ·  PMID 42848871</w:t>
      </w:r>
    </w:p>
    <w:p>
      <w:r>
        <w:t>Cluster-randomisierte Kontrollierte Studie plant Evaluation einer 22-Tage-Pflegeleiter-Intervention (TSAAIP-MOA) bei älteren Migranten mit Kindern in China zur Förderung aktiven Alterns.</w:t>
      </w:r>
    </w:p>
    <w:p>
      <w:r>
        <w:rPr>
          <w:b/>
        </w:rPr>
        <w:t xml:space="preserve">Ergebnis: </w:t>
      </w:r>
      <w:r>
        <w:t>Studienprotokoll: Primäroutcome ist Level aktiven Alterns; Sekundäroutcomes sind Änderungen in intrinsischer Kapazität, Gesundheitskompetenz und sozialer Teilhabe. Datensammlung an T0 (Baseline), T1 (Post-Intervention) und T2 (1 Monat nach Beginn); wiederholte ANOVA geplant. Programm kombiniert Familien- und Gemeinde-Unterstützung mit klinischer Betreuung.</w:t>
      </w:r>
    </w:p>
    <w:p>
      <w:r>
        <w:rPr>
          <w:b/>
          <w:sz w:val="19"/>
        </w:rPr>
        <w:t xml:space="preserve">Übertragbarkeit: </w:t>
      </w:r>
      <w:r>
        <w:rPr>
          <w:sz w:val="19"/>
        </w:rPr>
        <w:t>China-Studie, Protokoll noch nicht abgeschlossen; Konzept sozialer Integration und intrinsischer Kapazität in Versorgung relevant.</w:t>
      </w:r>
    </w:p>
    <w:p>
      <w:r>
        <w:rPr>
          <w:color w:val="5A7D3A"/>
          <w:sz w:val="18"/>
        </w:rPr>
        <w:t>https://pubmed.ncbi.nlm.nih.gov/42848871/</w:t>
      </w:r>
    </w:p>
    <w:p>
      <w:pPr>
        <w:pStyle w:val="Heading2"/>
      </w:pPr>
      <w:r>
        <w:t>Hypertonie-Verlaufsmuster und Gebrechlichkeit: Progressive Hypertonie verstärkt Frailty</w:t>
      </w:r>
    </w:p>
    <w:p>
      <w:r>
        <w:rPr>
          <w:i/>
          <w:color w:val="666666"/>
          <w:sz w:val="18"/>
        </w:rPr>
        <w:t>Pi Y et al.  ·  Geriatr Gerontol Int  ·  Okt. 2026  ·  PMID 42844672</w:t>
      </w:r>
    </w:p>
    <w:p>
      <w:r>
        <w:t>Longitudinale Kohortenstudie an 6.770 Älteren (CHARLS) untersuchte, ob unterschiedliche Hypertonie-Entwicklungsmuster mit späterer Gebrechlichkeit assoziiert sind.</w:t>
      </w:r>
    </w:p>
    <w:p>
      <w:r>
        <w:rPr>
          <w:b/>
        </w:rPr>
        <w:t xml:space="preserve">Ergebnis: </w:t>
      </w:r>
      <w:r>
        <w:t>Gegenüber anhaltend normaler Blutdruck zeigten progressive Hypertonie (β = 0,013; 95 %-KI: 0,006–0,020), remittierende/fluktuierende Hypertonie (β = 0,009; 95 %-KI: 0,003–0,015) und anhaltende Hypertonie (β = 0,008; 95 %-KI: 0,002–0,014) höhere Frailty-Indizes. Systolischer Druck zeigte nichtlineare Assoziation. Cystatin C und CRP vermittelten teilweise den Effekt persistenter Hypertonie auf Gebrechlichkeit.</w:t>
      </w:r>
    </w:p>
    <w:p>
      <w:r>
        <w:rPr>
          <w:b/>
          <w:sz w:val="19"/>
        </w:rPr>
        <w:t xml:space="preserve">Übertragbarkeit: </w:t>
      </w:r>
      <w:r>
        <w:rPr>
          <w:sz w:val="19"/>
        </w:rPr>
        <w:t>Chinesische Kohortenstudie, aber Hypertonie-Gebrechlichkeit-Assoziation mechanistisch universell.</w:t>
      </w:r>
    </w:p>
    <w:p>
      <w:r>
        <w:rPr>
          <w:color w:val="5A7D3A"/>
          <w:sz w:val="18"/>
        </w:rPr>
        <w:t>https://pubmed.ncbi.nlm.nih.gov/42844672/</w:t>
      </w:r>
    </w:p>
    <w:p>
      <w:pPr>
        <w:pStyle w:val="Heading2"/>
      </w:pPr>
      <w:r>
        <w:t>Mikrobiota-Zusammensetzung vorhersagt Entzündung besser als chronologisches Alter</w:t>
      </w:r>
    </w:p>
    <w:p>
      <w:r>
        <w:rPr>
          <w:i/>
          <w:color w:val="666666"/>
          <w:sz w:val="18"/>
        </w:rPr>
        <w:t>Eriksen C et al.  ·  Nat Commun  ·  08.09.2026  ·  PMID 42844264</w:t>
      </w:r>
    </w:p>
    <w:p>
      <w:r>
        <w:t>Analyse von 1.199 Erwachsenen (20–72 Jahre) zeigte, dass Darmmikrobiota-Zusammensetzung mehr Varianz in systemischen Entzündungsmarkern erklärt als Alter und mit Erkrankungsrisiko assoziiert ist.</w:t>
      </w:r>
    </w:p>
    <w:p>
      <w:r>
        <w:rPr>
          <w:b/>
        </w:rPr>
        <w:t xml:space="preserve">Ergebnis: </w:t>
      </w:r>
      <w:r>
        <w:t>Mikrobiota erklärte mehr Varianz als Alter für 97 % der Zytokine und 84 % der physiologischen Variablen. Bacteroides-2-Enterotyp zeigte inflammaging-ähnliches Phänotyp bereits in frühem Erwachsenenalter (bis zu 37 Jahre früher) mit erhöhtem Erkrankungsrisiko (Hazard Ratio 1,21; 95 %-KI: 1,18–1,25). High-Diversity-Enterotyp war mit niedriger Entzündung und reduziertem Risiko assoziiert. Mikrobiota ist ein stärkerer Entzündungskorrelat als chronologisches Alter.</w:t>
      </w:r>
    </w:p>
    <w:p>
      <w:r>
        <w:rPr>
          <w:b/>
          <w:sz w:val="19"/>
        </w:rPr>
        <w:t xml:space="preserve">Übertragbarkeit: </w:t>
      </w:r>
      <w:r>
        <w:rPr>
          <w:sz w:val="19"/>
        </w:rPr>
        <w:t>Dänische Bevölkerungsstudie, Mechanismus altersunabhängig, auf Deutschland übertragbar.</w:t>
      </w:r>
    </w:p>
    <w:p>
      <w:r>
        <w:rPr>
          <w:color w:val="5A7D3A"/>
          <w:sz w:val="18"/>
        </w:rPr>
        <w:t>https://pubmed.ncbi.nlm.nih.gov/42844264/</w:t>
      </w:r>
    </w:p>
    <w:p>
      <w:pPr>
        <w:pStyle w:val="Heading2"/>
      </w:pPr>
      <w:r>
        <w:t>Gebrechlichkeit bei älteren COPD-Patienten vorhersagt Exazerbationen und Klinikaufenthalte</w:t>
      </w:r>
    </w:p>
    <w:p>
      <w:r>
        <w:rPr>
          <w:i/>
          <w:color w:val="666666"/>
          <w:sz w:val="18"/>
        </w:rPr>
        <w:t>Bardakci MI et al.  ·  Colomb Med (Cali)  ·  30.03.2026  ·  PMID 42840874</w:t>
      </w:r>
    </w:p>
    <w:p>
      <w:r>
        <w:t>Querschnittstudie an 112 älteren COPD-Patienten (≥65 Jahre) prüfte, ob Gebrechlichkeit mit Krankheitsschwere, Exazerbationen und Hospitalisierungen korreliert.</w:t>
      </w:r>
    </w:p>
    <w:p>
      <w:r>
        <w:rPr>
          <w:b/>
        </w:rPr>
        <w:t xml:space="preserve">Ergebnis: </w:t>
      </w:r>
      <w:r>
        <w:t>Gebrechlichkeit-Prävalenz 49,1 % (55/112). Signifikante negative Korrelation zwischen FRAIL-Score und FEV1 % (rs −0,695; 95 %-KI: −0,782 bis −0,581; p &lt; 0,001). Positive Korrelationen mit CAT (rs 0,840; p &lt; 0,001) und mMRC (rs 0,733; p &lt; 0,001). Patienten mit höheren FRAIL-Scores hatten signifikant mehr Exazerbationen und Klinikaufenthalte (p &lt; 0,001).</w:t>
      </w:r>
    </w:p>
    <w:p>
      <w:r>
        <w:rPr>
          <w:b/>
          <w:sz w:val="19"/>
        </w:rPr>
        <w:t xml:space="preserve">Übertragbarkeit: </w:t>
      </w:r>
      <w:r>
        <w:rPr>
          <w:sz w:val="19"/>
        </w:rPr>
        <w:t>Türkische Studie, aber FRAIL-Score und COPD-Ergebnis international etabliert.</w:t>
      </w:r>
    </w:p>
    <w:p>
      <w:r>
        <w:rPr>
          <w:color w:val="5A7D3A"/>
          <w:sz w:val="18"/>
        </w:rPr>
        <w:t>https://pubmed.ncbi.nlm.nih.gov/42840874/</w:t>
      </w:r>
    </w:p>
    <w:p>
      <w:pPr>
        <w:pStyle w:val="Heading2"/>
      </w:pPr>
      <w:r>
        <w:t>CKM-spezifischer Aging-Index vorhersagt Mortalität besser als universelle biologische Alter</w:t>
      </w:r>
    </w:p>
    <w:p>
      <w:r>
        <w:rPr>
          <w:i/>
          <w:color w:val="666666"/>
          <w:sz w:val="18"/>
        </w:rPr>
        <w:t>Zhu Z et al.  ·  PLoS Med  ·  06.10.2026  ·  PMID 42837317</w:t>
      </w:r>
    </w:p>
    <w:p>
      <w:r>
        <w:t>Maschinelles Lernen an 6.896 NHANES-Teilnehmern entwickelte einen Cardiovascular-Kidney-Metabolic-spezifischen Aging-Index (CKMAI) zur Risikostratifizierung und Mortalitätsprognose.</w:t>
      </w:r>
    </w:p>
    <w:p>
      <w:r>
        <w:rPr>
          <w:b/>
        </w:rPr>
        <w:t xml:space="preserve">Ergebnis: </w:t>
      </w:r>
      <w:r>
        <w:t>CKMAI übertraf PhenoAge, KDM und CMI in allen Outcomes. Zeit-abhängige AUC für Gesamtmortalität: 0,893 (95 %-KI: 0,851–0,925) nach 3 Jahren, 0,907 (95 %-KI: 0,884–0,927) nach 5 Jahren, 0,890 (95 %-KI: 0,868–0,910) nach 10 Jahren. Schwellwertanalyse identifizierte Inflexionspunkte mit steileren Risikoerhöhungen darunter. Sechs Phänotypen-Cluster; Frailty-Cluster zeigte höchstes Mortalitätsrisiko (HR 11,74; 95 %-KI: 7,85–17,57).</w:t>
      </w:r>
    </w:p>
    <w:p>
      <w:r>
        <w:rPr>
          <w:b/>
          <w:sz w:val="19"/>
        </w:rPr>
        <w:t xml:space="preserve">Übertragbarkeit: </w:t>
      </w:r>
      <w:r>
        <w:rPr>
          <w:sz w:val="19"/>
        </w:rPr>
        <w:t>USA-Daten (NHANES), aber metabolische Pathophysiologie universell, externe Validierung in China.</w:t>
      </w:r>
    </w:p>
    <w:p>
      <w:r>
        <w:rPr>
          <w:color w:val="5A7D3A"/>
          <w:sz w:val="18"/>
        </w:rPr>
        <w:t>https://pubmed.ncbi.nlm.nih.gov/42837317/</w:t>
      </w:r>
    </w:p>
    <w:p>
      <w:pPr>
        <w:pStyle w:val="Heading2"/>
      </w:pPr>
      <w:r>
        <w:t>Chronische Krisen und biologisches Altern: Stress beschleunigt Frailty und funktionalen Verfall</w:t>
      </w:r>
    </w:p>
    <w:p>
      <w:r>
        <w:rPr>
          <w:i/>
          <w:color w:val="666666"/>
          <w:sz w:val="18"/>
        </w:rPr>
        <w:t>Lushchak O et al.  ·  Biogerontology  ·  03.09.2026  ·  PMID 42690451</w:t>
      </w:r>
    </w:p>
    <w:p>
      <w:r>
        <w:t>Perspektivarbeit argumentiert, dass prolongierte Krisen (beispielsweise Krieg) chronische biologische Alterungsprozesse durch Stressachsen-Überaktivierung, Schlafstörung, Entzündung und Sarkopenie beschleunigen.</w:t>
      </w:r>
    </w:p>
    <w:p>
      <w:r>
        <w:rPr>
          <w:b/>
        </w:rPr>
        <w:t xml:space="preserve">Ergebnis: </w:t>
      </w:r>
      <w:r>
        <w:t>Konzeptrahmen verbindet HPA-Achsen-Aktivierung, Glukokortikoid-Dysregulation, ROS-Produktion, zelluläre Seneszenz und Mitochondrien-Dysfunktion mit abdominalem Übergewicht, sarkopener Adipositas, Frailty und funktionalem Verfall unter Krisenbedingungen. Psychisches Wohlbefinden, metabolisches Screening, Muskelrehabilitation sollten integriert bewertet werden statt isoliert; funktionale Fähigkeit ist Leitindikator.</w:t>
      </w:r>
    </w:p>
    <w:p>
      <w:r>
        <w:rPr>
          <w:b/>
          <w:sz w:val="19"/>
        </w:rPr>
        <w:t xml:space="preserve">Übertragbarkeit: </w:t>
      </w:r>
      <w:r>
        <w:rPr>
          <w:sz w:val="19"/>
        </w:rPr>
        <w:t>Ukraine-Fallbeispiel; biologische Mechanismen krisen- und kontextabhängig, aber Prinzipien für Vulnerabilität älterer Menschen universal.</w:t>
      </w:r>
    </w:p>
    <w:p>
      <w:r>
        <w:rPr>
          <w:color w:val="5A7D3A"/>
          <w:sz w:val="18"/>
        </w:rPr>
        <w:t>https://pubmed.ncbi.nlm.nih.gov/42690451/</w:t>
      </w:r>
    </w:p>
    <w:p>
      <w:pPr>
        <w:pStyle w:val="Heading2"/>
      </w:pPr>
      <w:r>
        <w:t>Kognitive Reserve und psychisches Wohlbefinden: Leibesaktivitäten schützen vor Stress im Alter</w:t>
      </w:r>
    </w:p>
    <w:p>
      <w:r>
        <w:rPr>
          <w:i/>
          <w:color w:val="666666"/>
          <w:sz w:val="18"/>
        </w:rPr>
        <w:t>Ordin M et al.  ·  Brain Behav  ·  Sept. 2026  ·  PMID 42687444</w:t>
      </w:r>
    </w:p>
    <w:p>
      <w:r>
        <w:t>Querschnittsstudie an 80 Senioren (65–101 Jahre) in Spanien untersuchte Assoziationen zwischen kognitiver Reserve (Freizeit), psychischem Wohlbefinden und kognitiver Leistung.</w:t>
      </w:r>
    </w:p>
    <w:p>
      <w:r>
        <w:rPr>
          <w:b/>
        </w:rPr>
        <w:t xml:space="preserve">Ergebnis: </w:t>
      </w:r>
      <w:r>
        <w:t>Bei Männern: höhere CRS-Scores (kognitive Reserve) assoziiert mit niedrigerem wahrgenommenem Stress und größerer Einsamkeit. CRS-Scores korreliert mit ausgewählten Aufmerksamkeitsmaßen. Keine signifikante Assoziation zwischen CRS und Gedächtnisspanne. Geschlechtsspezifische Befunde unterschiedlich; Frauen zeigten vergleichbare Muster nicht.</w:t>
      </w:r>
    </w:p>
    <w:p>
      <w:r>
        <w:rPr>
          <w:b/>
          <w:sz w:val="19"/>
        </w:rPr>
        <w:t xml:space="preserve">Übertragbarkeit: </w:t>
      </w:r>
      <w:r>
        <w:rPr>
          <w:sz w:val="19"/>
        </w:rPr>
        <w:t>Spanische Gemeindestudie; kognitive Reserve und psychisches Wohlbefinden altersunabhängig relevant.</w:t>
      </w:r>
    </w:p>
    <w:p>
      <w:r>
        <w:rPr>
          <w:color w:val="5A7D3A"/>
          <w:sz w:val="18"/>
        </w:rPr>
        <w:t>https://pubmed.ncbi.nlm.nih.gov/42687444/</w:t>
      </w:r>
    </w:p>
    <w:p>
      <w:pPr>
        <w:pStyle w:val="Heading1"/>
      </w:pPr>
      <w:r>
        <w:t>Aufgenommen am 08.10.2026</w:t>
      </w:r>
    </w:p>
    <w:p>
      <w:pPr>
        <w:pStyle w:val="Heading2"/>
      </w:pPr>
      <w:r>
        <w:t>Hitzewellen gefährden geriatrische Versorgungspfade – Stresstest zeigt Systemfragmentierung</w:t>
      </w:r>
    </w:p>
    <w:p>
      <w:r>
        <w:rPr>
          <w:i/>
          <w:color w:val="666666"/>
          <w:sz w:val="18"/>
        </w:rPr>
        <w:t>Annweiler C et al.  ·  Geriatr Psychol Neuropsychiatr Vieil  ·  01.09.2026  ·  PMID 42842818</w:t>
      </w:r>
    </w:p>
    <w:p>
      <w:r>
        <w:t>Beobachtungsstudie zu Auswirkungen der Hitzewelle Juni/Juli 2026 auf akute geriatrische Stationen und Rehabilitationseinheiten in Frankreich mit Erfassung von Raumtemperaturen, Kapazitätsbelastung und organisatorischen Anpassungen.</w:t>
      </w:r>
    </w:p>
    <w:p>
      <w:r>
        <w:rPr>
          <w:b/>
        </w:rPr>
        <w:t xml:space="preserve">Ergebnis: </w:t>
      </w:r>
      <w:r>
        <w:t>45,5 % der Stationen meldeten zunächst unerträgliche Patientenzimmertemperaturen, 88,4 % Personalermüdung. Eine Woche später besserten sich die Akutsymptome (tolerable Temperaturen 53,6 % → 100 %, p&lt;0,001; Notaufnahmebelastung 91,1 % → 63,3 %, p&lt;0,001), doch die Downstream-Kapazität blieb kritisch: 87,5 % der Stationen meldeten unzureichende Rehabilitationskapazität, die sich nicht verbesserte (86,7 %, p=0,903). Gekürzte Räume und Geräte reduzierten Hitzekomplikationen. Das Hitzeereignis offenbarte ein bereits fragiles System mit persistenter Versorgungsfragmentierung.</w:t>
      </w:r>
    </w:p>
    <w:p>
      <w:r>
        <w:rPr>
          <w:b/>
          <w:sz w:val="19"/>
        </w:rPr>
        <w:t xml:space="preserve">Übertragbarkeit: </w:t>
      </w:r>
      <w:r>
        <w:rPr>
          <w:sz w:val="19"/>
        </w:rPr>
        <w:t>Frankreich, deutsche Versorgung vergleichbar gefährdet; Klimaresilenz Gesundheitswesen zentrale Strategie</w:t>
      </w:r>
    </w:p>
    <w:p>
      <w:r>
        <w:rPr>
          <w:color w:val="5A7D3A"/>
          <w:sz w:val="18"/>
        </w:rPr>
        <w:t>https://pubmed.ncbi.nlm.nih.gov/42842818/</w:t>
      </w:r>
    </w:p>
    <w:p>
      <w:pPr>
        <w:pStyle w:val="Heading2"/>
      </w:pPr>
      <w:r>
        <w:t>Kohlenhydrat-Fett-Verhältnis positiv mit Gebrechlichkeit assoziiert – Ernährungsempfehlung für Ältere</w:t>
      </w:r>
    </w:p>
    <w:p>
      <w:r>
        <w:rPr>
          <w:i/>
          <w:color w:val="666666"/>
          <w:sz w:val="18"/>
        </w:rPr>
        <w:t>Nanri H et al.  ·  Eur J Nutr  ·  07.10.2026  ·  PMID 42841976</w:t>
      </w:r>
    </w:p>
    <w:p>
      <w:r>
        <w:t>Querschnittstudie an 5.679 älteren Japanern (≥65 Jahre) zur Assoziation des Kohlenhydrat-zu-Fett-Energieverh ältnisses (CFr) mit umfassender Gebrechlichkeit (Kihon-Checklist-Score ≥7) über multivariable logistische Regression mit Stratifizierung nach Proteinzufuhr.</w:t>
      </w:r>
    </w:p>
    <w:p>
      <w:r>
        <w:rPr>
          <w:b/>
        </w:rPr>
        <w:t xml:space="preserve">Ergebnis: </w:t>
      </w:r>
      <w:r>
        <w:t>30,0 % (1.705/5.679) zeigten umfassende Gebrechlichkeit. Adjustierte Odds-Ratios für höchstes CFr-Quartil vs. niedrigstes: 1,92 (95%-KI 1,55–2,38, p&lt;0,001). Dose-Wirkung-Beziehung linear über alle Geschlechter und Proteinzufuhr-Tertile, ohne Effektmodifikation. Höhere Kohlenhydrate bei moderater Fettreduktion assoziiert mit erhöhter Gebrechlichkeitsprä valenz, unabhängig von Proteinmenge.</w:t>
      </w:r>
    </w:p>
    <w:p>
      <w:r>
        <w:rPr>
          <w:b/>
          <w:sz w:val="19"/>
        </w:rPr>
        <w:t xml:space="preserve">Übertragbarkeit: </w:t>
      </w:r>
      <w:r>
        <w:rPr>
          <w:sz w:val="19"/>
        </w:rPr>
        <w:t>Japan, Ernährungsepidemiologie; Qualität beschränkt auf Querschnitt ohne Kausalität</w:t>
      </w:r>
    </w:p>
    <w:p>
      <w:r>
        <w:rPr>
          <w:color w:val="5A7D3A"/>
          <w:sz w:val="18"/>
        </w:rPr>
        <w:t>https://pubmed.ncbi.nlm.nih.gov/42841976/</w:t>
      </w:r>
    </w:p>
    <w:p>
      <w:pPr>
        <w:pStyle w:val="Heading2"/>
      </w:pPr>
      <w:r>
        <w:t>Gebrechlichkeit vorhersagt prolongierte Hospitalisierung und schlechtere Outcomes nach Quadrizeps-Sehnenriss</w:t>
      </w:r>
    </w:p>
    <w:p>
      <w:r>
        <w:rPr>
          <w:i/>
          <w:color w:val="666666"/>
          <w:sz w:val="18"/>
        </w:rPr>
        <w:t>Ozdemir E et al.  ·  Ulus Travma Acil Cerrahi Derg  ·  Okt. 2026  ·  PMID 42841891</w:t>
      </w:r>
    </w:p>
    <w:p>
      <w:r>
        <w:t>Retrospektive multizentrische Kohortenstudie an 67 älteren Patienten (Mittelwert 57,5 Jahre) mit akutem Quadrizeps-Sehnenriss, bewertet mit modifiziertem Frailty Index (mFI-5) und Clinical Frailty Scale (CFS) zur Vorhersage von Aufenthaltsdauer und funktionaler Erholung (Lysholm-Score ≥12 Monate).</w:t>
      </w:r>
    </w:p>
    <w:p>
      <w:r>
        <w:rPr>
          <w:b/>
        </w:rPr>
        <w:t xml:space="preserve">Ergebnis: </w:t>
      </w:r>
      <w:r>
        <w:t>Höhere mFI-5-Scores waren mit prolongierter Hospitalisierungsdauer assoziiert (r=0,404, p&lt;0,001); jeder 1-Punkt-Anstieg sagte 1,26 Tage längeren Aufenthalt voraus (95%-KI 0,61–1,90; R²=0,337). CFS war unabhängig mit schlechterer Erholung verbunden: jeder 1-Punkt-Anstieg entsprach 4,32-Punkt-Reduktion im Lysholm-Score (95%-KI –6,98 bis –1,67; R²=0,163). Höchstes Risiko-Quartil zeigte 16,7× erhöhtes Mortalitätsrisiko.</w:t>
      </w:r>
    </w:p>
    <w:p>
      <w:r>
        <w:rPr>
          <w:b/>
          <w:sz w:val="19"/>
        </w:rPr>
        <w:t xml:space="preserve">Übertragbarkeit: </w:t>
      </w:r>
      <w:r>
        <w:rPr>
          <w:sz w:val="19"/>
        </w:rPr>
        <w:t>Türkei, Orthopädie-Versorgung vergleichbar; geriatrisches Assessment umsetzbar</w:t>
      </w:r>
    </w:p>
    <w:p>
      <w:r>
        <w:rPr>
          <w:color w:val="5A7D3A"/>
          <w:sz w:val="18"/>
        </w:rPr>
        <w:t>https://pubmed.ncbi.nlm.nih.gov/42841891/</w:t>
      </w:r>
    </w:p>
    <w:p>
      <w:pPr>
        <w:pStyle w:val="Heading2"/>
      </w:pPr>
      <w:r>
        <w:t>Biofeedback reduziert Schwindel-Beeinträchtigung im Alltag älterer Menschen</w:t>
      </w:r>
    </w:p>
    <w:p>
      <w:r>
        <w:rPr>
          <w:i/>
          <w:color w:val="666666"/>
          <w:sz w:val="18"/>
        </w:rPr>
        <w:t>Chiara B et al.  ·  Curr Aging Sci  ·  2026  ·  PMID 42841459</w:t>
      </w:r>
    </w:p>
    <w:p>
      <w:r>
        <w:t>Randomisierte kontrollierte Studie zur Wirksamkeit von Biofeedback-Training (Procomp Infinity) bei 190 älteren Ambulanzpatienten (&gt;65 Jahre) mit Schwindel über 3 Monate ohne Auffrischungssitzungen.</w:t>
      </w:r>
    </w:p>
    <w:p>
      <w:r>
        <w:rPr>
          <w:b/>
        </w:rPr>
        <w:t xml:space="preserve">Ergebnis: </w:t>
      </w:r>
      <w:r>
        <w:t>Repeated-ANOVA zeigte signifikante Reduktion der Dizziness-Handicap-Inventory(DHI)-Scores nach 3 Monaten in der Biofeedback-Gruppe; Patienten lernten durch Muskelentspannung und Atemkontrolle, die Symptome zu bewältigen und erlangten Selbstwirksamkeit. Die Intervention reduzierte die funktionalen Auswirkungen von Schwindel und Instabilität im alltäglichen Leben substanziell.</w:t>
      </w:r>
    </w:p>
    <w:p>
      <w:r>
        <w:rPr>
          <w:b/>
          <w:sz w:val="19"/>
        </w:rPr>
        <w:t xml:space="preserve">Übertragbarkeit: </w:t>
      </w:r>
      <w:r>
        <w:rPr>
          <w:sz w:val="19"/>
        </w:rPr>
        <w:t>Italien, Methode kulturübergreifend übertragbar; Effektgröße in Abstract nicht quantifiziert</w:t>
      </w:r>
    </w:p>
    <w:p>
      <w:r>
        <w:rPr>
          <w:color w:val="5A7D3A"/>
          <w:sz w:val="18"/>
        </w:rPr>
        <w:t>https://pubmed.ncbi.nlm.nih.gov/42841459/</w:t>
      </w:r>
    </w:p>
    <w:p>
      <w:pPr>
        <w:pStyle w:val="Heading2"/>
      </w:pPr>
      <w:r>
        <w:t>Beschleunigtes Hirnaltern bei psychiatrischen und neurodegenerativen Störungen quantifiziert</w:t>
      </w:r>
    </w:p>
    <w:p>
      <w:r>
        <w:rPr>
          <w:i/>
          <w:color w:val="666666"/>
          <w:sz w:val="18"/>
        </w:rPr>
        <w:t>Gupta Y et al.  ·  Psychol Med  ·  07.10.2026  ·  PMID 42839301</w:t>
      </w:r>
    </w:p>
    <w:p>
      <w:r>
        <w:t>Lifespan-MRT-Studie an 25.425 Gesunden (Alter 2–95 Jahre) und 3.530 Patienten mit Schizophrenie, Depression, bipolarer Störung, ADHS, Substanzabhängigkeit, Alzheimer und FTD zur Bestimmung eines Brain-Predicted-Age-Difference (brain-PAD).</w:t>
      </w:r>
    </w:p>
    <w:p>
      <w:r>
        <w:rPr>
          <w:b/>
        </w:rPr>
        <w:t xml:space="preserve">Ergebnis: </w:t>
      </w:r>
      <w:r>
        <w:t>Modell erreichte mittleren absoluten Fehler von 5–7 Jahren. Signifikante Erhöhung von Δbrain-PAD bei Schizophrenie (+7,64 Jahre), FTD (+7,61), Alzheimer (+3,24), bipolarer Störung (+2,08), Depression (+2,76) und CSUD (+2,91 Jahre), nicht bei ADHS. Regionale Analysen zeigten gemeinsame und störungsspezifische morphometrische Alterationen. Effekt: Quantitativer Rahmen für Hirnaltern über Störungen hinweg, aber mechanistischer Versorgungsbezug fehlt.</w:t>
      </w:r>
    </w:p>
    <w:p>
      <w:r>
        <w:rPr>
          <w:b/>
          <w:sz w:val="19"/>
        </w:rPr>
        <w:t xml:space="preserve">Übertragbarkeit: </w:t>
      </w:r>
      <w:r>
        <w:rPr>
          <w:sz w:val="19"/>
        </w:rPr>
        <w:t>Deutschland, Forschung; Mechanismus-Biomarker ohne Behandlungsendpunkt – begrenzte geriatrische Relevanz</w:t>
      </w:r>
    </w:p>
    <w:p>
      <w:r>
        <w:rPr>
          <w:color w:val="5A7D3A"/>
          <w:sz w:val="18"/>
        </w:rPr>
        <w:t>https://pubmed.ncbi.nlm.nih.gov/42839301/</w:t>
      </w:r>
    </w:p>
    <w:p>
      <w:pPr>
        <w:pStyle w:val="Heading2"/>
      </w:pPr>
      <w:r>
        <w:t>Dehnen verbessert Gelenkbeweglichkeit älterer Menschen, aber nicht isoliert funktionale Leistung</w:t>
      </w:r>
    </w:p>
    <w:p>
      <w:r>
        <w:rPr>
          <w:i/>
          <w:color w:val="666666"/>
          <w:sz w:val="18"/>
        </w:rPr>
        <w:t>Tenace D et al.  ·  Recenti Prog Med  ·  Okt. 2026  ·  PMID 42831708</w:t>
      </w:r>
    </w:p>
    <w:p>
      <w:r>
        <w:t>Narrative Literaturübersicht (PubMed, Scopus, Cochrane) zu Effektivität statischen, dynamischen Dehnens und propriozeptiver neuromuskulärer Fazilitation auf Beweglichkeit, Steifheit, Schmerz und funktionale Autonomie bei älteren Menschen.</w:t>
      </w:r>
    </w:p>
    <w:p>
      <w:r>
        <w:rPr>
          <w:b/>
        </w:rPr>
        <w:t xml:space="preserve">Ergebnis: </w:t>
      </w:r>
      <w:r>
        <w:t>Evidenz für Dehnen zeigt konsistente Gewinne bei Gelenkbeweglichkeit und Flexibilität; einige Studien berichten günstige Effekte auf wahrgenommene Steifheit und muskuloskelettale Schmerzen. Verbesserungen der Gesamtfunktion, Balance und Sturzprävention sind jedoch weniger konsistent. Fazit: Dehnen ist kein Monotherapie-Ansatz, sondern komplementäre Komponente in Multikomponenten-Programmen, am wirksamsten für Mobilitätsgewinne bei Menschen mit Ausgangsfunktionsverlust.</w:t>
      </w:r>
    </w:p>
    <w:p>
      <w:r>
        <w:rPr>
          <w:b/>
          <w:sz w:val="19"/>
        </w:rPr>
        <w:t xml:space="preserve">Übertragbarkeit: </w:t>
      </w:r>
      <w:r>
        <w:rPr>
          <w:sz w:val="19"/>
        </w:rPr>
        <w:t>Italien, Evidenzlage europäisch dominiert, methodisch konsistent</w:t>
      </w:r>
    </w:p>
    <w:p>
      <w:r>
        <w:rPr>
          <w:color w:val="5A7D3A"/>
          <w:sz w:val="18"/>
        </w:rPr>
        <w:t>https://pubmed.ncbi.nlm.nih.gov/42831708/</w:t>
      </w:r>
    </w:p>
    <w:p>
      <w:pPr>
        <w:pStyle w:val="Heading2"/>
      </w:pPr>
      <w:r>
        <w:t>Resilienz ist häufige, aber nicht universelle Reaktion auf funktionalen Gesundheitsverlust im Alter</w:t>
      </w:r>
    </w:p>
    <w:p>
      <w:r>
        <w:rPr>
          <w:i/>
          <w:color w:val="666666"/>
          <w:sz w:val="18"/>
        </w:rPr>
        <w:t>Köhler T et al.  ·  Soc Sci Med  ·  29.08.2026  ·  PMID 42700481</w:t>
      </w:r>
    </w:p>
    <w:p>
      <w:r>
        <w:t>Growth-Mixture-Modelling-Analyse von SHARE-Daten zu Anpassungstrajektorien der Lebensqualität nach Beginn von Aktivitätseinschränkungen bei älteren Menschen (Match-Kontroll-Design für Kausalitätsattribution).</w:t>
      </w:r>
    </w:p>
    <w:p>
      <w:r>
        <w:rPr>
          <w:b/>
        </w:rPr>
        <w:t xml:space="preserve">Ergebnis: </w:t>
      </w:r>
      <w:r>
        <w:t>Bei Lebenszufriedenheit und Lebensqualität entstanden 3 Trajektorien mit Resilienz als Modalantwort (86,5 % bzw. 78,7 %); bei depressiven Symptomen 4 Trajektorien mit gleichen Anteilen resilient und chronisch (je 43,4 %). Stärkere Behinderung sagte Erholungstrajektorie voraus, vorbestehende Limitations und sozioökonomische Benachteiligung waren mit chronischen Pfaden assoziiert. Befund: Resilienz ist verbreitet, aber nicht uniform; multidimensionale Outcomes essentiell.</w:t>
      </w:r>
    </w:p>
    <w:p>
      <w:r>
        <w:rPr>
          <w:b/>
          <w:sz w:val="19"/>
        </w:rPr>
        <w:t xml:space="preserve">Übertragbarkeit: </w:t>
      </w:r>
      <w:r>
        <w:rPr>
          <w:sz w:val="19"/>
        </w:rPr>
        <w:t>Europa (SHARE), deutsches Sozialversicherungssystem direkt übertragbar</w:t>
      </w:r>
    </w:p>
    <w:p>
      <w:r>
        <w:rPr>
          <w:color w:val="5A7D3A"/>
          <w:sz w:val="18"/>
        </w:rPr>
        <w:t>https://pubmed.ncbi.nlm.nih.gov/42700481/</w:t>
      </w:r>
    </w:p>
    <w:p>
      <w:pPr>
        <w:pStyle w:val="Heading1"/>
      </w:pPr>
      <w:r>
        <w:t>Aufgenommen am 07.10.2026</w:t>
      </w:r>
    </w:p>
    <w:p>
      <w:pPr>
        <w:pStyle w:val="Heading2"/>
      </w:pPr>
      <w:r>
        <w:t>Kohorte der Altern-Studie Add Health in mittlerem Alter mit schlechterer Gesundheit als Vorgängergenerationen</w:t>
      </w:r>
    </w:p>
    <w:p>
      <w:r>
        <w:rPr>
          <w:i/>
          <w:color w:val="666666"/>
          <w:sz w:val="18"/>
        </w:rPr>
        <w:t>Gaydosh L et al.  ·  J Gerontol B Psychol Sci Soc Sci  ·  01.10.2026  ·  PMID 42837509</w:t>
      </w:r>
    </w:p>
    <w:p>
      <w:r>
        <w:t>Add Health Welle VI (Durchschnittsalter 44 Jahre, n=11.979) und Vergleich mit NHANES-Kohorten: Analyse von Altersmustern in Allgemeingesundheit, psychischer Gesundheit, Gesundheitsverhalten und chronischen Erkrankungen über Lebensabschnitte.</w:t>
      </w:r>
    </w:p>
    <w:p>
      <w:r>
        <w:rPr>
          <w:b/>
        </w:rPr>
        <w:t xml:space="preserve">Ergebnis: </w:t>
      </w:r>
      <w:r>
        <w:t>Add Health zeigte beim Alterungsübergang in Mittelalter Verschlechterung in Allgemeingesundheit, psychischer Gesundheit und chronischen Erkrankungen, während Gesundheitsverhalten sich verbesserte. Im Vergleich zu NHANES-Kohorten: Add Health-Kohorte hat schlechtere Gesundheit als ältere Kohorten und teilweise schlechter als eigene Geburtskohorte zu früheren Zeitpunkten. Bildungsgradienten sind relativ stabil, mit einigen Anzeichen von Zunahme über Zeit.</w:t>
      </w:r>
    </w:p>
    <w:p>
      <w:r>
        <w:rPr>
          <w:b/>
          <w:sz w:val="19"/>
        </w:rPr>
        <w:t xml:space="preserve">Übertragbarkeit: </w:t>
      </w:r>
      <w:r>
        <w:rPr>
          <w:sz w:val="19"/>
        </w:rPr>
        <w:t>USA, begrenzt auf US-Versorgungskontext; Trends sozioökonomischer Disparitäten aber universal relevant</w:t>
      </w:r>
    </w:p>
    <w:p>
      <w:r>
        <w:rPr>
          <w:color w:val="5A7D3A"/>
          <w:sz w:val="18"/>
        </w:rPr>
        <w:t>https://pubmed.ncbi.nlm.nih.gov/42837509/</w:t>
      </w:r>
    </w:p>
    <w:p>
      <w:pPr>
        <w:pStyle w:val="Heading2"/>
      </w:pPr>
      <w:r>
        <w:t>Soziale Isolation und Einsamkeit vorhersagend für kognitive Verschlechterung von Jugend bis Alter</w:t>
      </w:r>
    </w:p>
    <w:p>
      <w:r>
        <w:rPr>
          <w:i/>
          <w:color w:val="666666"/>
          <w:sz w:val="18"/>
        </w:rPr>
        <w:t>Yang YC et al.  ·  J Gerontol B Psychol Sci Soc Sci  ·  01.10.2026  ·  PMID 42837505</w:t>
      </w:r>
    </w:p>
    <w:p>
      <w:r>
        <w:t>Koordinierte Längsschnittanalyse von drei großen US-Kohorten (Add Health, MIDUS, HRS; n=18.553, Alter 11+), um Zusammenhang zwischen Isolations-/Einsamkeitsmuster und Gedächtnisschwund über Lebensverlauf zu prüfen.</w:t>
      </w:r>
    </w:p>
    <w:p>
      <w:r>
        <w:rPr>
          <w:b/>
        </w:rPr>
        <w:t xml:space="preserve">Ergebnis: </w:t>
      </w:r>
      <w:r>
        <w:t>Starke negative Effekte sozialer Isolation in jungem und älterem Erwachsenenalter, Einsamkeit besonders im Alter auf Gedächtnisfunktion. Persistente (nicht nur transiente) Isolation und Einsamkeit waren mit schlechteren Merkfähigkeitswerten verbunden (p&lt;0,05 nach Adjustierung). Effekte blieben signifikant auch nach Anpassung für soziodemografische und Verhaltensfaktoren, zeigten sich aber weniger konsistent als Niveau-Effekte.</w:t>
      </w:r>
    </w:p>
    <w:p>
      <w:r>
        <w:rPr>
          <w:b/>
          <w:sz w:val="19"/>
        </w:rPr>
        <w:t xml:space="preserve">Übertragbarkeit: </w:t>
      </w:r>
      <w:r>
        <w:rPr>
          <w:sz w:val="19"/>
        </w:rPr>
        <w:t>USA-Kohorten, Mechanismen wahrscheinlich übertragbar; Ausmaß hängt von Sozialstruktur ab</w:t>
      </w:r>
    </w:p>
    <w:p>
      <w:r>
        <w:rPr>
          <w:color w:val="5A7D3A"/>
          <w:sz w:val="18"/>
        </w:rPr>
        <w:t>https://pubmed.ncbi.nlm.nih.gov/42837505/</w:t>
      </w:r>
    </w:p>
    <w:p>
      <w:pPr>
        <w:pStyle w:val="Heading2"/>
      </w:pPr>
      <w:r>
        <w:t>Soziale Teilhabe vor Schlaganfall assoziiert mit physischer Resilienz nach Schlaganfall</w:t>
      </w:r>
    </w:p>
    <w:p>
      <w:r>
        <w:rPr>
          <w:i/>
          <w:color w:val="666666"/>
          <w:sz w:val="18"/>
        </w:rPr>
        <w:t>Zhang Y et al.  ·  PLoS One  ·  06.10.2026  ·  PMID 42837339</w:t>
      </w:r>
    </w:p>
    <w:p>
      <w:r>
        <w:t>Querschnittsstudie an 314 Schlaganfallpatienten (≥45 Jahre) in China, die retrospektive soziale Partizipation vor dem Ereignis mit aktueller physischer Resilienz verknüpfte.</w:t>
      </w:r>
    </w:p>
    <w:p>
      <w:r>
        <w:rPr>
          <w:b/>
        </w:rPr>
        <w:t xml:space="preserve">Ergebnis: </w:t>
      </w:r>
      <w:r>
        <w:t>Schwache positive Korrelation zwischen sozialer Teilhabe und physischer Resilienz (r=0,295, p&lt;0,001). Pro Punkt höherer sozialer Partizipationsscore war physische Resilienz um 0,725 Punkte höher (95%-KI 0,405–1,044, p&lt;0,001), Effekt über alle Frailty-Level konsistent. Belastende retrospektive Erhebung schließt aber kausale Aussagen aus.</w:t>
      </w:r>
    </w:p>
    <w:p>
      <w:r>
        <w:rPr>
          <w:b/>
          <w:sz w:val="19"/>
        </w:rPr>
        <w:t xml:space="preserve">Übertragbarkeit: </w:t>
      </w:r>
      <w:r>
        <w:rPr>
          <w:sz w:val="19"/>
        </w:rPr>
        <w:t>China, begrenzt übertragbar; Mechanismus unterscheidet sich von Deutschland</w:t>
      </w:r>
    </w:p>
    <w:p>
      <w:r>
        <w:rPr>
          <w:color w:val="5A7D3A"/>
          <w:sz w:val="18"/>
        </w:rPr>
        <w:t>https://pubmed.ncbi.nlm.nih.gov/42837339/</w:t>
      </w:r>
    </w:p>
    <w:p>
      <w:pPr>
        <w:pStyle w:val="Heading2"/>
      </w:pPr>
      <w:r>
        <w:t>Gemeinschaftsgaststätten für Senioren fördern Nutzung durch Awareness-Partizipation-Kaufverhalten-Weitersagen-Sequenz</w:t>
      </w:r>
    </w:p>
    <w:p>
      <w:r>
        <w:rPr>
          <w:i/>
          <w:color w:val="666666"/>
          <w:sz w:val="18"/>
        </w:rPr>
        <w:t>Wang S et al.  ·  Front Public Health  ·  21.09.2026  ·  PMID 42836140</w:t>
      </w:r>
    </w:p>
    <w:p>
      <w:r>
        <w:t>Querschnittsstudie in Nanjing (China) mit 1.568 älteren Erwachsenen (≥60 Jahre) zur Nutzung von Seniorengaststätten, strukturelle Gleichungsmodellierung zur Assoziation von Bewusstsein, Interaktion, Kauf und Weitergabe.</w:t>
      </w:r>
    </w:p>
    <w:p>
      <w:r>
        <w:rPr>
          <w:b/>
        </w:rPr>
        <w:t xml:space="preserve">Ergebnis: </w:t>
      </w:r>
      <w:r>
        <w:t>Strukturmodell zeigte signifikante sequenziell positive Assoziationen: Awareness→Interaction (p&lt;0,001), Interaction→Purchase (p&lt;0,001), Purchase→Sharing (p&lt;0,001). Alle Pfade statistisch signifikant, gutes Modellfit. Querschnittdesign erlaubt aber keine Kausalaussagen – hilfreich aber für Serviceoptimierung.</w:t>
      </w:r>
    </w:p>
    <w:p>
      <w:r>
        <w:rPr>
          <w:b/>
          <w:sz w:val="19"/>
        </w:rPr>
        <w:t xml:space="preserve">Übertragbarkeit: </w:t>
      </w:r>
      <w:r>
        <w:rPr>
          <w:sz w:val="19"/>
        </w:rPr>
        <w:t>China, teilweise übertragbar; Versorgungskontext unterscheidet sich von Deutschland</w:t>
      </w:r>
    </w:p>
    <w:p>
      <w:r>
        <w:rPr>
          <w:color w:val="5A7D3A"/>
          <w:sz w:val="18"/>
        </w:rPr>
        <w:t>https://pubmed.ncbi.nlm.nih.gov/42836140/</w:t>
      </w:r>
    </w:p>
    <w:p>
      <w:pPr>
        <w:pStyle w:val="Heading2"/>
      </w:pPr>
      <w:r>
        <w:t>Nierentransplantation verbessert Gebrechlichkeit und kognitive Funktion über zwei Jahre</w:t>
      </w:r>
    </w:p>
    <w:p>
      <w:r>
        <w:rPr>
          <w:i/>
          <w:color w:val="666666"/>
          <w:sz w:val="18"/>
        </w:rPr>
        <w:t>Beerli N et al.  ·  Transpl Int  ·  21.09.2026  ·  PMID 42835482</w:t>
      </w:r>
    </w:p>
    <w:p>
      <w:r>
        <w:t>Prospektive multizentrische Schweizer Kohortenstudie mit 230 Nierentransplantatierten, die Frailty und milde kognitive Beeinträchtigung (MCI) vor und nach Transplantation über bis zu zwei Jahre verfolgten.</w:t>
      </w:r>
    </w:p>
    <w:p>
      <w:r>
        <w:rPr>
          <w:b/>
        </w:rPr>
        <w:t xml:space="preserve">Ergebnis: </w:t>
      </w:r>
      <w:r>
        <w:t>Frailty sank von 8,3% vor Transplantation auf unter 2% im Follow-up, Präfrailty von 54,3% auf 27,6% nach zwei Jahren; MCI-Prävalenz fiel von 42,6% auf 31,3%. Bessere kognitive Funktion vorhersagte niedrigere nachfolgende Frailty, aber nicht umgekehrt. Das Ergebnis zeigt, dass Nierenverpflanzung funktionelle Gebrechlichkeit deutlich reduziert.</w:t>
      </w:r>
    </w:p>
    <w:p>
      <w:r>
        <w:rPr>
          <w:b/>
          <w:sz w:val="19"/>
        </w:rPr>
        <w:t xml:space="preserve">Übertragbarkeit: </w:t>
      </w:r>
      <w:r>
        <w:rPr>
          <w:sz w:val="19"/>
        </w:rPr>
        <w:t>Schweizer Universitätskliniken, vergleichbares deutschsprachiges Versorgungssystem</w:t>
      </w:r>
    </w:p>
    <w:p>
      <w:r>
        <w:rPr>
          <w:color w:val="5A7D3A"/>
          <w:sz w:val="18"/>
        </w:rPr>
        <w:t>https://pubmed.ncbi.nlm.nih.gov/42835482/</w:t>
      </w:r>
    </w:p>
    <w:p>
      <w:pPr>
        <w:pStyle w:val="Heading1"/>
      </w:pPr>
      <w:r>
        <w:t>Aufgenommen am 06.10.2026</w:t>
      </w:r>
    </w:p>
    <w:p>
      <w:pPr>
        <w:pStyle w:val="Heading2"/>
      </w:pPr>
      <w:r>
        <w:t>Frailty als multidimensionales biopsychosoziales Syndrom: Update zu Konzepten und Versorgung</w:t>
      </w:r>
    </w:p>
    <w:p>
      <w:r>
        <w:rPr>
          <w:i/>
          <w:color w:val="666666"/>
          <w:sz w:val="18"/>
        </w:rPr>
        <w:t>Cohen CI et al.  ·  Clin Geriatr Med  ·  Nov. 2026  ·  PMID 42833807</w:t>
      </w:r>
    </w:p>
    <w:p>
      <w:r>
        <w:t>Übersichtsartikel fasst die Entwicklung von Frailty-Konzeptualisierung von primär physisch zu einem komplexen, multidimensionalen biopsychosozialen Syndrom zusammen, unter Einbeziehung von Definition, Diagnose-Tools, Epidemiologie, Pathogenese und Versorgungsansätze.</w:t>
      </w:r>
    </w:p>
    <w:p>
      <w:r>
        <w:rPr>
          <w:b/>
        </w:rPr>
        <w:t xml:space="preserve">Ergebnis: </w:t>
      </w:r>
      <w:r>
        <w:t>Frailty erweitert von physischer zu physischer, kognitiver, sozialer und psychologischer Frailty. Tools und Assessment-Domains aufgelistet; Epidemiologie, Risikofaktoren, Pathogenese, Prävention und Behandlungs-Frameworks skizziert. Ungelöste Versorgungsfragen benannt. Keine spezifischen Zahlenergebnisse, sondern konzeptueller Überblick über den Wandel im Feld.</w:t>
      </w:r>
    </w:p>
    <w:p>
      <w:r>
        <w:rPr>
          <w:b/>
          <w:sz w:val="19"/>
        </w:rPr>
        <w:t xml:space="preserve">Übertragbarkeit: </w:t>
      </w:r>
      <w:r>
        <w:rPr>
          <w:sz w:val="19"/>
        </w:rPr>
        <w:t>US-amerikanisches Review; biopsychosoziales Frailty-Modell international etabliert, auf deutsches System direkt anwendbar.</w:t>
      </w:r>
    </w:p>
    <w:p>
      <w:r>
        <w:rPr>
          <w:color w:val="5A7D3A"/>
          <w:sz w:val="18"/>
        </w:rPr>
        <w:t>https://pubmed.ncbi.nlm.nih.gov/42833807/</w:t>
      </w:r>
    </w:p>
    <w:p>
      <w:pPr>
        <w:pStyle w:val="Heading2"/>
      </w:pPr>
      <w:r>
        <w:t>Altersfeindlichkeit als upstream-Determinante: Sturzverhütung durch multilevel Reframing</w:t>
      </w:r>
    </w:p>
    <w:p>
      <w:r>
        <w:rPr>
          <w:i/>
          <w:color w:val="666666"/>
          <w:sz w:val="18"/>
        </w:rPr>
        <w:t>McMahon SK et al.  ·  Clin Geriatr Med  ·  03.09.2026  ·  PMID 42833800</w:t>
      </w:r>
    </w:p>
    <w:p>
      <w:r>
        <w:t>Konzeptuelle Analyse aus USA untersucht, wie strukturelle, interpersonelle und individuelle Ebenen von Altersdiskriminierung die Implementierung, Akzeptanz und Wirksamkeit von Sturz-Prävention bei älteren Menschen beeinträchtigen.</w:t>
      </w:r>
    </w:p>
    <w:p>
      <w:r>
        <w:rPr>
          <w:b/>
        </w:rPr>
        <w:t xml:space="preserve">Ergebnis: </w:t>
      </w:r>
      <w:r>
        <w:t>Lücke zwischen Evidenz (starke Maßnahmen-Effektivität) und Implementierung getrieben durch Ageismus: Untererfassung, Umweltbarrieren, internalisierte Stigma. Empfehlung für ganzheitlichen, mehrebenenigen Ansatz, der soziale Determinanten (besonders Ageismus) integriert; Systemische, klinische und Kommunikations-Änderungen für bessere Prävention, Engagement, sichere Mobilität. Framework ‚Reframing Aging' zitiert.</w:t>
      </w:r>
    </w:p>
    <w:p>
      <w:r>
        <w:rPr>
          <w:b/>
          <w:sz w:val="19"/>
        </w:rPr>
        <w:t xml:space="preserve">Übertragbarkeit: </w:t>
      </w:r>
      <w:r>
        <w:rPr>
          <w:sz w:val="19"/>
        </w:rPr>
        <w:t>USA-Perspektive; konzeptueller Rahmen zur Sturzverhütung durch Anti-Ageismus-Ansätze prinzipiell auf deutsches System übertragbar, erfordert aber Systemanpassung.</w:t>
      </w:r>
    </w:p>
    <w:p>
      <w:r>
        <w:rPr>
          <w:color w:val="5A7D3A"/>
          <w:sz w:val="18"/>
        </w:rPr>
        <w:t>https://pubmed.ncbi.nlm.nih.gov/42833800/</w:t>
      </w:r>
    </w:p>
    <w:p>
      <w:pPr>
        <w:pStyle w:val="Heading2"/>
      </w:pPr>
      <w:r>
        <w:t>Aortenstenose im Alter: Weshalb Lebenserwartung keine Indikation zum Verzicht auf Klappenersatz ist</w:t>
      </w:r>
    </w:p>
    <w:p>
      <w:r>
        <w:rPr>
          <w:i/>
          <w:color w:val="666666"/>
          <w:sz w:val="18"/>
        </w:rPr>
        <w:t>Demir OM et al.  ·  Open Heart  ·  05.10.2026  ·  PMID 42833700</w:t>
      </w:r>
    </w:p>
    <w:p>
      <w:r>
        <w:t>Konzeptuelles Argument zur Fehlinterpretation von Lebenserwartung bei älteren Patienten mit symptomatischer schwerer Aortenstenose und der Frage, wann Ventilintervention gerechtfertigt ist.</w:t>
      </w:r>
    </w:p>
    <w:p>
      <w:r>
        <w:rPr>
          <w:b/>
        </w:rPr>
        <w:t xml:space="preserve">Ergebnis: </w:t>
      </w:r>
      <w:r>
        <w:t>Nationale Sterbe- und Überlebenstafeln: 90-Jähriger in England/Wales hat noch 3,9 Jahre Lebenserwartung; 82-Jähriger lebt länger als 72-Jähriger. 'Schlagrisiko ist kardial, nicht chronologisch' — korreliert mit extravalvulärer Herzschädigung, Frailty und konkurrierenden Erkrankungen, nicht mit Kalenderalter. Stadium, nicht Alter, diskriminiert Outcome. Empfehlung: conditional, komorbidität-adjustierte Prognose statt Alters-Nihilismus.</w:t>
      </w:r>
    </w:p>
    <w:p>
      <w:r>
        <w:rPr>
          <w:b/>
          <w:sz w:val="19"/>
        </w:rPr>
        <w:t xml:space="preserve">Übertragbarkeit: </w:t>
      </w:r>
      <w:r>
        <w:rPr>
          <w:sz w:val="19"/>
        </w:rPr>
        <w:t>Britisches System; medizinisches Konzept zur Patientenauswahl übertragbar auf deutsches Altensystem.</w:t>
      </w:r>
    </w:p>
    <w:p>
      <w:r>
        <w:rPr>
          <w:color w:val="5A7D3A"/>
          <w:sz w:val="18"/>
        </w:rPr>
        <w:t>https://pubmed.ncbi.nlm.nih.gov/42833700/</w:t>
      </w:r>
    </w:p>
    <w:p>
      <w:pPr>
        <w:pStyle w:val="Heading2"/>
      </w:pPr>
      <w:r>
        <w:t>Körperliche Leistung puffert Alterseffekt auf Exekutivfunktion bei Demenzrisiko</w:t>
      </w:r>
    </w:p>
    <w:p>
      <w:r>
        <w:rPr>
          <w:i/>
          <w:color w:val="666666"/>
          <w:sz w:val="18"/>
        </w:rPr>
        <w:t>Reparaz-Escudero I et al.  ·  J Cachexia Sarcopenia Muscle  ·  Okt. 2026  ·  PMID 42833623</w:t>
      </w:r>
    </w:p>
    <w:p>
      <w:r>
        <w:t>Querschnittsstudie an 920 älteren Spaniern (60–85 Jahre) mit erhöhtem Demenzrisiko untersuchte, ob Ganggeschwindigkeit, Handgriffkraft und Beinmuskelpower den Zusammenhang zwischen Alter und Exekutivfunktion moderieren.</w:t>
      </w:r>
    </w:p>
    <w:p>
      <w:r>
        <w:rPr>
          <w:b/>
        </w:rPr>
        <w:t xml:space="preserve">Ergebnis: </w:t>
      </w:r>
      <w:r>
        <w:t>Höhere körperliche Leistung schwächte die Alters-Exekutivfunktion-Assoziation ab. Ganggeschwindigkeit moderierte die Beziehung am konsistentesten; Johnson-Neyman-Analyse zeigte: Alters-Exekutivfunktion-Effekt nur bei Ganggeschwindigkeiten unter 1,68–1,83 m/s messbar (1,0–15,9 % der Teilnehmer). Sex-spezifische Muster: Ganggeschwindigkeit bei TMT-B bei Männern, Stroop-Interferenz bei Frauen moderat.</w:t>
      </w:r>
    </w:p>
    <w:p>
      <w:r>
        <w:rPr>
          <w:b/>
          <w:sz w:val="19"/>
        </w:rPr>
        <w:t xml:space="preserve">Übertragbarkeit: </w:t>
      </w:r>
      <w:r>
        <w:rPr>
          <w:sz w:val="19"/>
        </w:rPr>
        <w:t>Spanische Demenzrisiko-Kohorte; körperliches Training zur Exekutivschutzung übertragbar auf deutsche Altenpopulation.</w:t>
      </w:r>
    </w:p>
    <w:p>
      <w:r>
        <w:rPr>
          <w:color w:val="5A7D3A"/>
          <w:sz w:val="18"/>
        </w:rPr>
        <w:t>https://pubmed.ncbi.nlm.nih.gov/42833623/</w:t>
      </w:r>
    </w:p>
    <w:p>
      <w:pPr>
        <w:pStyle w:val="Heading2"/>
      </w:pPr>
      <w:r>
        <w:t>Elektromyographie beim Gehen identifiziert Gebrechlichkeit bei älteren Patienten mit Herzkrankheit</w:t>
      </w:r>
    </w:p>
    <w:p>
      <w:r>
        <w:rPr>
          <w:i/>
          <w:color w:val="666666"/>
          <w:sz w:val="18"/>
        </w:rPr>
        <w:t>Huang P et al.  ·  J Cachexia Sarcopenia Muscle  ·  Okt. 2026  ·  PMID 42830734</w:t>
      </w:r>
    </w:p>
    <w:p>
      <w:r>
        <w:t>Fall-Kontroll-Studie mit 150 älteren Patienten mit Herzkrankheit (75 gebrechlich, 75 nicht-gebrechlich) verglich oberflächliche Elektromyographie (sEMG) der Unterschenkelmuskeln beim Gehen und testete deren Diskriminativwert für Frailty.</w:t>
      </w:r>
    </w:p>
    <w:p>
      <w:r>
        <w:rPr>
          <w:b/>
        </w:rPr>
        <w:t xml:space="preserve">Ergebnis: </w:t>
      </w:r>
      <w:r>
        <w:t>Gebrechliche waren älter (76,04 vs. 68,55 Jahre), benötigten länger für 10-m-Gang (13,34 vs. 9,44 s), niedrigere POMA-Scores (21,51 vs. 27,59). Gebrechliche zeigten höhere integrierte EMG des linken Semitendinosus (534,4 vs. 455,5 μV·s, p=0,0084) und höhere Aktivierungssequenz-Rang des linken Rectus femoris (p=0,0404). Im Frequenzbereich höhere Medianfrequenz (MF) in 6 Muskeln. Multivariates Modell: MF Rectus femoris rechts (OR 1,067, p=0,038), MF Gastrocnemius rechts (OR 1,054, p=0,019), Aktivierungsrang TA rechts (OR 0,640, p=0,014) unabhängig assoziiert. sEMG+Alter-Modell: AUC 0,8418 (Sensitivität 0,8933, Spezifität 0,6400), Vollmodell mit POMA: AUC 0,8740.</w:t>
      </w:r>
    </w:p>
    <w:p>
      <w:r>
        <w:rPr>
          <w:b/>
          <w:sz w:val="19"/>
        </w:rPr>
        <w:t xml:space="preserve">Übertragbarkeit: </w:t>
      </w:r>
      <w:r>
        <w:rPr>
          <w:sz w:val="19"/>
        </w:rPr>
        <w:t>Chinesische Klinik-Kohorte; sEMG-Methode und Frailty-Assessments international vergleichbar.</w:t>
      </w:r>
    </w:p>
    <w:p>
      <w:r>
        <w:rPr>
          <w:color w:val="5A7D3A"/>
          <w:sz w:val="18"/>
        </w:rPr>
        <w:t>https://pubmed.ncbi.nlm.nih.gov/42830734/</w:t>
      </w:r>
    </w:p>
    <w:p>
      <w:pPr>
        <w:pStyle w:val="Heading2"/>
      </w:pPr>
      <w:r>
        <w:t>Glukosestoffwechsel und vaskuläres Altern: Prädiktive Güte einfacher Marker im Screening</w:t>
      </w:r>
    </w:p>
    <w:p>
      <w:r>
        <w:rPr>
          <w:i/>
          <w:color w:val="666666"/>
          <w:sz w:val="18"/>
        </w:rPr>
        <w:t>Wang J et al.  ·  Front Endocrinol (Lausanne)  ·  18.09.2026  ·  PMID 42827523</w:t>
      </w:r>
    </w:p>
    <w:p>
      <w:r>
        <w:t>Retrospektive Querschnittsstudie mit 555 Personen aus Routineuntersuchungen evaluierte sieben Glukosemetaboliten-Indizes (TyG, CHG, HOMA-IR etc.) und deren Assoziationen mit frühem vaskulärem Altern (EVA, baPWV).</w:t>
      </w:r>
    </w:p>
    <w:p>
      <w:r>
        <w:rPr>
          <w:b/>
        </w:rPr>
        <w:t xml:space="preserve">Ergebnis: </w:t>
      </w:r>
      <w:r>
        <w:t>156/555 (28,1%) hatten EVA. Alle sieben Marker unabhängig mit EVA assoziiert nach Confounding-Kontrolle. CHG-Index stärkste Korrelation mit baPWV-Mittelwert (r=0,402, p&lt;0,001). ROC-Analysen: HbA1c höchste AUC (0,690), TyG-Index höchste Sensitivität (70,51%). Bescheidene Diskriminanzleistung über alle Marker. Schluss: TyG und HbA1c als potenzielle kostengünstige Hilfsmarker für EVA-Screening; interne Bootstrap- und externe prospektive Validierung erforderlich.</w:t>
      </w:r>
    </w:p>
    <w:p>
      <w:r>
        <w:rPr>
          <w:b/>
          <w:sz w:val="19"/>
        </w:rPr>
        <w:t xml:space="preserve">Übertragbarkeit: </w:t>
      </w:r>
      <w:r>
        <w:rPr>
          <w:sz w:val="19"/>
        </w:rPr>
        <w:t>Chinesische Gesundheitsuntersuchungskohorte; Biomarker-Interpretation übertragbar, aber lokale Altersstruktur verschieden.</w:t>
      </w:r>
    </w:p>
    <w:p>
      <w:r>
        <w:rPr>
          <w:color w:val="5A7D3A"/>
          <w:sz w:val="18"/>
        </w:rPr>
        <w:t>https://pubmed.ncbi.nlm.nih.gov/42827523/</w:t>
      </w:r>
    </w:p>
    <w:p>
      <w:pPr>
        <w:pStyle w:val="Heading2"/>
      </w:pPr>
      <w:r>
        <w:t>Arteriosklerose und Sarkopenie: biologisches Alter als Mediator, Gebrechlichkeit als Modifikator</w:t>
      </w:r>
    </w:p>
    <w:p>
      <w:r>
        <w:rPr>
          <w:i/>
          <w:color w:val="666666"/>
          <w:sz w:val="18"/>
        </w:rPr>
        <w:t>Sun A et al.  ·  Front Public Health  ·  14.09.2026  ·  PMID 42807006</w:t>
      </w:r>
    </w:p>
    <w:p>
      <w:r>
        <w:t>Prospektive UK-Biobank-Kohortenstudie mit 32.451 Teilnehmern untersuchte, ob Arteriensteifigkeit (ASI) mit Sarkopenie-Risiko assoziiert ist und welche Rolle biologisches Alter und Frailty spielen.</w:t>
      </w:r>
    </w:p>
    <w:p>
      <w:r>
        <w:rPr>
          <w:b/>
        </w:rPr>
        <w:t xml:space="preserve">Ergebnis: </w:t>
      </w:r>
      <w:r>
        <w:t>Höchstes vs. niedriges ASI-Tertil: HR 1,38 (95%-KI 1,22–1,55) für wahrscheinliche Sarkopenie, HR 1,56 (95%-KI 1,11–2,18) für Sarkopenie. Biologisches Alter mediierte 8,66 % und 18,85 % dieser Assoziationen. Frailty modifizierte die Magnitude erheblich; Assoziationen überwiegend bei nicht-Gebrechlichen. Erkannter nichtlinearer Zusammenhang bei wahrscheinlicher Sarkopenie, linear bei manifester Sarkopenie.</w:t>
      </w:r>
    </w:p>
    <w:p>
      <w:r>
        <w:rPr>
          <w:b/>
          <w:sz w:val="19"/>
        </w:rPr>
        <w:t xml:space="preserve">Übertragbarkeit: </w:t>
      </w:r>
      <w:r>
        <w:rPr>
          <w:sz w:val="19"/>
        </w:rPr>
        <w:t>UK Biobank; methodische Validierbarkeit aber Altersdurchschnitt und Sozialstruktur unterscheiden sich von Deutschland.</w:t>
      </w:r>
    </w:p>
    <w:p>
      <w:r>
        <w:rPr>
          <w:color w:val="5A7D3A"/>
          <w:sz w:val="18"/>
        </w:rPr>
        <w:t>https://pubmed.ncbi.nlm.nih.gov/42807006/</w:t>
      </w:r>
    </w:p>
    <w:p>
      <w:pPr>
        <w:pStyle w:val="Heading1"/>
      </w:pPr>
      <w:r>
        <w:t>Aufgenommen am 05.10.2026</w:t>
      </w:r>
    </w:p>
    <w:p>
      <w:pPr>
        <w:pStyle w:val="Heading2"/>
      </w:pPr>
      <w:r>
        <w:t>Prävention durch Hausbesuche erfordert sektorenübergreifende Partnerschaften und Unterstützung durch Führungspersonen</w:t>
      </w:r>
    </w:p>
    <w:p>
      <w:r>
        <w:rPr>
          <w:i/>
          <w:color w:val="666666"/>
          <w:sz w:val="18"/>
        </w:rPr>
        <w:t>Nivestam A et al.  ·  Scand J Caring Sci  ·  Dez. 2026  ·  PMID 42828510</w:t>
      </w:r>
    </w:p>
    <w:p>
      <w:r>
        <w:t>Qualitative Studie (Fokusgruppen mit 16 Fachpersonen aus 5 schwedischen Gemeinden) identifiziert, welche Kooperationspartner Hausbesucher für erfolgreiche Prävention und gesundes Altern mobilisieren.</w:t>
      </w:r>
    </w:p>
    <w:p>
      <w:r>
        <w:rPr>
          <w:b/>
        </w:rPr>
        <w:t xml:space="preserve">Ergebnis: </w:t>
      </w:r>
      <w:r>
        <w:t>Hausbesucher arbeiten mit breitem Spektrum von Partnern zusammen: kritisch sind Politiker und Medien; wichtig sind Akteure für sinnvolle Freizeit, Partizipation, lebenslanges Lernen und Gesundheits-/Sozialsektoren. Unterstützung durch Führungspersonen in Schlüsselpositionen steigert Effektivität. Kernempfehlung: gesamtgesellschaftlicher (whole-of-society) Ansatz zur Planung von Präventionsbesuchen.</w:t>
      </w:r>
    </w:p>
    <w:p>
      <w:r>
        <w:rPr>
          <w:b/>
          <w:sz w:val="19"/>
        </w:rPr>
        <w:t xml:space="preserve">Übertragbarkeit: </w:t>
      </w:r>
      <w:r>
        <w:rPr>
          <w:sz w:val="19"/>
        </w:rPr>
        <w:t>Skandinavien vergleichbar, universelles Gesundheitssystem, übertragbar auf Deutschland.</w:t>
      </w:r>
    </w:p>
    <w:p>
      <w:r>
        <w:rPr>
          <w:color w:val="5A7D3A"/>
          <w:sz w:val="18"/>
        </w:rPr>
        <w:t>https://pubmed.ncbi.nlm.nih.gov/42828510/</w:t>
      </w:r>
    </w:p>
    <w:p>
      <w:pPr>
        <w:pStyle w:val="Heading2"/>
      </w:pPr>
      <w:r>
        <w:t>Krankenversicherung für Ernährungstherapie älterer Krebspatienten determiniert Funktionsfähigkeit</w:t>
      </w:r>
    </w:p>
    <w:p>
      <w:r>
        <w:rPr>
          <w:i/>
          <w:color w:val="666666"/>
          <w:sz w:val="18"/>
        </w:rPr>
        <w:t>Yang J  ·  Front Public Health  ·  18.09.2026  ·  PMID 42827769</w:t>
      </w:r>
    </w:p>
    <w:p>
      <w:r>
        <w:t>Narratives Mini-Review analysiert Versicherungsdeckung für medizinische Ernährungstherapie (Medical Nutrition Therapy, MNT) bei älteren Frauen mit Krebs als Politikfrage für Langzeitpflege und Frailty-Equity in USA, Australien und UK.</w:t>
      </w:r>
    </w:p>
    <w:p>
      <w:r>
        <w:rPr>
          <w:b/>
        </w:rPr>
        <w:t xml:space="preserve">Ergebnis: </w:t>
      </w:r>
      <w:r>
        <w:t>Untersucht, wie Versicherungsdesign – Leistungsbeschränkungen, Kostenbeteiligung, fragmentierte Autorisierung – den Zugang zu MNT und damit Risiken für Mangelernährung, Sarkopenie und funktionalen Niedergang lenkt. Empfiehlt MNT als essenzielle, risikostratifizierte Komponente von Onkologie und Langzeitpflege, nicht als optionales Wellness-Angebot, mit kontinuierlichen Übergängen zwischen Klinik, Heimat und Pflege.</w:t>
      </w:r>
    </w:p>
    <w:p>
      <w:r>
        <w:rPr>
          <w:b/>
          <w:sz w:val="19"/>
        </w:rPr>
        <w:t xml:space="preserve">Übertragbarkeit: </w:t>
      </w:r>
      <w:r>
        <w:rPr>
          <w:sz w:val="19"/>
        </w:rPr>
        <w:t>UK-System vergleichbar; Kernaussage zur Finanzierungspolitik auch auf deutsches System übertragbar.</w:t>
      </w:r>
    </w:p>
    <w:p>
      <w:r>
        <w:rPr>
          <w:color w:val="5A7D3A"/>
          <w:sz w:val="18"/>
        </w:rPr>
        <w:t>https://pubmed.ncbi.nlm.nih.gov/42827769/</w:t>
      </w:r>
    </w:p>
    <w:p>
      <w:pPr>
        <w:pStyle w:val="Heading2"/>
      </w:pPr>
      <w:r>
        <w:t>Biologische Organaltern und Proteinprofile vorhersagen Mortalitätsrisiko besser als Standard-Biomarker</w:t>
      </w:r>
    </w:p>
    <w:p>
      <w:r>
        <w:rPr>
          <w:i/>
          <w:color w:val="666666"/>
          <w:sz w:val="18"/>
        </w:rPr>
        <w:t>Pyrgioti M et al.  ·  Aging Cell  ·  Okt. 2026  ·  PMID 42823846</w:t>
      </w:r>
    </w:p>
    <w:p>
      <w:r>
        <w:t>Benchmarking von 11 proteomic organ clocks gegen etablierte Altersmarker (epigenetisches Alter, Telomerlänge, Lungenfunktion, Kognition, Neuroimaging) für 16-Jahres-Gesamtmortalität in einer schottischen Kohorte (n=861; 444 Todesfälle).</w:t>
      </w:r>
    </w:p>
    <w:p>
      <w:r>
        <w:rPr>
          <w:b/>
        </w:rPr>
        <w:t xml:space="preserve">Ergebnis: </w:t>
      </w:r>
      <w:r>
        <w:t>Unter proteomic clocks: beschleunigte Leber-(HR=1,43), Immun-(HR=1,42) und Herzalterung (HR=1,38) waren stärkste Prädiktor:innen. Aber älteres epigenetisches Alter, kleineres Hirnvolumen, reduzierte Atemfunktion und schlechtere Kognition zeigten stärkere Assoziationen (HR=1,44–1,62). Von 9703 Plasma-Proteinen: GDF15 (HR=1,56), WFDC2 (HR=1,47) und TIMP1 (HR=1,45) führend mit Mortalität assoziiert.</w:t>
      </w:r>
    </w:p>
    <w:p>
      <w:r>
        <w:rPr>
          <w:b/>
          <w:sz w:val="19"/>
        </w:rPr>
        <w:t xml:space="preserve">Übertragbarkeit: </w:t>
      </w:r>
      <w:r>
        <w:rPr>
          <w:sz w:val="19"/>
        </w:rPr>
        <w:t>UK-Biobank-Kohorte, europäische Altersstruktur, direkt auf Deutschland übertragbar.</w:t>
      </w:r>
    </w:p>
    <w:p>
      <w:r>
        <w:rPr>
          <w:color w:val="5A7D3A"/>
          <w:sz w:val="18"/>
        </w:rPr>
        <w:t>https://pubmed.ncbi.nlm.nih.gov/42823846/</w:t>
      </w:r>
    </w:p>
    <w:p>
      <w:pPr>
        <w:pStyle w:val="Heading2"/>
      </w:pPr>
      <w:r>
        <w:t>Gesunde Altersverläufe senken kardiovaskuläres Erkrankungsrisiko</w:t>
      </w:r>
    </w:p>
    <w:p>
      <w:r>
        <w:rPr>
          <w:i/>
          <w:color w:val="666666"/>
          <w:sz w:val="18"/>
        </w:rPr>
        <w:t>Du R et al.  ·  J Nutr Health Aging  ·  04.09.2026  ·  PMID 42697165</w:t>
      </w:r>
    </w:p>
    <w:p>
      <w:r>
        <w:t>Studie untersucht die Assoziation zwischen Mustern gesunder Alterung (gemessen mit ATHLOS-Score) und dem Auftreten kardiovaskulärer Erkrankungen in drei europäischen und chinesischen Kohorten.</w:t>
      </w:r>
    </w:p>
    <w:p>
      <w:r>
        <w:rPr>
          <w:b/>
        </w:rPr>
        <w:t xml:space="preserve">Ergebnis: </w:t>
      </w:r>
      <w:r>
        <w:t>Verglichen mit der niedrigsten Altersverlauf-Gruppe zeigte die mittlere Gruppe reduziertes CVD-Risiko (SHARE HR=0,89; ELSA HR=0,66; CHARLS HR=0,67), die höchste Gruppe sogar deutlich gesenkt (SHARE HR=0,61; ELSA HR=0,36; CHARLS HR=0,39). Assoziation war konsistent über SES- und Lebensstil-Schichten. Hochwertige Altersverläufe sind kardioprotektiv.</w:t>
      </w:r>
    </w:p>
    <w:p>
      <w:r>
        <w:rPr>
          <w:b/>
          <w:sz w:val="19"/>
        </w:rPr>
        <w:t xml:space="preserve">Übertragbarkeit: </w:t>
      </w:r>
      <w:r>
        <w:rPr>
          <w:sz w:val="19"/>
        </w:rPr>
        <w:t>SHARE und ELSA europäisch vergleichbar, CHARLS repräsentiert alternatives System.</w:t>
      </w:r>
    </w:p>
    <w:p>
      <w:r>
        <w:rPr>
          <w:color w:val="5A7D3A"/>
          <w:sz w:val="18"/>
        </w:rPr>
        <w:t>https://pubmed.ncbi.nlm.nih.gov/42697165/</w:t>
      </w:r>
    </w:p>
    <w:p>
      <w:pPr>
        <w:pStyle w:val="Heading2"/>
      </w:pPr>
      <w:r>
        <w:t>Spezialisierte Versorgung fragiler Chirurgiepatienten senkt Morbidität und erhält Lebensqualität</w:t>
      </w:r>
    </w:p>
    <w:p>
      <w:r>
        <w:rPr>
          <w:i/>
          <w:color w:val="666666"/>
          <w:sz w:val="18"/>
        </w:rPr>
        <w:t>Castellví Valls J et al.  ·  Cir Esp (Engl Ed)  ·  01.09.2026  ·  PMID 42680087</w:t>
      </w:r>
    </w:p>
    <w:p>
      <w:r>
        <w:t>Evaluiert Effektivität eines integrierten geriatrischen Versorgungsbereichs für fragile Patienten, die operativ behandelt wurden, mit Fokus auf perioperative Morbidität, Mortalität und Funktionsfähigkeit.</w:t>
      </w:r>
    </w:p>
    <w:p>
      <w:r>
        <w:rPr>
          <w:b/>
        </w:rPr>
        <w:t xml:space="preserve">Ergebnis: </w:t>
      </w:r>
      <w:r>
        <w:t>Von 413 Patienten (Alter 80 J., 91,8% ASA III-IV) wurden 288 operiert. Perioperative Komplikationen Clavien-Dindo III-V: 9,7%, 30-Tage-Mortalität 3,1%, Wiederaufnahmen 13,2%. Nach 3 Monaten und 1 Jahr waren 82,5% der operierten Patienten in Funktion gleich oder besser als präoperativ. Von 125 nicht operierten Patienten starben 48,3% im 1. Jahr.</w:t>
      </w:r>
    </w:p>
    <w:p>
      <w:r>
        <w:rPr>
          <w:b/>
          <w:sz w:val="19"/>
        </w:rPr>
        <w:t xml:space="preserve">Übertragbarkeit: </w:t>
      </w:r>
      <w:r>
        <w:rPr>
          <w:sz w:val="19"/>
        </w:rPr>
        <w:t>Spanisch-katalanisches Krankenhaus-System, deutsche Geriatrien vergleichbar organisiert.</w:t>
      </w:r>
    </w:p>
    <w:p>
      <w:r>
        <w:rPr>
          <w:color w:val="5A7D3A"/>
          <w:sz w:val="18"/>
        </w:rPr>
        <w:t>https://pubmed.ncbi.nlm.nih.gov/42680087/</w:t>
      </w:r>
    </w:p>
    <w:p>
      <w:pPr>
        <w:pStyle w:val="Heading2"/>
      </w:pPr>
      <w:r>
        <w:t>Schlaf-Mikrostruktur in der Älterung vorhersagt kognitive Trajektorie über 10 Jahre</w:t>
      </w:r>
    </w:p>
    <w:p>
      <w:r>
        <w:rPr>
          <w:i/>
          <w:color w:val="666666"/>
          <w:sz w:val="18"/>
        </w:rPr>
        <w:t>Urdanibia-Centelles O et al.  ·  Sleep Med  ·  20.08.2026  ·  PMID 42628340</w:t>
      </w:r>
    </w:p>
    <w:p>
      <w:r>
        <w:t>Prospektive Kohortenstudie (n=82 mit ausreichend NREM-Schlaf, Polysomnografie und kognitive Tests 10 Jahre auseinander) untersucht, ob Schlafmerkmale (Spindel, Slow Waves, EEG-Kohärenz) kognitive Alterung und Verfall vorhersagen.</w:t>
      </w:r>
    </w:p>
    <w:p>
      <w:r>
        <w:rPr>
          <w:b/>
        </w:rPr>
        <w:t xml:space="preserve">Ergebnis: </w:t>
      </w:r>
      <w:r>
        <w:t>Über 10 Jahre: Verarbeitungsgeschwindigkeit nahm um 6,1 s zu, symbolische Konversion um 2,3 ab. Höhere Schlafeffizienz → besseres kognitives Halten. Erhöhte Wachphase und erhöhtes Arousal → schlechtere Gedächtnis- und Lernleistung. Höhere Fast-Spindle-Amplitude und -Frequenz, Slow-Wave-Charakteristika und N2/REM-Kohärenz korrelierten mit Verarbeitungsgeschwindigkeit, Aufmerksamkeit und globaler Kognition.</w:t>
      </w:r>
    </w:p>
    <w:p>
      <w:r>
        <w:rPr>
          <w:b/>
          <w:sz w:val="19"/>
        </w:rPr>
        <w:t xml:space="preserve">Übertragbarkeit: </w:t>
      </w:r>
      <w:r>
        <w:rPr>
          <w:sz w:val="19"/>
        </w:rPr>
        <w:t>Dänische Geburtskohorte, nordeuropäisches System vergleichbar.</w:t>
      </w:r>
    </w:p>
    <w:p>
      <w:r>
        <w:rPr>
          <w:color w:val="5A7D3A"/>
          <w:sz w:val="18"/>
        </w:rPr>
        <w:t>https://pubmed.ncbi.nlm.nih.gov/42628340/</w:t>
      </w:r>
    </w:p>
    <w:p>
      <w:pPr>
        <w:pStyle w:val="Heading1"/>
      </w:pPr>
      <w:r>
        <w:t>Aufgenommen am 04.10.2026</w:t>
      </w:r>
    </w:p>
    <w:p>
      <w:pPr>
        <w:pStyle w:val="Heading2"/>
      </w:pPr>
      <w:r>
        <w:t>Ernährungsscreening und Vorrehabilitation reduzieren Komplikationen bei älteren Frauen in der Krebschirurgie</w:t>
      </w:r>
    </w:p>
    <w:p>
      <w:r>
        <w:rPr>
          <w:i/>
          <w:color w:val="666666"/>
          <w:sz w:val="18"/>
        </w:rPr>
        <w:t>Feng Y et al.  ·  Front Public Health  ·  17.09.2026  ·  PMID 42824555</w:t>
      </w:r>
    </w:p>
    <w:p>
      <w:r>
        <w:t>Narrative Review zu Pflegeintervention bei älteren Frauen mit Krebs vor Operation: Frailty- und Ernährungsscreening, Dietitian-Referral, multimodale Prehabilitation und Enhanced Recovery.</w:t>
      </w:r>
    </w:p>
    <w:p>
      <w:r>
        <w:rPr>
          <w:b/>
        </w:rPr>
        <w:t xml:space="preserve">Ergebnis: </w:t>
      </w:r>
      <w:r>
        <w:t>Integrierten zwei-Schritt-Ansatz mit Frailty/Ernährungsscreening plus Multidimensionalem Assessment, Protein-Energie-Support und Mobilisierung in Enhanced-Recovery-Pathways wird empfohlen. Begründung: Ältere Frauen erleben Frailty-Malnutrition-Stress-Achse; Mangelernährung und Muskelabbau persistieren über Adjuvanztherapie hinaus. Wirkevidenz begrenzt auf funktionelle und ernährungsbezogene Outcomes, nicht nur Liegedauer.</w:t>
      </w:r>
    </w:p>
    <w:p>
      <w:r>
        <w:rPr>
          <w:b/>
          <w:sz w:val="19"/>
        </w:rPr>
        <w:t xml:space="preserve">Übertragbarkeit: </w:t>
      </w:r>
      <w:r>
        <w:rPr>
          <w:sz w:val="19"/>
        </w:rPr>
        <w:t>Deutschland: Geriatrisches Assessments- und Ernährungskonzept ist in deutschen Kliniken strukturell etablierbar.</w:t>
      </w:r>
    </w:p>
    <w:p>
      <w:r>
        <w:rPr>
          <w:color w:val="5A7D3A"/>
          <w:sz w:val="18"/>
        </w:rPr>
        <w:t>https://pubmed.ncbi.nlm.nih.gov/42824555/</w:t>
      </w:r>
    </w:p>
    <w:p>
      <w:pPr>
        <w:pStyle w:val="Heading2"/>
      </w:pPr>
      <w:r>
        <w:t>Hitzebelastung verschlechtert funktionale Kapazität bei älteren Erwachsenen in China</w:t>
      </w:r>
    </w:p>
    <w:p>
      <w:r>
        <w:rPr>
          <w:i/>
          <w:color w:val="666666"/>
          <w:sz w:val="18"/>
        </w:rPr>
        <w:t>Huang L et al.  ·  BMC Public Health  ·  26.09.2026  ·  PMID 42823677</w:t>
      </w:r>
    </w:p>
    <w:p>
      <w:r>
        <w:t>Longitudinale Studie an 1.393 Chinesen (45–80 Jahre) über drei Wellen (2011–2015) zur Assoziation von Hitzewellentagen mit Trajektorien der intrinsischen Kapazität (WHO-Indikator für gesundes Altern).</w:t>
      </w:r>
    </w:p>
    <w:p>
      <w:r>
        <w:rPr>
          <w:b/>
        </w:rPr>
        <w:t xml:space="preserve">Ergebnis: </w:t>
      </w:r>
      <w:r>
        <w:t>Jeder zusätzliche Hitzewellentag erhöhte das Risiko der Low-declining-Trajektorie um 3,5 % (adjustierte RRR = 1,035; 95 % KI: 1,012–1,058; p = 0,003). Effekt war ausgeprägter bei geringerer Schulbildung (RRR = 1,07) und in ländlichen Regionen (RRR = 1,05). Kältespells zeigten keinen signifikanten Effekt. Klimawandel gefährdet funktionale Gesundheit sozioökonomisch benachteiligter älterer Menschen.</w:t>
      </w:r>
    </w:p>
    <w:p>
      <w:r>
        <w:rPr>
          <w:b/>
          <w:sz w:val="19"/>
        </w:rPr>
        <w:t xml:space="preserve">Übertragbarkeit: </w:t>
      </w:r>
      <w:r>
        <w:rPr>
          <w:sz w:val="19"/>
        </w:rPr>
        <w:t>China, aber Funktionsfähigkeit als universales Konzept; Effektmodifikation durch Bildung und Wohnort relevant für alle Länder.</w:t>
      </w:r>
    </w:p>
    <w:p>
      <w:r>
        <w:rPr>
          <w:color w:val="5A7D3A"/>
          <w:sz w:val="18"/>
        </w:rPr>
        <w:t>https://pubmed.ncbi.nlm.nih.gov/42823677/</w:t>
      </w:r>
    </w:p>
    <w:p>
      <w:pPr>
        <w:pStyle w:val="Heading2"/>
      </w:pPr>
      <w:r>
        <w:t>Institutionelle Fragmentierung verstärkt Ungleichheit in der Langzeitpflege im asiatisch-pazifischen Raum</w:t>
      </w:r>
    </w:p>
    <w:p>
      <w:r>
        <w:rPr>
          <w:i/>
          <w:color w:val="666666"/>
          <w:sz w:val="18"/>
        </w:rPr>
        <w:t>Bhula-Or R et al.  ·  Australas J Ageing  ·  Dez. 2026  ·  PMID 42820354</w:t>
      </w:r>
    </w:p>
    <w:p>
      <w:r>
        <w:t>Qualitative Partizipative-Beobachtungs-Studie mit reflexiver Thematic Analysis über 107 Stakeholder (Policy, Wissenschaft, Zivilgesellschaft, Anbieter) aus ASEAN-Plus-Three während regionaler Politikdialogs 2025.</w:t>
      </w:r>
    </w:p>
    <w:p>
      <w:r>
        <w:rPr>
          <w:b/>
        </w:rPr>
        <w:t xml:space="preserve">Ergebnis: </w:t>
      </w:r>
      <w:r>
        <w:t>Drei zentrale Befunde: (1) institutionelle Fragmentierung wandelt frühere Benachteiligung in ungleiche Zugänge um; (2) Gemeinschaften fangen Lücken in formaler Pflege auf, verschieben aber nicht öffentliche Verantwortung; (3) Equity hängt von Neuverteilung von Mitsprache und sektorenübergreifender Koordination ab. Kosten fallen disproportional auf Frauen, ländliche und niedrigeinkommens-Ältere. Autorenvorschlag: nationale Koordinierungshubs als Lösungsarchitektur.</w:t>
      </w:r>
    </w:p>
    <w:p>
      <w:r>
        <w:rPr>
          <w:b/>
          <w:sz w:val="19"/>
        </w:rPr>
        <w:t xml:space="preserve">Übertragbarkeit: </w:t>
      </w:r>
      <w:r>
        <w:rPr>
          <w:sz w:val="19"/>
        </w:rPr>
        <w:t>ASEAN-Region: Transferierbar für vergleichbare föderalistische/föderative Systeme; Koordinierungslücke relevant auch für Deutschland.</w:t>
      </w:r>
    </w:p>
    <w:p>
      <w:r>
        <w:rPr>
          <w:color w:val="5A7D3A"/>
          <w:sz w:val="18"/>
        </w:rPr>
        <w:t>https://pubmed.ncbi.nlm.nih.gov/42820354/</w:t>
      </w:r>
    </w:p>
    <w:p>
      <w:pPr>
        <w:pStyle w:val="Heading2"/>
      </w:pPr>
      <w:r>
        <w:t>Zervikale Atrophie übersteigt Alterseffekt bei Multiple Sklerose – besonders in 50ern und 60ern</w:t>
      </w:r>
    </w:p>
    <w:p>
      <w:r>
        <w:rPr>
          <w:i/>
          <w:color w:val="666666"/>
          <w:sz w:val="18"/>
        </w:rPr>
        <w:t>Jain K et al.  ·  Neurology  ·  27.10.2026  ·  PMID 42814910</w:t>
      </w:r>
    </w:p>
    <w:p>
      <w:r>
        <w:t>Cross-sectional Multizenterstudie (3 italienische Zentren) mit 480 gesunden Kontrollen und 1.295 MS-Patienten (18–70 Jahre): Untersuchung, ob MS eine krankheitsspezifische Reduktion der mittleren oberen zervikalen Rückenmarksarea (MUCCA) über Altern hinaus bewirkt, und ob diese durch Geschlecht und Erkrankungsbeginn moduliert wird.</w:t>
      </w:r>
    </w:p>
    <w:p>
      <w:r>
        <w:rPr>
          <w:b/>
        </w:rPr>
        <w:t xml:space="preserve">Ergebnis: </w:t>
      </w:r>
      <w:r>
        <w:t>Bei Kontrollen: MUCCA stieg bis späte 30er Jahre (p ≤ 0,033), sank nach 50 Jahren (p ≤ 0,008). MS-Patienten zeigten Z-Scores &lt; 0 ab 30 Jahren (p ≤ 0,039), besonders in 50ern und 60ern. Markanter früh-erwachsener Decline bis späte 40er, danach Abschwächung. Geschlechtsunterschiede nicht signifikant. Höhere Atrophie korreliert mit stärkerer Behinderung (ρ = 0,196–0,392, alle p &lt; 0,001). Rückenmarksatrophie ist sensitiver MS-Biomarker für Neurodegeneration jenseits reinen Alterns.</w:t>
      </w:r>
    </w:p>
    <w:p>
      <w:r>
        <w:rPr>
          <w:b/>
          <w:sz w:val="19"/>
        </w:rPr>
        <w:t xml:space="preserve">Übertragbarkeit: </w:t>
      </w:r>
      <w:r>
        <w:rPr>
          <w:sz w:val="19"/>
        </w:rPr>
        <w:t>Italien, Deutschland: Neuroimaging-Daten aus europäischen Zentren mit vergleichbarer MS-Diagnostik; Transfer auf deutsche MS-Kohorten möglich.</w:t>
      </w:r>
    </w:p>
    <w:p>
      <w:r>
        <w:rPr>
          <w:color w:val="5A7D3A"/>
          <w:sz w:val="18"/>
        </w:rPr>
        <w:t>https://pubmed.ncbi.nlm.nih.gov/42814910/</w:t>
      </w:r>
    </w:p>
    <w:p>
      <w:pPr>
        <w:pStyle w:val="Heading2"/>
      </w:pPr>
      <w:r>
        <w:t>Kombinierte Bewegungs- und Ernährungsinterventionen beugen Frailty vor</w:t>
      </w:r>
    </w:p>
    <w:p>
      <w:r>
        <w:rPr>
          <w:i/>
          <w:color w:val="666666"/>
          <w:sz w:val="18"/>
        </w:rPr>
        <w:t>Aydin N et al.  ·  Orthop Nurs  ·  22.09.2026  ·  PMID 42809602</w:t>
      </w:r>
    </w:p>
    <w:p>
      <w:r>
        <w:t>Systematischer Review und Metaanalyse von 16 randomisierten Studien zu Frailty-Prävention bei Erwachsenen ab 65 Jahren.</w:t>
      </w:r>
    </w:p>
    <w:p>
      <w:r>
        <w:rPr>
          <w:b/>
        </w:rPr>
        <w:t xml:space="preserve">Ergebnis: </w:t>
      </w:r>
      <w:r>
        <w:t>Gesamteffektgröße: Hedges' g = –0,799 (95 % KI: –1,420 bis 0,179); Heterogenität hoch (I² = 97,32 %). Kombinierte Interventionen (Bewegung + Ernährung + integrierte Versorgung) zeigten größeren Effekt (g = 2,843; 95 % KI: 0,376–6,062) als einzelne Ansätze. Subgruppenunterschiede nicht signifikant (p = 0,080). Dauer und Frequenz von Bewegung sowie nutrizionale Unterstützung entscheidend.</w:t>
      </w:r>
    </w:p>
    <w:p>
      <w:r>
        <w:rPr>
          <w:b/>
          <w:sz w:val="19"/>
        </w:rPr>
        <w:t xml:space="preserve">Übertragbarkeit: </w:t>
      </w:r>
      <w:r>
        <w:rPr>
          <w:sz w:val="19"/>
        </w:rPr>
        <w:t>Deutschland: Multimodale Prävention ist Standard; Metaanalyse belegt Notwendigkeit kombinierter Ansätze.</w:t>
      </w:r>
    </w:p>
    <w:p>
      <w:r>
        <w:rPr>
          <w:color w:val="5A7D3A"/>
          <w:sz w:val="18"/>
        </w:rPr>
        <w:t>https://pubmed.ncbi.nlm.nih.gov/42809602/</w:t>
      </w:r>
    </w:p>
    <w:p>
      <w:pPr>
        <w:pStyle w:val="Heading2"/>
      </w:pPr>
      <w:r>
        <w:t>Enactment-Kodierung verbessert prospektives Gedächtnis über alle Altersgruppen</w:t>
      </w:r>
    </w:p>
    <w:p>
      <w:r>
        <w:rPr>
          <w:i/>
          <w:color w:val="666666"/>
          <w:sz w:val="18"/>
        </w:rPr>
        <w:t>Stelz S et al.  ·  Memory  ·  21.08.2026  ·  PMID 42627881</w:t>
      </w:r>
    </w:p>
    <w:p>
      <w:r>
        <w:t>Randomisierte Studie an 373 Personen (Kinder bis Mittelalter) mit drei Kodierungsbedingungen (episodic future thinking, enactment encoding, Standard) und computerisierter prospektiver Gedächtnisaufgabe.</w:t>
      </w:r>
    </w:p>
    <w:p>
      <w:r>
        <w:rPr>
          <w:b/>
        </w:rPr>
        <w:t xml:space="preserve">Ergebnis: </w:t>
      </w:r>
      <w:r>
        <w:t>Enactment encoding führte zu signifikant besserer Leistung als episodic future thinking und Standard (Haupteffekt p &lt; 0,05). Vorteil war unabhängig von Altersgruppe – kein Alters-mal-Bedingung-Effekt (Erwartung widerlegt). Immediate Memory und Attention waren beste RBANS-Prädiktoren für alltägliche Funktionalität.</w:t>
      </w:r>
    </w:p>
    <w:p>
      <w:r>
        <w:rPr>
          <w:b/>
          <w:sz w:val="19"/>
        </w:rPr>
        <w:t xml:space="preserve">Übertragbarkeit: </w:t>
      </w:r>
      <w:r>
        <w:rPr>
          <w:sz w:val="19"/>
        </w:rPr>
        <w:t>Deutschland: Universelle Kodierungsmethode, unabhängig von kognitiven Ressourcen im Alter anwendbar.</w:t>
      </w:r>
    </w:p>
    <w:p>
      <w:r>
        <w:rPr>
          <w:color w:val="5A7D3A"/>
          <w:sz w:val="18"/>
        </w:rPr>
        <w:t>https://pubmed.ncbi.nlm.nih.gov/42627881/</w:t>
      </w:r>
    </w:p>
    <w:p>
      <w:pPr>
        <w:pStyle w:val="Heading1"/>
      </w:pPr>
      <w:r>
        <w:t>Aufgenommen am 03.10.2026</w:t>
      </w:r>
    </w:p>
    <w:p>
      <w:pPr>
        <w:pStyle w:val="Heading2"/>
      </w:pPr>
      <w:r>
        <w:t>Multimorbiditäts-Effekte auf erhaltene Funktionsfähigkeit: Heterogenität nach Krankheitstyp und sozioökonomischem Status</w:t>
      </w:r>
    </w:p>
    <w:p>
      <w:r>
        <w:rPr>
          <w:i/>
          <w:color w:val="666666"/>
          <w:sz w:val="18"/>
        </w:rPr>
        <w:t>Zeng Z et al.  ·  Medicine (Baltimore)  ·  02.10.2026  ·  PMID 42826326</w:t>
      </w:r>
    </w:p>
    <w:p>
      <w:r>
        <w:t>Querschnittsstudie mit wiederholten Beobachtungen aus China (2011, 2015, 2018) zu Assoziationen zwischen Multimorbiditäten und Intrinsic Capacity (selbstständiges Leben) mit Subgruppenanalysen nach Erkrankungstyp, Region und Einkommen.</w:t>
      </w:r>
    </w:p>
    <w:p>
      <w:r>
        <w:rPr>
          <w:b/>
        </w:rPr>
        <w:t xml:space="preserve">Ergebnis: </w:t>
      </w:r>
      <w:r>
        <w:t>Multimorbiditäten waren signifikant mit niedriger Intrinsic Capacity assoziiert (β=−0,076, p&lt;0,01). Neurodegenerative Erkrankungen zeigten die stärkste negative Assoziation (β=−0,587), gefolgt von kardiovaskulären Erkrankungen (β=−0,135). Negative Assoziationen waren stärker in ländlichen Gebieten, westlichen Regionen und bei niedrigerem Einkommen/Bildung.</w:t>
      </w:r>
    </w:p>
    <w:p>
      <w:r>
        <w:rPr>
          <w:b/>
          <w:sz w:val="19"/>
        </w:rPr>
        <w:t xml:space="preserve">Übertragbarkeit: </w:t>
      </w:r>
      <w:r>
        <w:rPr>
          <w:sz w:val="19"/>
        </w:rPr>
        <w:t>China, andere Ausgangslage; Befunde zu Multimorbiditäts-Burden in alternder Bevölkerung relevant für globale Perspektive</w:t>
      </w:r>
    </w:p>
    <w:p>
      <w:r>
        <w:rPr>
          <w:color w:val="5A7D3A"/>
          <w:sz w:val="18"/>
        </w:rPr>
        <w:t>https://pubmed.ncbi.nlm.nih.gov/42826326/</w:t>
      </w:r>
    </w:p>
    <w:p>
      <w:pPr>
        <w:pStyle w:val="Heading2"/>
      </w:pPr>
      <w:r>
        <w:t>Kompetenzdefizite von Pflegefachpersonen bei Frailty-Management: Praxis schwächer als Wissen</w:t>
      </w:r>
    </w:p>
    <w:p>
      <w:r>
        <w:rPr>
          <w:i/>
          <w:color w:val="666666"/>
          <w:sz w:val="18"/>
        </w:rPr>
        <w:t>Lyu J et al.  ·  Front Public Health  ·  17.09.2026  ·  PMID 42824785</w:t>
      </w:r>
    </w:p>
    <w:p>
      <w:r>
        <w:t>Querschnittsbefragung von 610 Pflegefachpersonen an 41 Krankenhäusern in China zu Wissen, Einstellungen und praktischen Fertigkeiten (KAP) zur Frailty-Versorgung und deren Determinanten.</w:t>
      </w:r>
    </w:p>
    <w:p>
      <w:r>
        <w:rPr>
          <w:b/>
        </w:rPr>
        <w:t xml:space="preserve">Ergebnis: </w:t>
      </w:r>
      <w:r>
        <w:t>Mittleres KAP-Score 103,07±12,65 (81,16% des Maximums): Einstellung 88,53%, Wissen 81,38%, Praxis 74,40%. Recente Frailty-Schulung war unabhängig mit besserem Gesamt-KAP assoziiert (β=−6,820 für nicht trainiert versus innerhalb eines Monats trainiert, p=0,036). Geriatrische Fachzertifizierung war nur mit Wissen assoziiert, nicht mit Gesamtleistung oder Praxis.</w:t>
      </w:r>
    </w:p>
    <w:p>
      <w:r>
        <w:rPr>
          <w:b/>
          <w:sz w:val="19"/>
        </w:rPr>
        <w:t xml:space="preserve">Übertragbarkeit: </w:t>
      </w:r>
      <w:r>
        <w:rPr>
          <w:sz w:val="19"/>
        </w:rPr>
        <w:t>China, andere Gesundheitssystem-Struktur; Erkenntnis zur Schulungsrelevanz bei Fachpersonal übertragbar</w:t>
      </w:r>
    </w:p>
    <w:p>
      <w:r>
        <w:rPr>
          <w:color w:val="5A7D3A"/>
          <w:sz w:val="18"/>
        </w:rPr>
        <w:t>https://pubmed.ncbi.nlm.nih.gov/42824785/</w:t>
      </w:r>
    </w:p>
    <w:p>
      <w:pPr>
        <w:pStyle w:val="Heading2"/>
      </w:pPr>
      <w:r>
        <w:t>Geografische Disparitäten beim direkten Zugang zu akutgeriatrischer Versorgung</w:t>
      </w:r>
    </w:p>
    <w:p>
      <w:r>
        <w:rPr>
          <w:i/>
          <w:color w:val="666666"/>
          <w:sz w:val="18"/>
        </w:rPr>
        <w:t>Varg S et al.  ·  BMC Geriatr  ·  02.10.2026  ·  PMID 42823763</w:t>
      </w:r>
    </w:p>
    <w:p>
      <w:r>
        <w:t>Observationsstudie in Stockholm zu Variation der Rettungswagen-Einweisungen von über 65-Jährigen direkt in Geriatrische Stationen versus Notaufnahmen und zugrunde liegenden Unterschieden zwischen Versorgungsgebieten.</w:t>
      </w:r>
    </w:p>
    <w:p>
      <w:r>
        <w:rPr>
          <w:b/>
        </w:rPr>
        <w:t xml:space="preserve">Ergebnis: </w:t>
      </w:r>
      <w:r>
        <w:t>Von 8.208 Patienten wurden 603 (7%) direkt in eine Geriatrische Station aufgenommen; Quoten variierten zwischen 4% und 21% je Krankenhaus-Versorgungsgebiet. Nach Adjustierung für Angebotsfaktoren erklärten Nähe zur geriatrischen Einheit (26% Varianzreduktion), Trägerschaft (27%) und Bettenzahl (38%) einen Teil der Variation; erhebliche Residualvariation blieb bestehen (MOR=1,54), was auf unmessbare Faktoren hindeutet.</w:t>
      </w:r>
    </w:p>
    <w:p>
      <w:r>
        <w:rPr>
          <w:b/>
          <w:sz w:val="19"/>
        </w:rPr>
        <w:t xml:space="preserve">Übertragbarkeit: </w:t>
      </w:r>
      <w:r>
        <w:rPr>
          <w:sz w:val="19"/>
        </w:rPr>
        <w:t>Schwedische Klinikdaten, Notfallsystem mit weniger fragmentierter Versorgungslandschaft als Deutschland</w:t>
      </w:r>
    </w:p>
    <w:p>
      <w:r>
        <w:rPr>
          <w:color w:val="5A7D3A"/>
          <w:sz w:val="18"/>
        </w:rPr>
        <w:t>https://pubmed.ncbi.nlm.nih.gov/42823763/</w:t>
      </w:r>
    </w:p>
    <w:p>
      <w:pPr>
        <w:pStyle w:val="Heading2"/>
      </w:pPr>
      <w:r>
        <w:t>Frailty-Komponenten und Funktionsfähigkeit: Unterschiede zwischen baltischen und nordischen Ländern</w:t>
      </w:r>
    </w:p>
    <w:p>
      <w:r>
        <w:rPr>
          <w:i/>
          <w:color w:val="666666"/>
          <w:sz w:val="18"/>
        </w:rPr>
        <w:t>Bukova-Žideļūna A et al.  ·  BMC Geriatr  ·  28.07.2026  ·  PMID 42823669</w:t>
      </w:r>
    </w:p>
    <w:p>
      <w:r>
        <w:t>Längsschnittstudie über zwei Jahre zu Zusammenhängen zwischen Frailty-Status und neuen Einschränkungen bei Aktivitäten des täglichen Lebens (ADL/IADL) in über 65-Jährigen aus baltischen und nordischen Ländern mit SHARE-Daten.</w:t>
      </w:r>
    </w:p>
    <w:p>
      <w:r>
        <w:rPr>
          <w:b/>
        </w:rPr>
        <w:t xml:space="preserve">Ergebnis: </w:t>
      </w:r>
      <w:r>
        <w:t>Über zwei Jahre entwickelten 5,9% neue IADL-Einschränkungen in baltischen und 6,4% in nordischen Ländern; 4,6% bzw. 4,7% neue ADL-Einschränkungen. Pre-Frailty war in beiden Regionen mit neuen IADL-Einschränkungen assoziiert. Erschöpfung war die einzige Frailty-Komponente, die unabhängig in beiden Regionen mit neuen Limitationen verknüpft war. Frailty-Prevalenz war in baltischen Ländern deutlich höher.</w:t>
      </w:r>
    </w:p>
    <w:p>
      <w:r>
        <w:rPr>
          <w:b/>
          <w:sz w:val="19"/>
        </w:rPr>
        <w:t xml:space="preserve">Übertragbarkeit: </w:t>
      </w:r>
      <w:r>
        <w:rPr>
          <w:sz w:val="19"/>
        </w:rPr>
        <w:t>SHARE-Daten aus Europa, vergleichbare Gesundheitssysteme und Datenqualität</w:t>
      </w:r>
    </w:p>
    <w:p>
      <w:r>
        <w:rPr>
          <w:color w:val="5A7D3A"/>
          <w:sz w:val="18"/>
        </w:rPr>
        <w:t>https://pubmed.ncbi.nlm.nih.gov/42823669/</w:t>
      </w:r>
    </w:p>
    <w:p>
      <w:pPr>
        <w:pStyle w:val="Heading2"/>
      </w:pPr>
      <w:r>
        <w:t>Vorhersagefaktoren für erhaltene Robustheit im Alter: 8-Jahres-Kohortenstudie</w:t>
      </w:r>
    </w:p>
    <w:p>
      <w:r>
        <w:rPr>
          <w:i/>
          <w:color w:val="666666"/>
          <w:sz w:val="18"/>
        </w:rPr>
        <w:t>Iktilat K et al.  ·  BMC Geriatr  ·  19.08.2026  ·  PMID 42823660</w:t>
      </w:r>
    </w:p>
    <w:p>
      <w:r>
        <w:t>Multinationalle Langzeitanalyse über acht Jahre zu Baseline-Merkmalen, die das Verbleiben in einem robusten (nicht-frail) Zustand vorhersagen bei älteren Erwachsenen 65–84 Jahren aus 27 SHARE-Ländern.</w:t>
      </w:r>
    </w:p>
    <w:p>
      <w:r>
        <w:rPr>
          <w:b/>
        </w:rPr>
        <w:t xml:space="preserve">Ergebnis: </w:t>
      </w:r>
      <w:r>
        <w:t>Nach acht Jahren verblieben 52% der jüngeren Älteren (65–74 J.) und 26% der älteren Älteren (75–84 J.) robust. Konsistent beste Vorhersagefaktoren waren bessere subjektive Gesundheit (OR ≈0,72, p&lt;0,001), weniger chronische Erkrankungen (OR ≈0,89, p&lt;0,001) und finanzielle Sicherheit (OR ≈1,11, p=0,018). Soziale und kognitive Aktivitäten zeigten in manchen Modellen Assoziationen.</w:t>
      </w:r>
    </w:p>
    <w:p>
      <w:r>
        <w:rPr>
          <w:b/>
          <w:sz w:val="19"/>
        </w:rPr>
        <w:t xml:space="preserve">Übertragbarkeit: </w:t>
      </w:r>
      <w:r>
        <w:rPr>
          <w:sz w:val="19"/>
        </w:rPr>
        <w:t>SHARE-Daten aus Europa, vergleichbare Bevölkerungsstruktur und Sozialsysteme</w:t>
      </w:r>
    </w:p>
    <w:p>
      <w:r>
        <w:rPr>
          <w:color w:val="5A7D3A"/>
          <w:sz w:val="18"/>
        </w:rPr>
        <w:t>https://pubmed.ncbi.nlm.nih.gov/42823660/</w:t>
      </w:r>
    </w:p>
    <w:p>
      <w:pPr>
        <w:pStyle w:val="Heading2"/>
      </w:pPr>
      <w:r>
        <w:t>Frailty als Prädiktor für Krankenhausaufnahme jenseits des Triage-Scores</w:t>
      </w:r>
    </w:p>
    <w:p>
      <w:r>
        <w:rPr>
          <w:i/>
          <w:color w:val="666666"/>
          <w:sz w:val="18"/>
        </w:rPr>
        <w:t>Hata N et al.  ·  Acad Emerg Med  ·  Okt. 2026  ·  PMID 42811477</w:t>
      </w:r>
    </w:p>
    <w:p>
      <w:r>
        <w:t>Retrospektive Kohortenanalyse von Notaufnahme-Patienten ≥65 Jahren in Japan (n=3127 Besuche) zur Assoziation zwischen Clinical Frailty Scale und Hospitalisierung, stratifiziert nach Triage-Kategorien.</w:t>
      </w:r>
    </w:p>
    <w:p>
      <w:r>
        <w:rPr>
          <w:b/>
        </w:rPr>
        <w:t xml:space="preserve">Ergebnis: </w:t>
      </w:r>
      <w:r>
        <w:t>Von 3.127 ED-Besuchen führten 1.526 zur Aufnahme. Adjustierte Odds Ratios für Frailty (CFS≥5) waren 1,00 (95% CI 0,65–1,55) in JTAS 2, 1,54 (1,19–1,99) in JTAS 3 und 2,01 (1,13–3,58) in JTAS 4/5. Globale CFS-by-JTAS-Interaktion war nicht signifikant (p=0,091), deutet aber numerisch auf stärkere Frailty-Effekte bei niedrigerer Triage-Dringlichkeit hin.</w:t>
      </w:r>
    </w:p>
    <w:p>
      <w:r>
        <w:rPr>
          <w:b/>
          <w:sz w:val="19"/>
        </w:rPr>
        <w:t xml:space="preserve">Übertragbarkeit: </w:t>
      </w:r>
      <w:r>
        <w:rPr>
          <w:sz w:val="19"/>
        </w:rPr>
        <w:t>Japan, ähnliches Gesundheitssystem; Befund zu Frailty-Screening in der Notaufnahme strukturübergreifend relevant</w:t>
      </w:r>
    </w:p>
    <w:p>
      <w:r>
        <w:rPr>
          <w:color w:val="5A7D3A"/>
          <w:sz w:val="18"/>
        </w:rPr>
        <w:t>https://pubmed.ncbi.nlm.nih.gov/42811477/</w:t>
      </w:r>
    </w:p>
    <w:p>
      <w:pPr>
        <w:pStyle w:val="Heading1"/>
      </w:pPr>
      <w:r>
        <w:t>Aufgenommen am 02.10.2026</w:t>
      </w:r>
    </w:p>
    <w:p>
      <w:pPr>
        <w:pStyle w:val="Heading2"/>
      </w:pPr>
      <w:r>
        <w:t>Körperliche Aktivität senkt Risiko für intrinsische Kapazitätsverluste bei hospitalisierten Älteren</w:t>
      </w:r>
    </w:p>
    <w:p>
      <w:r>
        <w:rPr>
          <w:i/>
          <w:color w:val="666666"/>
          <w:sz w:val="18"/>
        </w:rPr>
        <w:t>Fan W et al.  ·  Australas J Ageing  ·  Dez. 2026  ·  PMID 42820336</w:t>
      </w:r>
    </w:p>
    <w:p>
      <w:r>
        <w:t>Querschnittsstudie mit 534 hospitalisierten älteren Patienten (China) zur Dosis-Wirkungs-Beziehung zwischen körperlicher Aktivität und Verfall der intrinsischen Kapazität.</w:t>
      </w:r>
    </w:p>
    <w:p>
      <w:r>
        <w:rPr>
          <w:b/>
        </w:rPr>
        <w:t xml:space="preserve">Ergebnis: </w:t>
      </w:r>
      <w:r>
        <w:t>Moderate körperliche Aktivität reduzierte Risiko für Kapazitätsverlust um 66% (OR=0,34, 95%-KI 0,23–0,50), hohe Aktivität um 74% (OR=0,26, KI 0,14–0,49). J-förmige nichtlineare Assoziation nachgewiesen. Subgruppenanalysen deuteten auf Geschlecht als potenziellen Moderator hin.</w:t>
      </w:r>
    </w:p>
    <w:p>
      <w:r>
        <w:rPr>
          <w:b/>
          <w:sz w:val="19"/>
        </w:rPr>
        <w:t xml:space="preserve">Übertragbarkeit: </w:t>
      </w:r>
      <w:r>
        <w:rPr>
          <w:sz w:val="19"/>
        </w:rPr>
        <w:t>China, Daten aus Akutkliniken; intrinsische Kapazität international anerkanntes Konzept</w:t>
      </w:r>
    </w:p>
    <w:p>
      <w:r>
        <w:rPr>
          <w:color w:val="5A7D3A"/>
          <w:sz w:val="18"/>
        </w:rPr>
        <w:t>https://pubmed.ncbi.nlm.nih.gov/42820336/</w:t>
      </w:r>
    </w:p>
    <w:p>
      <w:pPr>
        <w:pStyle w:val="Heading2"/>
      </w:pPr>
      <w:r>
        <w:t>Intrinsische Kapazität und Frailty Index prognostizieren Behinderung und Mortalität</w:t>
      </w:r>
    </w:p>
    <w:p>
      <w:r>
        <w:rPr>
          <w:i/>
          <w:color w:val="666666"/>
          <w:sz w:val="18"/>
        </w:rPr>
        <w:t>Feng B et al.  ·  Front Public Health  ·  16.09.2026  ·  PMID 42818694</w:t>
      </w:r>
    </w:p>
    <w:p>
      <w:r>
        <w:t>Prospektive Kohorte mit 7.168 Erwachsenen ≥60 Jahren (China) zur Vorhersagekraft von intrinsischer Kapazität und Frailty-Index für neue Behinderung und Gesamtsterblichkeit.</w:t>
      </w:r>
    </w:p>
    <w:p>
      <w:r>
        <w:rPr>
          <w:b/>
        </w:rPr>
        <w:t xml:space="preserve">Ergebnis: </w:t>
      </w:r>
      <w:r>
        <w:t>Höhere intrinsische Kapazität: niedrigere Behinderungsodds (OR=0,79 pro Punkt, 95%-KI 0,74–0,84) und reduziertes Mortalitätsrisiko (HR=0,84, KI 0,82–0,85). Höherer Frailty-Index: höhere Behinderungsodds (OR=1,93 pro 0,1-Punkte-Steigerung, KI 1,67–2,23). Kombiniert niedrige IC + hoher FI: größtes Behinderungsrisiko (OR=4,31, KI 2,65–7,04) und Mortalitätsrisiko (HR=2,66, KI 2,32–3,04).</w:t>
      </w:r>
    </w:p>
    <w:p>
      <w:r>
        <w:rPr>
          <w:b/>
          <w:sz w:val="19"/>
        </w:rPr>
        <w:t xml:space="preserve">Übertragbarkeit: </w:t>
      </w:r>
      <w:r>
        <w:rPr>
          <w:sz w:val="19"/>
        </w:rPr>
        <w:t>China; beide Konzepte international etabliert, IC und Frailty-Metriken WHO-anerkannt</w:t>
      </w:r>
    </w:p>
    <w:p>
      <w:r>
        <w:rPr>
          <w:color w:val="5A7D3A"/>
          <w:sz w:val="18"/>
        </w:rPr>
        <w:t>https://pubmed.ncbi.nlm.nih.gov/42818694/</w:t>
      </w:r>
    </w:p>
    <w:p>
      <w:pPr>
        <w:pStyle w:val="Heading2"/>
      </w:pPr>
      <w:r>
        <w:t>Gesundheitskompetenz fördert aktives und erfolgreiches Altern</w:t>
      </w:r>
    </w:p>
    <w:p>
      <w:r>
        <w:rPr>
          <w:i/>
          <w:color w:val="666666"/>
          <w:sz w:val="18"/>
        </w:rPr>
        <w:t>Akdeniz Ş et al.  ·  BMC Geriatr  ·  29.09.2026  ·  PMID 42816844</w:t>
      </w:r>
    </w:p>
    <w:p>
      <w:r>
        <w:t>Querschnittsstudie an 306 älteren Erwachsenen (Ø 67,8 Jahre) in der Türkei zu Zusammenhängen zwischen Gesundheitskompetenz, aktivem Altern und erfolgreichem Altern.</w:t>
      </w:r>
    </w:p>
    <w:p>
      <w:r>
        <w:rPr>
          <w:b/>
        </w:rPr>
        <w:t xml:space="preserve">Ergebnis: </w:t>
      </w:r>
      <w:r>
        <w:t>Höhere Gesundheitskompetenz war signifikant mit besserem aktivem Altern assoziiert (p&lt;0,01) und erklärte 56,4% der Varianz des Active-Ageing-Scores (R²=0,564). Regelmäßige mentale Aktivität und Gesundheitskompetenz waren unabhängige Prädiktoren; Bildung und regelmäßiges Training waren im Gesamtmodell nicht signifikant. Zentrale Erkenntnis: Gesundheitskompetenz ist Schlüsselfaktor für aktives Altern.</w:t>
      </w:r>
    </w:p>
    <w:p>
      <w:r>
        <w:rPr>
          <w:b/>
          <w:sz w:val="19"/>
        </w:rPr>
        <w:t xml:space="preserve">Übertragbarkeit: </w:t>
      </w:r>
      <w:r>
        <w:rPr>
          <w:sz w:val="19"/>
        </w:rPr>
        <w:t>Türkei mit vergleichbarer Sozialversicherung, Health-Literacy-Instrumente international validiert</w:t>
      </w:r>
    </w:p>
    <w:p>
      <w:r>
        <w:rPr>
          <w:color w:val="5A7D3A"/>
          <w:sz w:val="18"/>
        </w:rPr>
        <w:t>https://pubmed.ncbi.nlm.nih.gov/42816844/</w:t>
      </w:r>
    </w:p>
    <w:p>
      <w:pPr>
        <w:pStyle w:val="Heading2"/>
      </w:pPr>
      <w:r>
        <w:t>Metabolische Dysregulation vorhersagt Frailty-Entwicklung bei älteren Erwachsenen</w:t>
      </w:r>
    </w:p>
    <w:p>
      <w:r>
        <w:rPr>
          <w:i/>
          <w:color w:val="666666"/>
          <w:sz w:val="18"/>
        </w:rPr>
        <w:t>Wang H et al.  ·  Front Public Health  ·  14.09.2026  ·  PMID 42807462</w:t>
      </w:r>
    </w:p>
    <w:p>
      <w:r>
        <w:t>Prospektive Kohortenstudie (n=2.476, China, 2018–2021) zur zeitlichen Assoziation zwischen TyG-CVAI (Triglycerid-Glukose × viszerales Adipositas-Index) und Frailty-Index.</w:t>
      </w:r>
    </w:p>
    <w:p>
      <w:r>
        <w:rPr>
          <w:b/>
        </w:rPr>
        <w:t xml:space="preserve">Ergebnis: </w:t>
      </w:r>
      <w:r>
        <w:t>Baseline TyG-CVAI prägt Follow-up-Frailty signifikant (standardisiert β=0,165, p&lt;0,001), inverse Assoziation deutlich schwächer (β=0,035, p&lt;0,001). Nichtlineares Verhältnis mit Wendepunkt TyG-CVAI≈750. Subgruppen: stärkere Assoziation unter 60 Jahren, bei ethnischen Minderheiten, ohne Hypertonie/Diabetes. TyG-CVAI als Routine-Biomarker für Früh-Screening geeignet.</w:t>
      </w:r>
    </w:p>
    <w:p>
      <w:r>
        <w:rPr>
          <w:b/>
          <w:sz w:val="19"/>
        </w:rPr>
        <w:t xml:space="preserve">Übertragbarkeit: </w:t>
      </w:r>
      <w:r>
        <w:rPr>
          <w:sz w:val="19"/>
        </w:rPr>
        <w:t>China; TyG-Index und viszerales Adipositas-Index aus Routineparametern</w:t>
      </w:r>
    </w:p>
    <w:p>
      <w:r>
        <w:rPr>
          <w:color w:val="5A7D3A"/>
          <w:sz w:val="18"/>
        </w:rPr>
        <w:t>https://pubmed.ncbi.nlm.nih.gov/42807462/</w:t>
      </w:r>
    </w:p>
    <w:p>
      <w:pPr>
        <w:pStyle w:val="Heading2"/>
      </w:pPr>
      <w:r>
        <w:t>Pilocarpin-Tropfen bei Xerostomie in Palliativversorgung: randomisierte Studie</w:t>
      </w:r>
    </w:p>
    <w:p>
      <w:r>
        <w:rPr>
          <w:i/>
          <w:color w:val="666666"/>
          <w:sz w:val="18"/>
        </w:rPr>
        <w:t>van der Meulen A et al.  ·  J Am Med Dir Assoc  ·  25.08.2026  ·  PMID 42641502</w:t>
      </w:r>
    </w:p>
    <w:p>
      <w:r>
        <w:t>Randomisierte, doppelblinde Placebo-kontrollierte Studie (n=92, Niederlande) zu Wirksamkeit von topischem Pilocarpin gegen Mundtrockenheit bei Patienten mit lebensverkürzender Erkrankung und/oder Frailty.</w:t>
      </w:r>
    </w:p>
    <w:p>
      <w:r>
        <w:rPr>
          <w:b/>
        </w:rPr>
        <w:t xml:space="preserve">Ergebnis: </w:t>
      </w:r>
      <w:r>
        <w:t>Kein signifikanter Unterschied zwischen Pilocarpin und Placebo in Xerostomie-Schweregrad Woche 2 oder 4 (adjustiertes β=–0,37, KI –1,31 bis 0,58 Woche 4). Nur Pilocarpin zeigte kontinuierliche Reduktion Woche 2–4 (–0,86, KI –1,56 bis –0,15). Mundgesundheits-Lebensqualität verbesserte sich unter Pilocarpin Woche 2 (β=2,8, KI 0,91–4,65). Studie unterversorgt; Verträglichkeit gut.</w:t>
      </w:r>
    </w:p>
    <w:p>
      <w:r>
        <w:rPr>
          <w:b/>
          <w:sz w:val="19"/>
        </w:rPr>
        <w:t xml:space="preserve">Übertragbarkeit: </w:t>
      </w:r>
      <w:r>
        <w:rPr>
          <w:sz w:val="19"/>
        </w:rPr>
        <w:t>Niederlande, vergleichbares Versicherungssystem; Palliativversorgung älterer Patienten</w:t>
      </w:r>
    </w:p>
    <w:p>
      <w:r>
        <w:rPr>
          <w:color w:val="5A7D3A"/>
          <w:sz w:val="18"/>
        </w:rPr>
        <w:t>https://pubmed.ncbi.nlm.nih.gov/42641502/</w:t>
      </w:r>
    </w:p>
    <w:p>
      <w:pPr>
        <w:pStyle w:val="Heading1"/>
      </w:pPr>
      <w:r>
        <w:t>Aufgenommen am 01.10.2026</w:t>
      </w:r>
    </w:p>
    <w:p>
      <w:pPr>
        <w:pStyle w:val="Heading2"/>
      </w:pPr>
      <w:r>
        <w:t>Hochintensives Gehen baut Gebrechlichkeit bei älteren Menschen besser ab als lockeres Spaziergang</w:t>
      </w:r>
    </w:p>
    <w:p>
      <w:r>
        <w:rPr>
          <w:i/>
          <w:color w:val="666666"/>
          <w:sz w:val="18"/>
        </w:rPr>
        <w:t>Danilovich M et al.  ·  PLoS One  ·  30.09.2026  ·  PMID 42814673</w:t>
      </w:r>
    </w:p>
    <w:p>
      <w:r>
        <w:t>Randomisierte kontrollierte Studie an 165 gebrechlichen oder vorgebrechlichen älteren Menschen (Alter ≥60 Jahre), die entweder hochintensives Gehen (70% Herzfrequenzmaximum) oder lockeres Gehen (unter 60%) über 16 Wochen trainierten.</w:t>
      </w:r>
    </w:p>
    <w:p>
      <w:r>
        <w:rPr>
          <w:b/>
        </w:rPr>
        <w:t xml:space="preserve">Ergebnis: </w:t>
      </w:r>
      <w:r>
        <w:t>69,6% der hochintensiv trainierenden Teilnehmer (32/46) verbesserten ihre Gebrechlichkeit um mind. eine Kategorie gegenüber 46,4% der Kontrollgruppe (26/56) – Odds Ratio 2,91 (95% KI 1,19–7,13, p=0,02). Hochintensives Training erhöhte Gehgeschwindigkeit um 0,08 m/s (95% KI 0,03–0,13) und 6-Minuten-Gehstrecke um 49 m (95% KI 21–77 m).</w:t>
      </w:r>
    </w:p>
    <w:p>
      <w:r>
        <w:rPr>
          <w:b/>
          <w:sz w:val="19"/>
        </w:rPr>
        <w:t xml:space="preserve">Übertragbarkeit: </w:t>
      </w:r>
      <w:r>
        <w:rPr>
          <w:sz w:val="19"/>
        </w:rPr>
        <w:t>USA; Interventionsergebnis unabhängig von Gesundheitssystem übertragbar</w:t>
      </w:r>
    </w:p>
    <w:p>
      <w:r>
        <w:rPr>
          <w:color w:val="5A7D3A"/>
          <w:sz w:val="18"/>
        </w:rPr>
        <w:t>https://pubmed.ncbi.nlm.nih.gov/42814673/</w:t>
      </w:r>
    </w:p>
    <w:p>
      <w:pPr>
        <w:pStyle w:val="Heading2"/>
      </w:pPr>
      <w:r>
        <w:t>Chemokine CCL2 und CXCL2 als Marker für Delirium-Anfälligkeit bei älteren Menschen</w:t>
      </w:r>
    </w:p>
    <w:p>
      <w:r>
        <w:rPr>
          <w:i/>
          <w:color w:val="666666"/>
          <w:sz w:val="18"/>
        </w:rPr>
        <w:t>Moorey H et al.  ·  Age Ageing  ·  04.09.2026  ·  PMID 42814578</w:t>
      </w:r>
    </w:p>
    <w:p>
      <w:r>
        <w:t>Prospektive Kohortenstudie an 98 Bewohnern der Allgemeinbevölkerung (Median-Alter 88 Jahre, 90,8% gebrechlich) aus der CASCADE-Studie mit 2-Jahres-Verfolgung zur Deliriumprävention.</w:t>
      </w:r>
    </w:p>
    <w:p>
      <w:r>
        <w:rPr>
          <w:b/>
        </w:rPr>
        <w:t xml:space="preserve">Ergebnis: </w:t>
      </w:r>
      <w:r>
        <w:t>43,9% der Teilnehmer erlebten ≥1 Delirium-Episode. CCL2 und CXCL2 waren zu Baseline bei der Deliriumgruppe signifikant erhöht (CCL2: 13,38 vs. 10,83, p=0,004; CXCL2: 17,23 vs. 13,49, p=0,031). CCL2-Assoziation mit Deliriumrisiko blieb in beiden Demenzunttergruppen stabil; CXCL2 nur bei Teilnehmern ohne Demenz signifikant.</w:t>
      </w:r>
    </w:p>
    <w:p>
      <w:r>
        <w:rPr>
          <w:b/>
          <w:sz w:val="19"/>
        </w:rPr>
        <w:t xml:space="preserve">Übertragbarkeit: </w:t>
      </w:r>
      <w:r>
        <w:rPr>
          <w:sz w:val="19"/>
        </w:rPr>
        <w:t>UK (Birmingham), vergleichbares Gesundheitssystem und Altersstruktur</w:t>
      </w:r>
    </w:p>
    <w:p>
      <w:r>
        <w:rPr>
          <w:color w:val="5A7D3A"/>
          <w:sz w:val="18"/>
        </w:rPr>
        <w:t>https://pubmed.ncbi.nlm.nih.gov/42814578/</w:t>
      </w:r>
    </w:p>
    <w:p>
      <w:pPr>
        <w:pStyle w:val="Heading2"/>
      </w:pPr>
      <w:r>
        <w:t>Anticholinerge Blasenmittel erhöhen Demenzrisiko bei älteren Frauen stärker als Beta-3-Agonisten</w:t>
      </w:r>
    </w:p>
    <w:p>
      <w:r>
        <w:rPr>
          <w:i/>
          <w:color w:val="666666"/>
          <w:sz w:val="18"/>
        </w:rPr>
        <w:t>Ito K et al.  ·  Int J Urol  ·  Okt. 2026  ·  PMID 42814029</w:t>
      </w:r>
    </w:p>
    <w:p>
      <w:r>
        <w:t>Retrospektive Kohortenstudie mit 3794 älteren Frauen (65–84 Jahre) in Japan, die neu mit Anticholinergika oder Beta-3-Agonisten gegen überaktive Blase behandelt wurden, mit mindestens 1 Jahr kontinuierlicher Therapie und 5-Jahre-Verfolgung.</w:t>
      </w:r>
    </w:p>
    <w:p>
      <w:r>
        <w:rPr>
          <w:b/>
        </w:rPr>
        <w:t xml:space="preserve">Ergebnis: </w:t>
      </w:r>
      <w:r>
        <w:t>Kein signifikanter Unterschied in Verschlechterung der Pflegebedürftigkeit (HR 1,03, 95% KI 0,87–1,22). Anticholinergikagruppe zeigte erhöhtes Demenzrisiko (HR 1,49, 95% KI 1,04–2,13). Elektronischer Gebrechlichkeitsindex unterschied sich nicht (p&gt;0,05).</w:t>
      </w:r>
    </w:p>
    <w:p>
      <w:r>
        <w:rPr>
          <w:b/>
          <w:sz w:val="19"/>
        </w:rPr>
        <w:t xml:space="preserve">Übertragbarkeit: </w:t>
      </w:r>
      <w:r>
        <w:rPr>
          <w:sz w:val="19"/>
        </w:rPr>
        <w:t>Japan (Shizuoka-Kasse); vergleichbares Alter und Gesundheitssystem; Ergebnis zur Deprescribing übertragbar</w:t>
      </w:r>
    </w:p>
    <w:p>
      <w:r>
        <w:rPr>
          <w:color w:val="5A7D3A"/>
          <w:sz w:val="18"/>
        </w:rPr>
        <w:t>https://pubmed.ncbi.nlm.nih.gov/42814029/</w:t>
      </w:r>
    </w:p>
    <w:p>
      <w:pPr>
        <w:pStyle w:val="Heading2"/>
      </w:pPr>
      <w:r>
        <w:t>Trauer um Ehepartner verschärft kognitiven Verfall bei älteren Menschen in verschiedenen Ländern</w:t>
      </w:r>
    </w:p>
    <w:p>
      <w:r>
        <w:rPr>
          <w:i/>
          <w:color w:val="666666"/>
          <w:sz w:val="18"/>
        </w:rPr>
        <w:t>Guo C et al.  ·  Epidemiol Psychiatr Sci  ·  30.09.2026  ·  PMID 42813925</w:t>
      </w:r>
    </w:p>
    <w:p>
      <w:r>
        <w:t>Prospektive Metaanalyse aus sechs harmonisierten Alterskohortensurveys (USA, England, Mexiko, China, Indien, Südafrika; n=18.551, Alter 61–71 Jahre) mit neuropsychologischem Assessment zur Auswirkung von Verwitwung auf kognitive Domänen.</w:t>
      </w:r>
    </w:p>
    <w:p>
      <w:r>
        <w:rPr>
          <w:b/>
        </w:rPr>
        <w:t xml:space="preserve">Ergebnis: </w:t>
      </w:r>
      <w:r>
        <w:t>Witwenschaft assoziiert mit Gedächtnisverschlechterung (β=−0,07, 95% KI −0,12 bis −0,01) und exekutiver Dysfunktion (β=−0,08, 95% KI −0,13 bis −0,03) in Metaanalyse. Geschlechtsspezifische Effekte: Männer zeigten größere exekutive Defizite (β=−0,14), Frauen Gedächtnisverluste (β=−0,07). Schutzfaktoren: höhere Schulbildung, Internetnutzung, Body-Mass-Index.</w:t>
      </w:r>
    </w:p>
    <w:p>
      <w:r>
        <w:rPr>
          <w:b/>
          <w:sz w:val="19"/>
        </w:rPr>
        <w:t xml:space="preserve">Übertragbarkeit: </w:t>
      </w:r>
      <w:r>
        <w:rPr>
          <w:sz w:val="19"/>
        </w:rPr>
        <w:t>Multinational aber heterogen; Übertragbarkeit begrenzt durch unterschiedliche Rentensysteme und Unterstützungsstrukturen</w:t>
      </w:r>
    </w:p>
    <w:p>
      <w:r>
        <w:rPr>
          <w:color w:val="5A7D3A"/>
          <w:sz w:val="18"/>
        </w:rPr>
        <w:t>https://pubmed.ncbi.nlm.nih.gov/42813925/</w:t>
      </w:r>
    </w:p>
    <w:p>
      <w:pPr>
        <w:pStyle w:val="Heading2"/>
      </w:pPr>
      <w:r>
        <w:t>Multidisziplinäres Programm reduziert Gebrechlichkeit bei älteren Herzpatienten im Krankenhaus</w:t>
      </w:r>
    </w:p>
    <w:p>
      <w:r>
        <w:rPr>
          <w:i/>
          <w:color w:val="666666"/>
          <w:sz w:val="18"/>
        </w:rPr>
        <w:t>Chai K et al.  ·  Nat Commun  ·  31.08.2026  ·  PMID 42811040</w:t>
      </w:r>
    </w:p>
    <w:p>
      <w:r>
        <w:t>Randomisierte kontrollierte Studie an 333 gebrechlichen Krankenhauspatienten ≥70 Jahren mit kardiovaskulären Erkrankungen in China, die RENAP-Programm (Rehabilitation, Ernährung, Edukation, Akupunktur, Deprescribing) oder Standardbehandlung erhielten mit Verfolgung über 12 Monate.</w:t>
      </w:r>
    </w:p>
    <w:p>
      <w:r>
        <w:rPr>
          <w:b/>
        </w:rPr>
        <w:t xml:space="preserve">Ergebnis: </w:t>
      </w:r>
      <w:r>
        <w:t>RENAP verbesserte Fried-Gebrechlichkeits-Phänotyp stärker (mittlere Differenz −0,79, 95% KI −1,11 bis −0,46, p&lt;0,001) und Short Physical Performance Battery um 2,02 Punkte (95% KI 1,04–2,99, p&lt;0,001). Keine schwerwiegenden unerwünschten Ereignisse berichtet.</w:t>
      </w:r>
    </w:p>
    <w:p>
      <w:r>
        <w:rPr>
          <w:b/>
          <w:sz w:val="19"/>
        </w:rPr>
        <w:t xml:space="preserve">Übertragbarkeit: </w:t>
      </w:r>
      <w:r>
        <w:rPr>
          <w:sz w:val="19"/>
        </w:rPr>
        <w:t>China (Peking); unterschiedliche Versicherungsstruktur; Replikation in europäischen Gesundheitssystemen nötig</w:t>
      </w:r>
    </w:p>
    <w:p>
      <w:r>
        <w:rPr>
          <w:color w:val="5A7D3A"/>
          <w:sz w:val="18"/>
        </w:rPr>
        <w:t>https://pubmed.ncbi.nlm.nih.gov/42811040/</w:t>
      </w:r>
    </w:p>
    <w:p>
      <w:pPr>
        <w:pStyle w:val="Heading2"/>
      </w:pPr>
      <w:r>
        <w:t>Psychische Faktoren und Multimorbiditäten vorhersagen Gebrechlichkeit bei älteren Chilenen über 12 Monate</w:t>
      </w:r>
    </w:p>
    <w:p>
      <w:r>
        <w:rPr>
          <w:i/>
          <w:color w:val="666666"/>
          <w:sz w:val="18"/>
        </w:rPr>
        <w:t>Castillo-Carreño A et al.  ·  Rev Med Chil  ·  Juli 2026  ·  PMID 42809783</w:t>
      </w:r>
    </w:p>
    <w:p>
      <w:r>
        <w:t>Prospektive Kohortenstudie an 394 Personen 60–80 Jahre aus Santiago und Concepción (Chile) mit Baseline und 12-Monats-Follow-up zu Prädiktoren physischer Gebrechlichkeit (FRIED-Skala).</w:t>
      </w:r>
    </w:p>
    <w:p>
      <w:r>
        <w:rPr>
          <w:b/>
        </w:rPr>
        <w:t xml:space="preserve">Ergebnis: </w:t>
      </w:r>
      <w:r>
        <w:t>Baseline-Gebrechlichkeit 22,7%. Signifikante Prädiktoren für Gebrechlichkeitsentstehung: höheres Alter, niedrigere soziale Unterstützung (MSPSS), depressive/Angststörungssymptome, niedrigere kognitive Funktion, Hypertension, Gefäßerkrankung, BMI (p=0,040). Modell erklärte 28% der Varianz.</w:t>
      </w:r>
    </w:p>
    <w:p>
      <w:r>
        <w:rPr>
          <w:b/>
          <w:sz w:val="19"/>
        </w:rPr>
        <w:t xml:space="preserve">Übertragbarkeit: </w:t>
      </w:r>
      <w:r>
        <w:rPr>
          <w:sz w:val="19"/>
        </w:rPr>
        <w:t>Südamerika; Unterschiede in Altersstruktur und Sozialsystem; Konzepte zu psychosozialen Prädiktoren teilweise übertragbar</w:t>
      </w:r>
    </w:p>
    <w:p>
      <w:r>
        <w:rPr>
          <w:color w:val="5A7D3A"/>
          <w:sz w:val="18"/>
        </w:rPr>
        <w:t>https://pubmed.ncbi.nlm.nih.gov/42809783/</w:t>
      </w:r>
    </w:p>
    <w:p>
      <w:pPr>
        <w:pStyle w:val="Heading1"/>
      </w:pPr>
      <w:r>
        <w:t>Aufgenommen am 30.09.2026</w:t>
      </w:r>
    </w:p>
    <w:p>
      <w:pPr>
        <w:pStyle w:val="Heading2"/>
      </w:pPr>
      <w:r>
        <w:t>Adjuvante Chemotherapie bei Brustkrebs ab 70 Jahren verschlechtert Überleben nicht</w:t>
      </w:r>
    </w:p>
    <w:p>
      <w:r>
        <w:rPr>
          <w:i/>
          <w:color w:val="666666"/>
          <w:sz w:val="18"/>
        </w:rPr>
        <w:t>Sifer-Rivière L  ·  Rev Prat  ·  Sept. 2026  ·  PMID 42808620</w:t>
      </w:r>
    </w:p>
    <w:p>
      <w:r>
        <w:t>Fachkommentar zur ASTER-70s-Studie (Lancet 2025), die erstmals gezielt die Wirkung adjuvanter Chemotherapie bei Frauen ab 70 mit Brustkrebs untersucht hat – lange waren diese von Studien ausgeschlossen.</w:t>
      </w:r>
    </w:p>
    <w:p>
      <w:r>
        <w:rPr>
          <w:b/>
        </w:rPr>
        <w:t xml:space="preserve">Ergebnis: </w:t>
      </w:r>
      <w:r>
        <w:t>ASTER 70s zeigte: adjuvante Chemotherapie verbessert Gesamtüberleben nicht bei Frauen ab 70, exponiert aber zu erheblicher Toxizität und potenziellem Autonomieverlust. Dies ist ein entscheidendes Ergebnis: Es belegt, dass es möglich und notwendig ist, Evidenz für lange ausgeschlossene Populationen zu generieren und fordert Umdenken bei Gesundheitsgerechtigkeit in der Onkologie.</w:t>
      </w:r>
    </w:p>
    <w:p>
      <w:r>
        <w:rPr>
          <w:b/>
          <w:sz w:val="19"/>
        </w:rPr>
        <w:t xml:space="preserve">Übertragbarkeit: </w:t>
      </w:r>
      <w:r>
        <w:rPr>
          <w:sz w:val="19"/>
        </w:rPr>
        <w:t>Frankreich, französischsprachig; Evidenz vom UK-Standard, direkt relevant für europäische Praxis</w:t>
      </w:r>
    </w:p>
    <w:p>
      <w:r>
        <w:rPr>
          <w:color w:val="5A7D3A"/>
          <w:sz w:val="18"/>
        </w:rPr>
        <w:t>https://pubmed.ncbi.nlm.nih.gov/42808620/</w:t>
      </w:r>
    </w:p>
    <w:p>
      <w:pPr>
        <w:pStyle w:val="Heading2"/>
      </w:pPr>
      <w:r>
        <w:t>Frailty verstärkt postoperatives kognitives Delir nach Narkose</w:t>
      </w:r>
    </w:p>
    <w:p>
      <w:r>
        <w:rPr>
          <w:i/>
          <w:color w:val="666666"/>
          <w:sz w:val="18"/>
        </w:rPr>
        <w:t>Cho EH et al.  ·  Int J Med Sci  ·  03.09.2026  ·  PMID 42807735</w:t>
      </w:r>
    </w:p>
    <w:p>
      <w:r>
        <w:t>Experimentelle Studie an 18 Monate alten Ratten zum Einfluss von Frailty auf postoperatives kognitives Delir (POCD) nach allgemeiner Anästhesie.</w:t>
      </w:r>
    </w:p>
    <w:p>
      <w:r>
        <w:rPr>
          <w:b/>
        </w:rPr>
        <w:t xml:space="preserve">Ergebnis: </w:t>
      </w:r>
      <w:r>
        <w:t>20 Ratten randomisiert in Kontroll- und Frailty-Gruppe (Immobilisierung). Vor Narkose kein signifikanter Unterschied im Y-Maze-Test; zwei Tage nach Narkose signifikanter Unterschied (Kontrolle 65% ± 37% vs. Frailty 29% ± 28%, p = 0,01). Quadrizeps-Gewicht signifikant niedriger in Frailty-Gruppe (2,4 vs. 2,0 g, p = 0,0001). Frailty war mit POCD assoziiert; Frailty-Prävention könnte POCD-Risiko senken.</w:t>
      </w:r>
    </w:p>
    <w:p>
      <w:r>
        <w:rPr>
          <w:b/>
          <w:sz w:val="19"/>
        </w:rPr>
        <w:t xml:space="preserve">Übertragbarkeit: </w:t>
      </w:r>
      <w:r>
        <w:rPr>
          <w:sz w:val="19"/>
        </w:rPr>
        <w:t>Tiermodell mit Relevanz für älter werdende Perioperative; Befund zu kognitivem Risiko übertragbar</w:t>
      </w:r>
    </w:p>
    <w:p>
      <w:r>
        <w:rPr>
          <w:color w:val="5A7D3A"/>
          <w:sz w:val="18"/>
        </w:rPr>
        <w:t>https://pubmed.ncbi.nlm.nih.gov/42807735/</w:t>
      </w:r>
    </w:p>
    <w:p>
      <w:pPr>
        <w:pStyle w:val="Heading2"/>
      </w:pPr>
      <w:r>
        <w:t>Systemische Krisen in Versorgung zu Hause: Kipppunkte und progressive Instabilität</w:t>
      </w:r>
    </w:p>
    <w:p>
      <w:r>
        <w:rPr>
          <w:i/>
          <w:color w:val="666666"/>
          <w:sz w:val="18"/>
        </w:rPr>
        <w:t>Haselager DRE et al.  ·  Age Ageing  ·  04.09.2026  ·  PMID 42806138</w:t>
      </w:r>
    </w:p>
    <w:p>
      <w:r>
        <w:t>Qualitative Studie mit Interviews und Fokusgruppen zu Krisen bei zu Hause wohnenden älteren Menschen, die untersuchen, wie diese entstehen und welche systemischen Faktoren eine Rolle spielen.</w:t>
      </w:r>
    </w:p>
    <w:p>
      <w:r>
        <w:rPr>
          <w:b/>
        </w:rPr>
        <w:t xml:space="preserve">Ergebnis: </w:t>
      </w:r>
      <w:r>
        <w:t>Analyse von 45 Interviews mit älteren Menschen, Angehörigen und Fachleuten identifizierte zwei Hauptthemen: "Kipppunkte" (Momente, in denen Verbleiben zu Hause unhaltbar wird) und "progressive Instabilität in Versorgungssystemen". Krisen entstehen durch systemische Prozesse, nicht isolierte Ereignisse. Das Verständnis dieser Dynamiken ermöglicht es Fachleuten, frühe Instabilität zu erkennen und Prävention zu unterstützen.</w:t>
      </w:r>
    </w:p>
    <w:p>
      <w:r>
        <w:rPr>
          <w:b/>
          <w:sz w:val="19"/>
        </w:rPr>
        <w:t xml:space="preserve">Übertragbarkeit: </w:t>
      </w:r>
      <w:r>
        <w:rPr>
          <w:sz w:val="19"/>
        </w:rPr>
        <w:t>Niederlande, direkt auf deutsche ambulante Versorgungsrealität übertragbar</w:t>
      </w:r>
    </w:p>
    <w:p>
      <w:r>
        <w:rPr>
          <w:color w:val="5A7D3A"/>
          <w:sz w:val="18"/>
        </w:rPr>
        <w:t>https://pubmed.ncbi.nlm.nih.gov/42806138/</w:t>
      </w:r>
    </w:p>
    <w:p>
      <w:pPr>
        <w:pStyle w:val="Heading2"/>
      </w:pPr>
      <w:r>
        <w:t>Darmflora-Modulation verbessert kognitive Funktion im Alter</w:t>
      </w:r>
    </w:p>
    <w:p>
      <w:r>
        <w:rPr>
          <w:i/>
          <w:color w:val="666666"/>
          <w:sz w:val="18"/>
        </w:rPr>
        <w:t>Birns B et al.  ·  Age Ageing  ·  04.09.2026  ·  PMID 42806137</w:t>
      </w:r>
    </w:p>
    <w:p>
      <w:r>
        <w:t>Systematische Übersicht und Metaanalyse zu Prebiotika, Probiotika und Synbiotika und deren Wirkung auf Kognition bei älteren Erwachsenen ab 60 Jahren.</w:t>
      </w:r>
    </w:p>
    <w:p>
      <w:r>
        <w:rPr>
          <w:b/>
        </w:rPr>
        <w:t xml:space="preserve">Ergebnis: </w:t>
      </w:r>
      <w:r>
        <w:t>14 Studien (13 RCTs, 1 Interventionsstudie) eingeschlossen. Neun Studien berichteten statistisch signifikante Verbesserungen in mindestens einer kognitiven Domäne, besonders globale Kognition, Gedächtnis, Aufmerksamkeit und exekutive Funktionen. Metaanalyse zeigt signifikante Verbesserung globaler Kognition (MD = 1,28; 95% KI: 0,15–2,40; p &lt; 0,05). Interventionen sind meist bereits kommerziell verfügbar und risikoarm.</w:t>
      </w:r>
    </w:p>
    <w:p>
      <w:r>
        <w:rPr>
          <w:b/>
          <w:sz w:val="19"/>
        </w:rPr>
        <w:t xml:space="preserve">Übertragbarkeit: </w:t>
      </w:r>
      <w:r>
        <w:rPr>
          <w:sz w:val="19"/>
        </w:rPr>
        <w:t>Großbritannien, über diverse Länder publiziert; kognitive Tests standardisiert</w:t>
      </w:r>
    </w:p>
    <w:p>
      <w:r>
        <w:rPr>
          <w:color w:val="5A7D3A"/>
          <w:sz w:val="18"/>
        </w:rPr>
        <w:t>https://pubmed.ncbi.nlm.nih.gov/42806137/</w:t>
      </w:r>
    </w:p>
    <w:p>
      <w:pPr>
        <w:pStyle w:val="Heading2"/>
      </w:pPr>
      <w:r>
        <w:t>Vitamin-D-Supplementation reduziert nicht Frakturrisiko bei älteren Erwachsenen</w:t>
      </w:r>
    </w:p>
    <w:p>
      <w:r>
        <w:rPr>
          <w:i/>
          <w:color w:val="666666"/>
          <w:sz w:val="18"/>
        </w:rPr>
        <w:t>Rikkonen T et al.  ·  Bone  ·  07.09.2026  ·  PMID 42704968</w:t>
      </w:r>
    </w:p>
    <w:p>
      <w:r>
        <w:t>Finnische randomisierte kontrollierte Studie mit 2.495 Personen ab 60 Jahren (Männer) bzw. 65 Jahren (Frauen) über 5 Jahre zur Wirkung von Vitamin D₃ auf Frakturrisiko.</w:t>
      </w:r>
    </w:p>
    <w:p>
      <w:r>
        <w:rPr>
          <w:b/>
        </w:rPr>
        <w:t xml:space="preserve">Ergebnis: </w:t>
      </w:r>
      <w:r>
        <w:t>Während mittlerer 4,1-Jahr Supplementation: 49 Frakturen unter Placebo, 73 unter 1600 IE/Tag (HR = 1,52; 95% KI: 1,06–2,18), 52 unter 3200 IE/Tag (HR = 1,07; 95% KI: 0,72–1,58). In 7,3-Jahr Nachbeobachtung: 104 Placebo, 139 unter 1600 IE/Tag (HR = 1,40; 95% KI: 1,08–1,80), 111 unter 3200 IE/Tag (HR = 1,08; 95% KI: 0,83–1,41). Baseline 25(OH)-Vitamin D 74,8 ± 18,2 nmol/L, nach 12 Monaten 120,4 ± 21,8 nmol/L (3200 IE/Tag). Vitamin-D-Supplementation reduzierte Frakturen nicht bei largely vitamin-D-suffizienter Population.</w:t>
      </w:r>
    </w:p>
    <w:p>
      <w:r>
        <w:rPr>
          <w:b/>
          <w:sz w:val="19"/>
        </w:rPr>
        <w:t xml:space="preserve">Übertragbarkeit: </w:t>
      </w:r>
      <w:r>
        <w:rPr>
          <w:sz w:val="19"/>
        </w:rPr>
        <w:t>Finnland, skandinavischer Kontext; vergleichbare Nordische Sozialversicherung</w:t>
      </w:r>
    </w:p>
    <w:p>
      <w:r>
        <w:rPr>
          <w:color w:val="5A7D3A"/>
          <w:sz w:val="18"/>
        </w:rPr>
        <w:t>https://pubmed.ncbi.nlm.nih.gov/42704968/</w:t>
      </w:r>
    </w:p>
    <w:p>
      <w:pPr>
        <w:pStyle w:val="Heading2"/>
      </w:pPr>
      <w:r>
        <w:t>Frailty erhöht Risiko für diagnostische Diskordanz in der Notaufnahme</w:t>
      </w:r>
    </w:p>
    <w:p>
      <w:r>
        <w:rPr>
          <w:i/>
          <w:color w:val="666666"/>
          <w:sz w:val="18"/>
        </w:rPr>
        <w:t>van Knippenberg YMW et al.  ·  Int J Infect Dis  ·  23.07.2026  ·  PMID 42492833</w:t>
      </w:r>
    </w:p>
    <w:p>
      <w:r>
        <w:t>Retrospektive Analyse von Notaufnahmepatienten mit Verdacht auf Infektion, um die unabhängige Assoziation zwischen Frailty und Abweichungen zwischen Verdachtsdiagnose und adjudizierter Entlassungsdiagnose zu untersuchen.</w:t>
      </w:r>
    </w:p>
    <w:p>
      <w:r>
        <w:rPr>
          <w:b/>
        </w:rPr>
        <w:t xml:space="preserve">Ergebnis: </w:t>
      </w:r>
      <w:r>
        <w:t>Frailty war unabhängig mit diagnostischer Diskordanz assoziiert (aOR 1,622; 95% KI: 1,094–2,405; p = 0,016). Höherer altersbereinigter Charlson-Komorbiditätsindex ebenfalls signifikant (aOR 1,105; 95% KI: 1,013–1,204; p = 0,024). Erkennung von Frailty kann Patienten mit erhöhtem Diskordanzrisiko identifizieren und sorgfältige diagnostische Neubewertung unterstützen.</w:t>
      </w:r>
    </w:p>
    <w:p>
      <w:r>
        <w:rPr>
          <w:b/>
          <w:sz w:val="19"/>
        </w:rPr>
        <w:t xml:space="preserve">Übertragbarkeit: </w:t>
      </w:r>
      <w:r>
        <w:rPr>
          <w:sz w:val="19"/>
        </w:rPr>
        <w:t>Niederlande, Radboud UMC, direkt auf deutsches Versorgungssystem übertragbar</w:t>
      </w:r>
    </w:p>
    <w:p>
      <w:r>
        <w:rPr>
          <w:color w:val="5A7D3A"/>
          <w:sz w:val="18"/>
        </w:rPr>
        <w:t>https://pubmed.ncbi.nlm.nih.gov/42492833/</w:t>
      </w:r>
    </w:p>
    <w:p>
      <w:pPr>
        <w:pStyle w:val="Heading1"/>
      </w:pPr>
      <w:r>
        <w:t>Aufgenommen am 29.09.2026</w:t>
      </w:r>
    </w:p>
    <w:p>
      <w:pPr>
        <w:pStyle w:val="Heading2"/>
      </w:pPr>
      <w:r>
        <w:t>Funktionsfähigkeit und Frailty-Screening bei älteren Patienten mit Lungenkrebs: Prädiktion von Pflegeabhängigkeit</w:t>
      </w:r>
    </w:p>
    <w:p>
      <w:r>
        <w:rPr>
          <w:i/>
          <w:color w:val="666666"/>
          <w:sz w:val="18"/>
        </w:rPr>
        <w:t>Bulut H et al.  ·  Cancer Causes Control  ·  28.09.2026  ·  PMID 42802193</w:t>
      </w:r>
    </w:p>
    <w:p>
      <w:r>
        <w:t>Querschnittsstudie an 410 älteren Patienten mit Lungenkrebs (Durchschnittsalter 70,8 Jahre) zur Vorhersage von Pflegeabhängigkeit durch Alltagsfunktionsfähigkeit (ADL) und Frailty.</w:t>
      </w:r>
    </w:p>
    <w:p>
      <w:r>
        <w:rPr>
          <w:b/>
        </w:rPr>
        <w:t xml:space="preserve">Ergebnis: </w:t>
      </w:r>
      <w:r>
        <w:t>Funktionsfähigkeit und Frailty erklärten 81,5% der Varianz in Pflegeabhängigkeit (adjustiertes R² = 0,815; p &lt; 0,001). Höhere ADL-Werte waren mit höherer Pflegeabhängigkeit assoziiert (B = 2,344, β = 0,309, p &lt; 0,001), höhere Frailty-Werte mit niedrigerer Pflegeabhängigkeit (B = −2,391, β = −0,652, p &lt; 0,001). Frailty-Screening und funktionales Assessment können hochrisiko-Patienten früh identifizieren.</w:t>
      </w:r>
    </w:p>
    <w:p>
      <w:r>
        <w:rPr>
          <w:b/>
          <w:sz w:val="19"/>
        </w:rPr>
        <w:t xml:space="preserve">Übertragbarkeit: </w:t>
      </w:r>
      <w:r>
        <w:rPr>
          <w:sz w:val="19"/>
        </w:rPr>
        <w:t>Türkei, ähnliche geriatrische Versorgungsherausforderungen wie Deutschland</w:t>
      </w:r>
    </w:p>
    <w:p>
      <w:r>
        <w:rPr>
          <w:color w:val="5A7D3A"/>
          <w:sz w:val="18"/>
        </w:rPr>
        <w:t>https://pubmed.ncbi.nlm.nih.gov/42802193/</w:t>
      </w:r>
    </w:p>
    <w:p>
      <w:pPr>
        <w:pStyle w:val="Heading2"/>
      </w:pPr>
      <w:r>
        <w:t>Urinkontinenz bei älteren Frauen: Unterbehandlung sinkt bei Symptom-Fokus, nicht mit steigendem Alter</w:t>
      </w:r>
    </w:p>
    <w:p>
      <w:r>
        <w:rPr>
          <w:i/>
          <w:color w:val="666666"/>
          <w:sz w:val="18"/>
        </w:rPr>
        <w:t>Uğur DN et al.  ·  Medicina (Kaunas)  ·  16.09.2026  ·  PMID 42796384</w:t>
      </w:r>
    </w:p>
    <w:p>
      <w:r>
        <w:t>Beobachtungsstudie an 480 Frauen (≥ 65 Jahre) in drei Altersgruppen zur Behandlungslücke bei Stress- und gemischter Harninkontinenz und zur Rolle von Frailty und Symptom-Schweregrad.</w:t>
      </w:r>
    </w:p>
    <w:p>
      <w:r>
        <w:rPr>
          <w:b/>
        </w:rPr>
        <w:t xml:space="preserve">Ergebnis: </w:t>
      </w:r>
      <w:r>
        <w:t>Behandlungslücken-Prävalenz stieg von 33,8% (65–74 Jahre) auf 44,4% (75–84 Jahre) und 55,0% (≥85 Jahre). Nach Adjustierung war Alter nicht unabhängig assoziiert. Höhere ICIQ-UI-SF-Werte (adjustiertes Odds Ratio 1,10 pro Punkt; 95%CI 1,02–1,19) und Stress-Mischinkontinenz (aOR 1,53; 95%CI 1,03–2,25) blieben assoziiert. Symptom-Schweregrad erklärt Unterbehandlung besser als Chronologie.</w:t>
      </w:r>
    </w:p>
    <w:p>
      <w:r>
        <w:rPr>
          <w:b/>
          <w:sz w:val="19"/>
        </w:rPr>
        <w:t xml:space="preserve">Übertragbarkeit: </w:t>
      </w:r>
      <w:r>
        <w:rPr>
          <w:sz w:val="19"/>
        </w:rPr>
        <w:t>Türkei, gyn. Versorgungsstrukturen vergleichbar mit Mitteleuropa</w:t>
      </w:r>
    </w:p>
    <w:p>
      <w:r>
        <w:rPr>
          <w:color w:val="5A7D3A"/>
          <w:sz w:val="18"/>
        </w:rPr>
        <w:t>https://pubmed.ncbi.nlm.nih.gov/42796384/</w:t>
      </w:r>
    </w:p>
    <w:p>
      <w:pPr>
        <w:pStyle w:val="Heading2"/>
      </w:pPr>
      <w:r>
        <w:t>Skelettmuskelreaktion auf kombiniertes Training bei älteren Erwachsenen: RNA-Sequenzierung und Polyphenole</w:t>
      </w:r>
    </w:p>
    <w:p>
      <w:r>
        <w:rPr>
          <w:i/>
          <w:color w:val="666666"/>
          <w:sz w:val="18"/>
        </w:rPr>
        <w:t>Guadalupe-Grau A et al.  ·  J Cachexia Sarcopenia Muscle  ·  Okt. 2026  ·  PMID 42788414</w:t>
      </w:r>
    </w:p>
    <w:p>
      <w:r>
        <w:t>Randomisierte Doppelblindstudie mit 38 älteren Erwachsenen (55–70 Jahre) zur Wirkung von 12 Wochen kombiniertem Widerstands- und High-Intensity-Intervalltraining auf die Skelettmuskel-Transkriptomik mit oder ohne Polyphenol-Supplementation.</w:t>
      </w:r>
    </w:p>
    <w:p>
      <w:r>
        <w:rPr>
          <w:b/>
        </w:rPr>
        <w:t xml:space="preserve">Ergebnis: </w:t>
      </w:r>
      <w:r>
        <w:t>RT + HIIT induzierte überwiegend gering-ausgeprägte transkriptomische Veränderungen. Sieben von 60 FDR-signifikanten Transkripten überschritten die Effektgrößen-Schwelle (|log2FC| &gt; 1), einschließlich Hochregulation von CLLU1 (log2FC = 3,10; FDR = 0,0155) und PRND (log2FC = 2,60; FDR = 0,02). Polyphenol-Supplementation beeinlusste die transkriptomische Reaktion nicht bedeutsam. Robuste Pathway-Adaptationen waren nicht erkennbar.</w:t>
      </w:r>
    </w:p>
    <w:p>
      <w:r>
        <w:rPr>
          <w:b/>
          <w:sz w:val="19"/>
        </w:rPr>
        <w:t xml:space="preserve">Übertragbarkeit: </w:t>
      </w:r>
      <w:r>
        <w:rPr>
          <w:sz w:val="19"/>
        </w:rPr>
        <w:t>Europäische Kohorten, methodisch vergleichbar mit deutschen Fitness-Studien</w:t>
      </w:r>
    </w:p>
    <w:p>
      <w:r>
        <w:rPr>
          <w:color w:val="5A7D3A"/>
          <w:sz w:val="18"/>
        </w:rPr>
        <w:t>https://pubmed.ncbi.nlm.nih.gov/42788414/</w:t>
      </w:r>
    </w:p>
    <w:p>
      <w:pPr>
        <w:pStyle w:val="Heading2"/>
      </w:pPr>
      <w:r>
        <w:t>Altersgerechte smartphone-gestützte kognitive Fernbeurteilung: generationsspezifische Unterschiede in Adhärenz und Zuverlässigkeit</w:t>
      </w:r>
    </w:p>
    <w:p>
      <w:r>
        <w:rPr>
          <w:i/>
          <w:color w:val="666666"/>
          <w:sz w:val="18"/>
        </w:rPr>
        <w:t>Katteri S et al.  ·  Alzheimers Dement  ·  Sept. 2026  ·  PMID 42781715</w:t>
      </w:r>
    </w:p>
    <w:p>
      <w:r>
        <w:t>Vergleichende Studie bei 444 älteren Erwachsenen und 113 jüngeren/mittelalten Probanden zur Machbarkeit smartphone-basierter kognitiver Tests bis zu viermal täglich über 7 Tage und zum Vergleich mit standardisierter Klinik-Batterie.</w:t>
      </w:r>
    </w:p>
    <w:p>
      <w:r>
        <w:rPr>
          <w:b/>
        </w:rPr>
        <w:t xml:space="preserve">Ergebnis: </w:t>
      </w:r>
      <w:r>
        <w:t>Ältere Erwachsene zeigten höhere Adhärenz als jüngere (78 % vs. 59 %). Jüngere erreichten höhere Zuverlässigkeit mit weniger Sitzungen und zeigten viel kleinere Lerneffekte. Smartphone-zu-Klinik-Korrelationen waren in beiden Altersgruppen stark. Generationelle Unterschiede beeinflussen Design und Umsetzung smartphone-gestützter Studien wesentlich.</w:t>
      </w:r>
    </w:p>
    <w:p>
      <w:r>
        <w:rPr>
          <w:b/>
          <w:sz w:val="19"/>
        </w:rPr>
        <w:t xml:space="preserve">Übertragbarkeit: </w:t>
      </w:r>
      <w:r>
        <w:rPr>
          <w:sz w:val="19"/>
        </w:rPr>
        <w:t>USA, aber Methodologie zur Remote-Kognition altersunabhängig übertragbar</w:t>
      </w:r>
    </w:p>
    <w:p>
      <w:r>
        <w:rPr>
          <w:color w:val="5A7D3A"/>
          <w:sz w:val="18"/>
        </w:rPr>
        <w:t>https://pubmed.ncbi.nlm.nih.gov/42781715/</w:t>
      </w:r>
    </w:p>
    <w:p>
      <w:pPr>
        <w:pStyle w:val="Heading2"/>
      </w:pPr>
      <w:r>
        <w:t>Proteinbasierte Inflammaging-Signaturen zur Mortalitätsvorhersage: C-Index 0,758 für alle Ursachen</w:t>
      </w:r>
    </w:p>
    <w:p>
      <w:r>
        <w:rPr>
          <w:i/>
          <w:color w:val="666666"/>
          <w:sz w:val="18"/>
        </w:rPr>
        <w:t>Jiang Z et al.  ·  Exp Gerontol  ·  15.10.2026  ·  PMID 42731645</w:t>
      </w:r>
    </w:p>
    <w:p>
      <w:r>
        <w:t>Große UK-Biobank-Studie (n = 40.471) zur Entwicklung eines proteingestützten Inflammaging-Scores aus 1.112 Proteinen, assoziiert mit Mortalität und Multimorbidität.</w:t>
      </w:r>
    </w:p>
    <w:p>
      <w:r>
        <w:rPr>
          <w:b/>
        </w:rPr>
        <w:t xml:space="preserve">Ergebnis: </w:t>
      </w:r>
      <w:r>
        <w:t>Proteinbasierter Inflammaging-Score war positiv mit allen-Ursachen-Sterblichkeit assoziiert (HR = 1,88; 95%CI: 1,79–1,98). Vereinfachte Version (93 Proteine) erreichte gleichwertig HR = 1,88 (95%CI: 1,79–1,97). C-Index für Sterblichkeit mit klinischen Indizes plus vereinfachtem Score: 0,758 (95%CI: 0,752–0,765). ProteinBasierter Score outperformte konventionelle Inflammations- und Alternsbiomarker signifikant.</w:t>
      </w:r>
    </w:p>
    <w:p>
      <w:r>
        <w:rPr>
          <w:b/>
          <w:sz w:val="19"/>
        </w:rPr>
        <w:t xml:space="preserve">Übertragbarkeit: </w:t>
      </w:r>
      <w:r>
        <w:rPr>
          <w:sz w:val="19"/>
        </w:rPr>
        <w:t>UK Biobank, aber Proteinmarker-Verband mit Mortalität biologisch universell</w:t>
      </w:r>
    </w:p>
    <w:p>
      <w:r>
        <w:rPr>
          <w:color w:val="5A7D3A"/>
          <w:sz w:val="18"/>
        </w:rPr>
        <w:t>https://pubmed.ncbi.nlm.nih.gov/42731645/</w:t>
      </w:r>
    </w:p>
    <w:p>
      <w:pPr>
        <w:pStyle w:val="Heading2"/>
      </w:pPr>
      <w:r>
        <w:t>Kognitive Effizienz und Lebenszufriedenheit bei älteren Sarden: digitales Screening und Freizeit-Aktivitäten</w:t>
      </w:r>
    </w:p>
    <w:p>
      <w:r>
        <w:rPr>
          <w:i/>
          <w:color w:val="666666"/>
          <w:sz w:val="18"/>
        </w:rPr>
        <w:t>Fastame MC et al.  ·  Exp Gerontol  ·  15.10.2026  ·  PMID 42685868</w:t>
      </w:r>
    </w:p>
    <w:p>
      <w:r>
        <w:t>Querschnittsstudie an 127 älteren Erwachsenen (Durchschnittsalter 73,1 Jahre) auf Sardinien zu Korrelaten der Lebenszufriedenheit mittels digital-gestützter kognitiver Screening (DIGICOG-MS).</w:t>
      </w:r>
    </w:p>
    <w:p>
      <w:r>
        <w:rPr>
          <w:b/>
        </w:rPr>
        <w:t xml:space="preserve">Ergebnis: </w:t>
      </w:r>
      <w:r>
        <w:t>Nach Kontrolle für Alter, Bildung und globale kognitive Effizienz waren wahrgenommene Gesundheit, Freizeitzeit, verbale semantische Flüssigkeit, auditives verbales Lernen und unmittelbare Erinnerung signifikant mit Lebenszufriedenheit assoziiert (adjustiertes R² = 0,198, F(8,117) = 4,860, p &lt; 0,001). DIGICOG-MS-Benutzerfreundlichkeit war höher bei niedrigerer Bildung; Tool erwies sich als intuitiv und abbaut Bildungsgrenzen ab.</w:t>
      </w:r>
    </w:p>
    <w:p>
      <w:r>
        <w:rPr>
          <w:b/>
          <w:sz w:val="19"/>
        </w:rPr>
        <w:t xml:space="preserve">Übertragbarkeit: </w:t>
      </w:r>
      <w:r>
        <w:rPr>
          <w:sz w:val="19"/>
        </w:rPr>
        <w:t>Italien, Mittelmeerraum – ähnliche Bevölkerungsstruktur wie südliches Europa</w:t>
      </w:r>
    </w:p>
    <w:p>
      <w:r>
        <w:rPr>
          <w:color w:val="5A7D3A"/>
          <w:sz w:val="18"/>
        </w:rPr>
        <w:t>https://pubmed.ncbi.nlm.nih.gov/42685868/</w:t>
      </w:r>
    </w:p>
    <w:p>
      <w:pPr>
        <w:pStyle w:val="Heading1"/>
      </w:pPr>
      <w:r>
        <w:t>Aufgenommen am 28.09.2026</w:t>
      </w:r>
    </w:p>
    <w:p>
      <w:pPr>
        <w:pStyle w:val="Heading2"/>
      </w:pPr>
      <w:r>
        <w:t>Alzheimer-Therapien im geriatrischen Alter: Implementierungsherausforderungen und Chancen</w:t>
      </w:r>
    </w:p>
    <w:p>
      <w:r>
        <w:rPr>
          <w:i/>
          <w:color w:val="666666"/>
          <w:sz w:val="18"/>
        </w:rPr>
        <w:t>Zrineh A et al.  ·  Clin Interv Aging  ·  22.09.2026  ·  PMID 42801246</w:t>
      </w:r>
    </w:p>
    <w:p>
      <w:r>
        <w:t>Narratives Review der Alzheimer-Pathophysiologie, diagnostischer Biomarker und Therapien (Cholinesterase-Inhibitoren, Lecanemab, Donanemab) mit Fokus auf geriatrische Versorgung und Integration in Kliniken.</w:t>
      </w:r>
    </w:p>
    <w:p>
      <w:r>
        <w:rPr>
          <w:b/>
        </w:rPr>
        <w:t xml:space="preserve">Ergebnis: </w:t>
      </w:r>
      <w:r>
        <w:t>Neue monoklonale Anti-Amyloid-Antikörper zeigen klinisch signifikante, aber moderate Verzögerung des Rückgangs. Risiken: Amyloid-related imaging abnormalities, hohe Kosten, ungelöste Fragen zur langfristigen Aussagekraft. Integrierung in geriatrische Praxis erfordert Biomarker-gesteuertes Screening, Sicherheitsüberwachung, Polypharmazie-Management.</w:t>
      </w:r>
    </w:p>
    <w:p>
      <w:r>
        <w:rPr>
          <w:b/>
          <w:sz w:val="19"/>
        </w:rPr>
        <w:t xml:space="preserve">Übertragbarkeit: </w:t>
      </w:r>
      <w:r>
        <w:rPr>
          <w:sz w:val="19"/>
        </w:rPr>
        <w:t>USA und international; praktische Empfehlungen für Versorgung gelten über Länder hinweg, aber Zugänglichkeit und Finanzierung unterscheiden sich</w:t>
      </w:r>
    </w:p>
    <w:p>
      <w:r>
        <w:rPr>
          <w:color w:val="5A7D3A"/>
          <w:sz w:val="18"/>
        </w:rPr>
        <w:t>https://pubmed.ncbi.nlm.nih.gov/42801246/</w:t>
      </w:r>
    </w:p>
    <w:p>
      <w:pPr>
        <w:pStyle w:val="Heading2"/>
      </w:pPr>
      <w:r>
        <w:t>Mittelmeerdiät bei älteren Menschen mit HIV: Körperzusammensetzung und klinisches Profil</w:t>
      </w:r>
    </w:p>
    <w:p>
      <w:r>
        <w:rPr>
          <w:i/>
          <w:color w:val="666666"/>
          <w:sz w:val="18"/>
        </w:rPr>
        <w:t>Mazzitelli M et al.  ·  Viruses  ·  25.08.2026  ·  PMID 42797764</w:t>
      </w:r>
    </w:p>
    <w:p>
      <w:r>
        <w:t>Querschnittsstudie an 130 italienischen erwachsenen Menschen mit HIV im Median 57 Jahren: Mediterrane Diät-Adhärenz anhand MedDiet Score gemessen, Körperzusammensetzung mittels DXA analysiert.</w:t>
      </w:r>
    </w:p>
    <w:p>
      <w:r>
        <w:rPr>
          <w:b/>
        </w:rPr>
        <w:t xml:space="preserve">Ergebnis: </w:t>
      </w:r>
      <w:r>
        <w:t>80,8% zeigten hohe Adhärenz. Hohe Adhärenz assoziiert mit niedrigerem BMI (β −5,3, 95%-KI −7,3 bis −3,4, p&lt;0,001), niedrigerer totaler und Rumpf-Fettmasse und höherer Knochenmineraldichte der LWS. Günstigeres klinisches Profil mit höherer CD4-Zahl.</w:t>
      </w:r>
    </w:p>
    <w:p>
      <w:r>
        <w:rPr>
          <w:b/>
          <w:sz w:val="19"/>
        </w:rPr>
        <w:t xml:space="preserve">Übertragbarkeit: </w:t>
      </w:r>
      <w:r>
        <w:rPr>
          <w:sz w:val="19"/>
        </w:rPr>
        <w:t>Italien, spezialisierte HIV-Kliniken; Übertragbarkeit auf deutsche Versorgung begrenzt durch HIV-Fokus</w:t>
      </w:r>
    </w:p>
    <w:p>
      <w:r>
        <w:rPr>
          <w:color w:val="5A7D3A"/>
          <w:sz w:val="18"/>
        </w:rPr>
        <w:t>https://pubmed.ncbi.nlm.nih.gov/42797764/</w:t>
      </w:r>
    </w:p>
    <w:p>
      <w:pPr>
        <w:pStyle w:val="Heading2"/>
      </w:pPr>
      <w:r>
        <w:t>Ernährung im höchsten Alter: Milchprodukte und Hühnchen assoziiert mit längerer Überlebensdauer</w:t>
      </w:r>
    </w:p>
    <w:p>
      <w:r>
        <w:rPr>
          <w:i/>
          <w:color w:val="666666"/>
          <w:sz w:val="18"/>
        </w:rPr>
        <w:t>Errigo A et al.  ·  Nutrients  ·  20.09.2026  ·  PMID 42797055</w:t>
      </w:r>
    </w:p>
    <w:p>
      <w:r>
        <w:t>Prospektive Kohorte von 200 sardischen Bewohnern über 90 Jahren: Ernährungsmuster wurden erhoben, Überleben über bis zu 7 Jahre verfolgt.</w:t>
      </w:r>
    </w:p>
    <w:p>
      <w:r>
        <w:rPr>
          <w:b/>
        </w:rPr>
        <w:t xml:space="preserve">Ergebnis: </w:t>
      </w:r>
      <w:r>
        <w:t>Höherer Konsum von Milch, Käse und Hühnchen war mit niedrigerer Sterblichkeit assoziiert (HR 0,839 pro SD-Anstieg des Dairy-Traditional-Fat-Musters, 95%-KI 0,727–0,969, p=0,017); Wein-Konsum positiv mit Mortalität assoziiert. Assoziationen bei Einzellebensmitteln blieben nach Korrektion für multiples Testen signifikant.</w:t>
      </w:r>
    </w:p>
    <w:p>
      <w:r>
        <w:rPr>
          <w:b/>
          <w:sz w:val="19"/>
        </w:rPr>
        <w:t xml:space="preserve">Übertragbarkeit: </w:t>
      </w:r>
      <w:r>
        <w:rPr>
          <w:sz w:val="19"/>
        </w:rPr>
        <w:t>Italien, Blue Zone; begrenzte direkte Übertragbarkeit auf Deutsche, aber Ernährungsmuster in extremem Alter untersucht</w:t>
      </w:r>
    </w:p>
    <w:p>
      <w:r>
        <w:rPr>
          <w:color w:val="5A7D3A"/>
          <w:sz w:val="18"/>
        </w:rPr>
        <w:t>https://pubmed.ncbi.nlm.nih.gov/42797055/</w:t>
      </w:r>
    </w:p>
    <w:p>
      <w:pPr>
        <w:pStyle w:val="Heading2"/>
      </w:pPr>
      <w:r>
        <w:t>Ernährungsqualität und Blutmarker des Alterns: Proteomarker-Studie an älteren Schweden</w:t>
      </w:r>
    </w:p>
    <w:p>
      <w:r>
        <w:rPr>
          <w:i/>
          <w:color w:val="666666"/>
          <w:sz w:val="18"/>
        </w:rPr>
        <w:t>DaCosta RA et al.  ·  BMC Med  ·  15.09.2026  ·  PMID 42791570</w:t>
      </w:r>
    </w:p>
    <w:p>
      <w:r>
        <w:t>Bevölkerungsbasierte Querschnittsanalyse von 1.769 schwedischen Personen ≥60 Jahren: Ernährungsqualität mittels AMED, AHEI und rEDII gemessen, 54 Blutbiomarker analysiert.</w:t>
      </w:r>
    </w:p>
    <w:p>
      <w:r>
        <w:rPr>
          <w:b/>
        </w:rPr>
        <w:t xml:space="preserve">Ergebnis: </w:t>
      </w:r>
      <w:r>
        <w:t>Höhere AMED-Adhärenz assoziiert mit höheren Folsäure-Spiegeln (β 0,066, 95%-KI 0,033–0,099) und niedrigerem GFAP (β −0,018, 95%-KI −0,030 bis −0,006, p=0,003). Höhere rEDII-Adhärenz mit niedrigerem Leptin, Insulin, GDF15, alkalischer Phosphatase und TNF-Rezeptor. Biomarker in metabolischen und inflammatorischen Domänen betroffen.</w:t>
      </w:r>
    </w:p>
    <w:p>
      <w:r>
        <w:rPr>
          <w:b/>
          <w:sz w:val="19"/>
        </w:rPr>
        <w:t xml:space="preserve">Übertragbarkeit: </w:t>
      </w:r>
      <w:r>
        <w:rPr>
          <w:sz w:val="19"/>
        </w:rPr>
        <w:t>Skandinavien, nationale Längsschnittstudie; vergleichbare Gesundheitssysteme, gute Datenqualität</w:t>
      </w:r>
    </w:p>
    <w:p>
      <w:r>
        <w:rPr>
          <w:color w:val="5A7D3A"/>
          <w:sz w:val="18"/>
        </w:rPr>
        <w:t>https://pubmed.ncbi.nlm.nih.gov/42791570/</w:t>
      </w:r>
    </w:p>
    <w:p>
      <w:pPr>
        <w:pStyle w:val="Heading2"/>
      </w:pPr>
      <w:r>
        <w:t>Wearable-Autonomie-Komponente und kardiometabolische Gesundheit im Alter</w:t>
      </w:r>
    </w:p>
    <w:p>
      <w:r>
        <w:rPr>
          <w:i/>
          <w:color w:val="666666"/>
          <w:sz w:val="18"/>
        </w:rPr>
        <w:t>Calvani R et al.  ·  Med Sci (Basel)  ·  02.09.2026  ·  PMID 42783415</w:t>
      </w:r>
    </w:p>
    <w:p>
      <w:r>
        <w:t>Querschnitt von 97 italienischen Erwachsenen (Durchschnittsalter 51,3 Jahre): 24-h Wearable-Geräte-Messung, Hauptkomponentenanalyse der ECG- und Bewegungsvariablen, Assoziation mit 8-Domänen-Gesundheits-Screening.</w:t>
      </w:r>
    </w:p>
    <w:p>
      <w:r>
        <w:rPr>
          <w:b/>
        </w:rPr>
        <w:t xml:space="preserve">Ergebnis: </w:t>
      </w:r>
      <w:r>
        <w:t>Prinzipalkomponente PC1 (gekennzeichnet durch hohes SDNN, hohes RMSSD, niedrige nächtliche Herzfrequenz) unabhängig assoziiert mit Gesamt-Gesundheit (B=+0,402, 95%-KI [+0,103, +0,700], p=0,009). Nach Benjamini-Hochberg-Korrektur in Einzeldomänen nur Glukose-Gesundheit signifikant (95%-KI [1,32, 4,62], p=0,039).</w:t>
      </w:r>
    </w:p>
    <w:p>
      <w:r>
        <w:rPr>
          <w:b/>
          <w:sz w:val="19"/>
        </w:rPr>
        <w:t xml:space="preserve">Übertragbarkeit: </w:t>
      </w:r>
      <w:r>
        <w:rPr>
          <w:sz w:val="19"/>
        </w:rPr>
        <w:t>Italien, Community-Setting; Wearable-Technologie relevant für deutsche Präventivmedizin, aber Stichprobe klein</w:t>
      </w:r>
    </w:p>
    <w:p>
      <w:r>
        <w:rPr>
          <w:color w:val="5A7D3A"/>
          <w:sz w:val="18"/>
        </w:rPr>
        <w:t>https://pubmed.ncbi.nlm.nih.gov/42783415/</w:t>
      </w:r>
    </w:p>
    <w:p>
      <w:pPr>
        <w:pStyle w:val="Heading2"/>
      </w:pPr>
      <w:r>
        <w:t>Gewichteter Alterungspace als Prädiktor: sterblichkeitsinformiertes Biomarker-Modell</w:t>
      </w:r>
    </w:p>
    <w:p>
      <w:r>
        <w:rPr>
          <w:i/>
          <w:color w:val="666666"/>
          <w:sz w:val="18"/>
        </w:rPr>
        <w:t>Sluiskes MH et al.  ·  J Gerontol A Biol Sci Med Sci  ·  05.09.2026  ·  PMID 42625435</w:t>
      </w:r>
    </w:p>
    <w:p>
      <w:r>
        <w:t>Längsschnittstudie schwedischer älterer Paare (SATSA): Gewichteter Pace of Aging (wPoA) aus 10 Biomarkern berechnet, anhand Sterblichkeit gewichtet, gegen etablierte Alterungs-Prädiktoren validiert.</w:t>
      </w:r>
    </w:p>
    <w:p>
      <w:r>
        <w:rPr>
          <w:b/>
        </w:rPr>
        <w:t xml:space="preserve">Ergebnis: </w:t>
      </w:r>
      <w:r>
        <w:t>wPoA korreliert mit biologischen Alterungs-Prädiktoren und stärker mit Functional Aging Index (FAA) und Frailty Index (FI). Moderate Korrelationen über alle Prädiktoren deuten darauf hin, dass jedes Maß unterschiedliche Aspekte des biologischen Alterns erfasst; wPoA eignet sich für Kohorten mit reichen Längsdaten.</w:t>
      </w:r>
    </w:p>
    <w:p>
      <w:r>
        <w:rPr>
          <w:b/>
          <w:sz w:val="19"/>
        </w:rPr>
        <w:t xml:space="preserve">Übertragbarkeit: </w:t>
      </w:r>
      <w:r>
        <w:rPr>
          <w:sz w:val="19"/>
        </w:rPr>
        <w:t>Schweden, nationale Adoptions-/Zwillingsstudie; europäisches Gesundheitssystem, methodisch robust</w:t>
      </w:r>
    </w:p>
    <w:p>
      <w:r>
        <w:rPr>
          <w:color w:val="5A7D3A"/>
          <w:sz w:val="18"/>
        </w:rPr>
        <w:t>https://pubmed.ncbi.nlm.nih.gov/42625435/</w:t>
      </w:r>
    </w:p>
    <w:p>
      <w:pPr>
        <w:pStyle w:val="Heading1"/>
      </w:pPr>
      <w:r>
        <w:t>Aufgenommen am 27.09.2026</w:t>
      </w:r>
    </w:p>
    <w:p>
      <w:pPr>
        <w:pStyle w:val="Heading2"/>
      </w:pPr>
      <w:r>
        <w:t>Vorhersagemodell für postoperative Frailty bei Brustkrebspatienten</w:t>
      </w:r>
    </w:p>
    <w:p>
      <w:r>
        <w:rPr>
          <w:i/>
          <w:color w:val="666666"/>
          <w:sz w:val="18"/>
        </w:rPr>
        <w:t>Zhou Y et al.  ·  PeerJ  ·  22.09.2026  ·  PMID 42799450</w:t>
      </w:r>
    </w:p>
    <w:p>
      <w:r>
        <w:t>Querschnittsstudie mit 286 Brustkrebspatienten nach Operation; Frailty erfasst mit Tilburg Frailty Indicator (TFI), Schlafqualität mit Pittsburgh Sleep Quality Index (PSQI); logistische Regressionsmodellierung mit ROC-Kurven-Validierung.</w:t>
      </w:r>
    </w:p>
    <w:p>
      <w:r>
        <w:rPr>
          <w:b/>
        </w:rPr>
        <w:t xml:space="preserve">Ergebnis: </w:t>
      </w:r>
      <w:r>
        <w:t>Postoperative Frailty-Prävalenz: 29,37 %. Signifikante Einflussfaktoren waren Diabetes-Vorgeschichte, schlechte Schlafqualität, Cholesterin und BMI, Kinder als Hauptpflegeperson und Krankenversicherungstyp. Das Modell erzielte eine AUC von 0,813 nach interner 10-fach-Kreuzvalidierung. Hosmer-Lemeshow χ² = 4,436, p = 0,816.</w:t>
      </w:r>
    </w:p>
    <w:p>
      <w:r>
        <w:rPr>
          <w:b/>
          <w:sz w:val="19"/>
        </w:rPr>
        <w:t xml:space="preserve">Übertragbarkeit: </w:t>
      </w:r>
      <w:r>
        <w:rPr>
          <w:sz w:val="19"/>
        </w:rPr>
        <w:t>China, anderes Gesundheitssystem; nur Frailty-Identifikation ist übertragbar.</w:t>
      </w:r>
    </w:p>
    <w:p>
      <w:r>
        <w:rPr>
          <w:color w:val="5A7D3A"/>
          <w:sz w:val="18"/>
        </w:rPr>
        <w:t>https://pubmed.ncbi.nlm.nih.gov/42799450/</w:t>
      </w:r>
    </w:p>
    <w:p>
      <w:pPr>
        <w:pStyle w:val="Heading2"/>
      </w:pPr>
      <w:r>
        <w:t>Ernährungsadäquanz in der Gemeinschaft: Ältere vs. jüngere Deutsche im BASE-II-Vergleich</w:t>
      </w:r>
    </w:p>
    <w:p>
      <w:r>
        <w:rPr>
          <w:i/>
          <w:color w:val="666666"/>
          <w:sz w:val="18"/>
        </w:rPr>
        <w:t>Heimberg K et al.  ·  Nutrients  ·  20.09.2026  ·  PMID 42797060</w:t>
      </w:r>
    </w:p>
    <w:p>
      <w:r>
        <w:t>Querschnittsstudie zur Nährstoffaufnahme bei 1.671 Personen im Alter von 60–84 Jahren aus der Berliner Altersstudie II (BASE-II), verglichen mit 500 jüngeren Erwachsenen (22–36 Jahre).</w:t>
      </w:r>
    </w:p>
    <w:p>
      <w:r>
        <w:rPr>
          <w:b/>
        </w:rPr>
        <w:t xml:space="preserve">Ergebnis: </w:t>
      </w:r>
      <w:r>
        <w:t>Ältere Erwachsene hatten kein generell schlechteres Nährstoffprofil als Jüngere. Jedoch lag das Osteoporoserisiko durch Calciummangel bei älteren Personen höher (34 % vs. 26 %). Vitamin-D-Mangel betraf über 15 % in beiden Altersgruppen. Supplementnutzung war bei Älteren häufiger (47,3 % vs. 43,0 %), unterschied sich aber nicht signifikant.</w:t>
      </w:r>
    </w:p>
    <w:p>
      <w:r>
        <w:rPr>
          <w:b/>
          <w:sz w:val="19"/>
        </w:rPr>
        <w:t xml:space="preserve">Übertragbarkeit: </w:t>
      </w:r>
      <w:r>
        <w:rPr>
          <w:sz w:val="19"/>
        </w:rPr>
        <w:t>Deutsche Kohortendaten (BASE-II), vergleichbare Bevölkerungsstruktur und Ernährungsrichtlinien.</w:t>
      </w:r>
    </w:p>
    <w:p>
      <w:r>
        <w:rPr>
          <w:color w:val="5A7D3A"/>
          <w:sz w:val="18"/>
        </w:rPr>
        <w:t>https://pubmed.ncbi.nlm.nih.gov/42797060/</w:t>
      </w:r>
    </w:p>
    <w:p>
      <w:pPr>
        <w:pStyle w:val="Heading2"/>
      </w:pPr>
      <w:r>
        <w:t>Ganggeschwindigkeit als Prognostischer Marker für Überleben bei älteren Krebspatienten</w:t>
      </w:r>
    </w:p>
    <w:p>
      <w:r>
        <w:rPr>
          <w:i/>
          <w:color w:val="666666"/>
          <w:sz w:val="18"/>
        </w:rPr>
        <w:t>Ünlü B et al.  ·  Medicina (Kaunas)  ·  21.09.2026  ·  PMID 42796422</w:t>
      </w:r>
    </w:p>
    <w:p>
      <w:r>
        <w:t>Prospektive Studie bei 102 chemotherapie-naiven Patienten ≥65 Jahre mit Gangtests vor Behandlung und Nachverfolgung von Überleben, Therapieansprechen und Toxizität.</w:t>
      </w:r>
    </w:p>
    <w:p>
      <w:r>
        <w:rPr>
          <w:b/>
        </w:rPr>
        <w:t xml:space="preserve">Ergebnis: </w:t>
      </w:r>
      <w:r>
        <w:t>Mittlere Ganggeschwindigkeit 0,481 ± 0,176 m/s. Bei metastasierten Patienten war höhere Ganggeschwindigkeit mit niedrigerer Mortalität assoziiert (univariat HR = 0,752, 95%-KI 0,605–0,934, p = 0,010; adjustiert HR = 0,647, 95%-KI 0,490–0,853, p = 0,002). Keine signifikanten Assoziationen mit progressionsfreiem Überleben oder Grad-≥3-Toxizität.</w:t>
      </w:r>
    </w:p>
    <w:p>
      <w:r>
        <w:rPr>
          <w:b/>
          <w:sz w:val="19"/>
        </w:rPr>
        <w:t xml:space="preserve">Übertragbarkeit: </w:t>
      </w:r>
      <w:r>
        <w:rPr>
          <w:sz w:val="19"/>
        </w:rPr>
        <w:t>Türkei; funktionelle Messung übertragbar, aber Kohorte klein und explorativ.</w:t>
      </w:r>
    </w:p>
    <w:p>
      <w:r>
        <w:rPr>
          <w:color w:val="5A7D3A"/>
          <w:sz w:val="18"/>
        </w:rPr>
        <w:t>https://pubmed.ncbi.nlm.nih.gov/42796422/</w:t>
      </w:r>
    </w:p>
    <w:p>
      <w:pPr>
        <w:pStyle w:val="Heading2"/>
      </w:pPr>
      <w:r>
        <w:t>Frailty-assoziierte Lungenfunktionstrajektor nach Lungentransplantation</w:t>
      </w:r>
    </w:p>
    <w:p>
      <w:r>
        <w:rPr>
          <w:i/>
          <w:color w:val="666666"/>
          <w:sz w:val="18"/>
        </w:rPr>
        <w:t>Ceolin C et al.  ·  Respir Res  ·  25.09.2026  ·  PMID 42791578</w:t>
      </w:r>
    </w:p>
    <w:p>
      <w:r>
        <w:t>Prospektive Longitudinalstudie über zwei Jahre bei 155 Lungentransplantationsempfänger (Durchschnittsalter 48,7 Jahre); Fried-Phänotyp zur Frailty-Erfassung und spirometrische Parameter als Lungenfunktionsergebnis.</w:t>
      </w:r>
    </w:p>
    <w:p>
      <w:r>
        <w:rPr>
          <w:b/>
        </w:rPr>
        <w:t xml:space="preserve">Ergebnis: </w:t>
      </w:r>
      <w:r>
        <w:t>43,7 % waren robust, 40,4 % pre-frail, 15,9 % frail. Höhere Frailty-Last war mit niedrigeren Baseline-FVC-Werten assoziiert. Signifikante Frailty-by-time-Wechselwirkungen zeigten steilere longitudinale Verbesserungen bei Vital Capacity (VC, β = 2,03, p = 0,010) und FVC (β = 2,20, p = 0,003) bei Personen mit höherer Baseline-Frailty.</w:t>
      </w:r>
    </w:p>
    <w:p>
      <w:r>
        <w:rPr>
          <w:b/>
          <w:sz w:val="19"/>
        </w:rPr>
        <w:t xml:space="preserve">Übertragbarkeit: </w:t>
      </w:r>
      <w:r>
        <w:rPr>
          <w:sz w:val="19"/>
        </w:rPr>
        <w:t>Italien (Padua), europäisches Versorgungssystem, ähnliche Transplantationsprotokolle.</w:t>
      </w:r>
    </w:p>
    <w:p>
      <w:r>
        <w:rPr>
          <w:color w:val="5A7D3A"/>
          <w:sz w:val="18"/>
        </w:rPr>
        <w:t>https://pubmed.ncbi.nlm.nih.gov/42791578/</w:t>
      </w:r>
    </w:p>
    <w:p>
      <w:pPr>
        <w:pStyle w:val="Heading2"/>
      </w:pPr>
      <w:r>
        <w:t>Heidelbeeren, Protein und Bewegung gegen Frailty: STRONG-Studie Studienprotokoll</w:t>
      </w:r>
    </w:p>
    <w:p>
      <w:r>
        <w:rPr>
          <w:i/>
          <w:color w:val="666666"/>
          <w:sz w:val="18"/>
        </w:rPr>
        <w:t>Cahill LE et al.  ·  BMJ Open  ·  25.09.2026  ·  PMID 42790922</w:t>
      </w:r>
    </w:p>
    <w:p>
      <w:r>
        <w:t>Pragmatische RCT über 12 Monate mit 240 Personen ≥65 Jahren (120w/120m) in Nova Scotia; Intervention: 1 Cup Heidelbeeren/Tag, 30 g Proteinpulver/Tag und drei 60-Minuten-Multimodal-Trainingseinheiten/Woche; Kontrolle: Standardversorgung.</w:t>
      </w:r>
    </w:p>
    <w:p>
      <w:r>
        <w:rPr>
          <w:b/>
        </w:rPr>
        <w:t xml:space="preserve">Ergebnis: </w:t>
      </w:r>
      <w:r>
        <w:t>Studie noch laufend (Protokoll publiziert). Geplante Outcomes: Frailty-Scores, Balance, Sturzhäufigkeit, Lebensraum, kardiovaskuläre Risikofaktoren, 6-Minuten-Gehtest, Entzündungsmarker, Lebensqualität mit Messungen bei Baseline, 3, 6, 9, 12 und 24 Monaten.</w:t>
      </w:r>
    </w:p>
    <w:p>
      <w:r>
        <w:rPr>
          <w:b/>
          <w:sz w:val="19"/>
        </w:rPr>
        <w:t xml:space="preserve">Übertragbarkeit: </w:t>
      </w:r>
      <w:r>
        <w:rPr>
          <w:sz w:val="19"/>
        </w:rPr>
        <w:t>Kanada (Nova Scotia), ähnliche Versorgungssysteme und Lebenserwartung wie deutschsprachiger Raum.</w:t>
      </w:r>
    </w:p>
    <w:p>
      <w:r>
        <w:rPr>
          <w:color w:val="5A7D3A"/>
          <w:sz w:val="18"/>
        </w:rPr>
        <w:t>https://pubmed.ncbi.nlm.nih.gov/42790922/</w:t>
      </w:r>
    </w:p>
    <w:p>
      <w:pPr>
        <w:pStyle w:val="Heading2"/>
      </w:pPr>
      <w:r>
        <w:t>Schlafstörungen und Depression als gemeinsames Risiko für Arthrose bei Älteren</w:t>
      </w:r>
    </w:p>
    <w:p>
      <w:r>
        <w:rPr>
          <w:i/>
          <w:color w:val="666666"/>
          <w:sz w:val="18"/>
        </w:rPr>
        <w:t>Deng S et al.  ·  Brain Behav  ·  Sept. 2026  ·  PMID 42779173</w:t>
      </w:r>
    </w:p>
    <w:p>
      <w:r>
        <w:t>Prospektive Kohortenstudie mit 3.604 Personen ab 50 Jahren aus der English Longitudinal Study of Ageing; Erfassung von Schlafstörung und depressiver Symptomatik über acht Jahre mittels gruppengestützter Multi-Trajektorien-Analyse.</w:t>
      </w:r>
    </w:p>
    <w:p>
      <w:r>
        <w:rPr>
          <w:b/>
        </w:rPr>
        <w:t xml:space="preserve">Ergebnis: </w:t>
      </w:r>
      <w:r>
        <w:t>Vier Trajektoriengruppen wurden identifiziert. Im Vergleich zu persistierend gutem Schlaf und keinen depressiven Symptomen zeigten Personen mit persistierend schlechtem Schlaf und hoher depressiver Symptomatik ein OR von 2,85 (95%-KI 1,90–4,28) für Arthrose-Neuauftreten; diejenigen mit schlechtem Schlaf und moderater Depression: OR 2,14 (95%-KI 1,52–3,02); moderate Schlafstörung mit niedriger Depression: OR 1,56 (95%-KI 1,20–2,03).</w:t>
      </w:r>
    </w:p>
    <w:p>
      <w:r>
        <w:rPr>
          <w:b/>
          <w:sz w:val="19"/>
        </w:rPr>
        <w:t xml:space="preserve">Übertragbarkeit: </w:t>
      </w:r>
      <w:r>
        <w:rPr>
          <w:sz w:val="19"/>
        </w:rPr>
        <w:t>England, vergleichbares nationales Gesundheitssystem und Altersstruktur.</w:t>
      </w:r>
    </w:p>
    <w:p>
      <w:r>
        <w:rPr>
          <w:color w:val="5A7D3A"/>
          <w:sz w:val="18"/>
        </w:rPr>
        <w:t>https://pubmed.ncbi.nlm.nih.gov/42779173/</w:t>
      </w:r>
    </w:p>
    <w:p>
      <w:pPr>
        <w:pStyle w:val="Heading1"/>
      </w:pPr>
      <w:r>
        <w:t>Aufgenommen am 26.09.2026</w:t>
      </w:r>
    </w:p>
    <w:p>
      <w:pPr>
        <w:pStyle w:val="Heading2"/>
      </w:pPr>
      <w:r>
        <w:t>Soziale Kontakte und körperliche Frailty entwickeln sich parallel: Langzeitprofil aus Japan</w:t>
      </w:r>
    </w:p>
    <w:p>
      <w:r>
        <w:rPr>
          <w:i/>
          <w:color w:val="666666"/>
          <w:sz w:val="18"/>
        </w:rPr>
        <w:t>Gao H et al.  ·  Front Public Health  ·  09.09.2026  ·  PMID 42787745</w:t>
      </w:r>
    </w:p>
    <w:p>
      <w:r>
        <w:t>Japanische Kohortenstudie an 307 älteren Gemeindemitgliedern mit Messungen 2014, 2017 und 2020 zu sozialen Kontakten, körperlicher Frailty (Kihon Checklist-Motor) und subjektiven kognitiven Beschwerden (Kihon Checklist-Kognitiv).</w:t>
      </w:r>
    </w:p>
    <w:p>
      <w:r>
        <w:rPr>
          <w:b/>
        </w:rPr>
        <w:t xml:space="preserve">Ergebnis: </w:t>
      </w:r>
      <w:r>
        <w:t>Soziale Kontakte sanken von 16,82 auf 16,09, körperliche Frailty stieg von 8,8 % auf 19,5 %, subjektive kognitive Beschwerden von 31,3 % auf 62,9 %. Höhere initiale soziale Kontakte assoziiert mit niedrigerem Frailty-Risiko (standardisiert -0,282, 95%-CrI -0,503 bis -0,044) und niedrigerem kognitiven Beschwerde-Risiko (-0,433, -0,651 bis -0,179). Inverse Assoziation zwischen Kontakt- und Frailty-Änderungsraten.</w:t>
      </w:r>
    </w:p>
    <w:p>
      <w:r>
        <w:rPr>
          <w:b/>
          <w:sz w:val="19"/>
        </w:rPr>
        <w:t xml:space="preserve">Übertragbarkeit: </w:t>
      </w:r>
      <w:r>
        <w:rPr>
          <w:sz w:val="19"/>
        </w:rPr>
        <w:t>Japan, aber Befunde zu Multidomain-Assessment übertragbar auf deutsche Altenhilfe</w:t>
      </w:r>
    </w:p>
    <w:p>
      <w:r>
        <w:rPr>
          <w:color w:val="5A7D3A"/>
          <w:sz w:val="18"/>
        </w:rPr>
        <w:t>https://pubmed.ncbi.nlm.nih.gov/42787745/</w:t>
      </w:r>
    </w:p>
    <w:p>
      <w:pPr>
        <w:pStyle w:val="Heading2"/>
      </w:pPr>
      <w:r>
        <w:t>Kardiovaskuläre Multimorbidität und kognitive Funktionalität: internationale Kohorten-Analyse</w:t>
      </w:r>
    </w:p>
    <w:p>
      <w:r>
        <w:rPr>
          <w:i/>
          <w:color w:val="666666"/>
          <w:sz w:val="18"/>
        </w:rPr>
        <w:t>Li M et al.  ·  Front Public Health  ·  10.09.2026  ·  PMID 42787285</w:t>
      </w:r>
    </w:p>
    <w:p>
      <w:r>
        <w:t>Internationale Harmonisierung von 236.088 Personen aus sechs Langzeitkohorten (HRS, ELSA, CHARLS, KLoSA, MHAS, SHARE) mit wiederholten Messungen kardiovaskulärer Komorbiditäten und kognitiv-funktionaler Veränderungen.</w:t>
      </w:r>
    </w:p>
    <w:p>
      <w:r>
        <w:rPr>
          <w:b/>
        </w:rPr>
        <w:t xml:space="preserve">Ergebnis: </w:t>
      </w:r>
      <w:r>
        <w:t>Jede zusätzliche kardiovaskuläre Erkrankung korreliert mit kognitiven Verschlechterung (β=0,0459, 95%-KI 0,0243–0,0675) und funktionalen Verschlechterung (β=0,0960, 95%-KI 0,0809–0,1111). Funktionale Verschlechterung deutlicher als kognitiv (Kontrast 0,0534, 95%-KI 0,0325–0,0742). Bei 266.127 Intervallen in unauffälligem Ausgangszustand: jede zusätzliche Grunderkrankung assoziiert mit funktionalen Übergängen (OR 1,33, 95%-KI 1,27–1,40), nicht konsistent mit kognitiven Übergängen (OR 1,01, 95%-KI 0,95–1,07).</w:t>
      </w:r>
    </w:p>
    <w:p>
      <w:r>
        <w:rPr>
          <w:b/>
          <w:sz w:val="19"/>
        </w:rPr>
        <w:t xml:space="preserve">Übertragbarkeit: </w:t>
      </w:r>
      <w:r>
        <w:rPr>
          <w:sz w:val="19"/>
        </w:rPr>
        <w:t>Europa, Kanada, USA, große internationale Datenharmonisierung relevant für Deutschland</w:t>
      </w:r>
    </w:p>
    <w:p>
      <w:r>
        <w:rPr>
          <w:color w:val="5A7D3A"/>
          <w:sz w:val="18"/>
        </w:rPr>
        <w:t>https://pubmed.ncbi.nlm.nih.gov/42787285/</w:t>
      </w:r>
    </w:p>
    <w:p>
      <w:pPr>
        <w:pStyle w:val="Heading2"/>
      </w:pPr>
      <w:r>
        <w:t>Frailty bei älteren COPD-Patienten: unabhängiger Prädiktor für COPD-Exazerbationen</w:t>
      </w:r>
    </w:p>
    <w:p>
      <w:r>
        <w:rPr>
          <w:i/>
          <w:color w:val="666666"/>
          <w:sz w:val="18"/>
        </w:rPr>
        <w:t>Li T et al.  ·  J Cachexia Sarcopenia Muscle  ·  Okt. 2026  ·  PMID 42786423</w:t>
      </w:r>
    </w:p>
    <w:p>
      <w:r>
        <w:t>Chinesische Kohortenstudie an 466 älteren COPD-Patienten (Mittel 71,2±4,5 Jahre) mit Fried-Frailty-Phänotyp-Assessment und Nachverfolgung über 12 Monate für moderate bis schwere Exazerbationen und Sterblichkeit.</w:t>
      </w:r>
    </w:p>
    <w:p>
      <w:r>
        <w:rPr>
          <w:b/>
        </w:rPr>
        <w:t xml:space="preserve">Ergebnis: </w:t>
      </w:r>
      <w:r>
        <w:t>54,7 % pre-frail, 28,3 % frail. Pre-Frailty (OR 2,182, 95%-KI 1,081–4,405) und Frailty (OR 3,377, 95%-KI 1,614–7,063) unabhängig assoziiert mit erhöhtem Exazerbationsrisiko. ROC-AUC für Frailty-Vorhersage 0,607. Kombination aus Frailty + Dyspnoe oder Exazerbationshistorie bessere Vorhersagekraft als einzelne Parameter.</w:t>
      </w:r>
    </w:p>
    <w:p>
      <w:r>
        <w:rPr>
          <w:b/>
          <w:sz w:val="19"/>
        </w:rPr>
        <w:t xml:space="preserve">Übertragbarkeit: </w:t>
      </w:r>
      <w:r>
        <w:rPr>
          <w:sz w:val="19"/>
        </w:rPr>
        <w:t>China, aber Frailty-Assessment-Konzepte etabliert in deutscher Geriatrie</w:t>
      </w:r>
    </w:p>
    <w:p>
      <w:r>
        <w:rPr>
          <w:color w:val="5A7D3A"/>
          <w:sz w:val="18"/>
        </w:rPr>
        <w:t>https://pubmed.ncbi.nlm.nih.gov/42786423/</w:t>
      </w:r>
    </w:p>
    <w:p>
      <w:pPr>
        <w:pStyle w:val="Heading2"/>
      </w:pPr>
      <w:r>
        <w:t>Prävention funktioneller Abhängigkeit im höheren Alter: Screening geriatrischer Syndrome</w:t>
      </w:r>
    </w:p>
    <w:p>
      <w:r>
        <w:rPr>
          <w:i/>
          <w:color w:val="666666"/>
          <w:sz w:val="18"/>
        </w:rPr>
        <w:t>Stornelli S et al.  ·  Rev Med Suisse  ·  23.09.2026  ·  PMID 42779326</w:t>
      </w:r>
    </w:p>
    <w:p>
      <w:r>
        <w:t>Schweizer Übersicht für ambulante Grundversorgung zu frühzeitiger Erkennung älterer Patienten mit Risiko funktioneller Abhängigkeit und Autonomieverlust, basierend auf WHO-ICOPE-Ansatz.</w:t>
      </w:r>
    </w:p>
    <w:p>
      <w:r>
        <w:rPr>
          <w:b/>
        </w:rPr>
        <w:t xml:space="preserve">Ergebnis: </w:t>
      </w:r>
      <w:r>
        <w:t>Kernempfehlung: Ärzte sollten hauptsächliche geriatrische Syndrome systematisch screenen, modifizierbare Risikofaktoren identifizieren und Maßnahmen zur Bewahrung intrinsischer Kapazität und Lebensqualität implementieren. Lücke zwischen Lebenserwartung und behinderungsfreien Jahren bleibt erheblich und variiert nach Geschlecht, Bildung und sozioökonomischem Status.</w:t>
      </w:r>
    </w:p>
    <w:p>
      <w:r>
        <w:rPr>
          <w:b/>
          <w:sz w:val="19"/>
        </w:rPr>
        <w:t xml:space="preserve">Übertragbarkeit: </w:t>
      </w:r>
      <w:r>
        <w:rPr>
          <w:sz w:val="19"/>
        </w:rPr>
        <w:t>Schweiz (DACH-Region), direkt übertragbar auf deutsche Primärversorgung</w:t>
      </w:r>
    </w:p>
    <w:p>
      <w:r>
        <w:rPr>
          <w:color w:val="5A7D3A"/>
          <w:sz w:val="18"/>
        </w:rPr>
        <w:t>https://pubmed.ncbi.nlm.nih.gov/42779326/</w:t>
      </w:r>
    </w:p>
    <w:p>
      <w:pPr>
        <w:pStyle w:val="Heading2"/>
      </w:pPr>
      <w:r>
        <w:t>Funktionale Limitierungen bei Depression im Alter folgen eigenen Trajektorien</w:t>
      </w:r>
    </w:p>
    <w:p>
      <w:r>
        <w:rPr>
          <w:i/>
          <w:color w:val="666666"/>
          <w:sz w:val="18"/>
        </w:rPr>
        <w:t>Fredriksen KH et al.  ·  J Affect Disord  ·  15.12.2026  ·  PMID 42716343</w:t>
      </w:r>
    </w:p>
    <w:p>
      <w:r>
        <w:t>Niederländische Langzeitstudie an 355 älteren depressiven Patienten über sechs Jahre mit wiederholten Messungen in sechs Funktionsbereichen (Kognition, Mobilität, Selbstversorgung, soziale Beziehungen, Haushaltsaktivitäten, gesellschaftliche Partizipation).</w:t>
      </w:r>
    </w:p>
    <w:p>
      <w:r>
        <w:rPr>
          <w:b/>
        </w:rPr>
        <w:t xml:space="preserve">Ergebnis: </w:t>
      </w:r>
      <w:r>
        <w:t>Funktionale Einschränkungen zeigten überwiegend stabile hohe oder niedrige Trajektorien über beide Domänen. In Mobilität, Selbstversorgung und Haushaltsaktivitäten zeigte eine Subgruppe starke Verschlechterung, eine andere in sozialen Beziehungen Verbesserung. Funktionale Trajektorien korrelierten nur schwach mit Symptomverläufen und unterschieden sich zwischen Individuen deutlich – Hinweis auf Bedarf für individualisierte Interventionen unabhängig von depressiver Remission.</w:t>
      </w:r>
    </w:p>
    <w:p>
      <w:r>
        <w:rPr>
          <w:b/>
          <w:sz w:val="19"/>
        </w:rPr>
        <w:t xml:space="preserve">Übertragbarkeit: </w:t>
      </w:r>
      <w:r>
        <w:rPr>
          <w:sz w:val="19"/>
        </w:rPr>
        <w:t>Niederlande, Sozialversicherungssystem vergleichbar mit Deutschland</w:t>
      </w:r>
    </w:p>
    <w:p>
      <w:r>
        <w:rPr>
          <w:color w:val="5A7D3A"/>
          <w:sz w:val="18"/>
        </w:rPr>
        <w:t>https://pubmed.ncbi.nlm.nih.gov/42716343/</w:t>
      </w:r>
    </w:p>
    <w:p>
      <w:pPr>
        <w:pStyle w:val="Heading2"/>
      </w:pPr>
      <w:r>
        <w:t>Bipolares Störung im höheren Alter: Sterblichkeit erhöht, nicht Überleberkohorten-Effekt</w:t>
      </w:r>
    </w:p>
    <w:p>
      <w:r>
        <w:rPr>
          <w:i/>
          <w:color w:val="666666"/>
          <w:sz w:val="18"/>
        </w:rPr>
        <w:t>Bayat N et al.  ·  Am J Geriatr Psychiatry  ·  21.07.2026  ·  PMID 42567731</w:t>
      </w:r>
    </w:p>
    <w:p>
      <w:r>
        <w:t>Niederländische Prospektivkohortenstudie mit 227 Patienten ≥50 Jahren mit bipolarer Störung (DOBi-Studie) verglichen mit 681 alternativen Kontrollpersonen (LASA) über 8 Jahre Nachverfolgung.</w:t>
      </w:r>
    </w:p>
    <w:p>
      <w:r>
        <w:rPr>
          <w:b/>
        </w:rPr>
        <w:t xml:space="preserve">Ergebnis: </w:t>
      </w:r>
      <w:r>
        <w:t>Von 227 Patienten mit bipolarer Störung starben 37 (16,3 %), von Kontrollen 138/681 (20,3 %). Eingeschränkte mittlere Überlebenszeit 2.500,7 Tage (95%-KI 2.419,9–2.581,5) versus 2.607,2 Tage (95%-KI 2.572,3–2.642,0) – Differenz 106,4 Tage (3,5 Monate, p=0,018). Hazard Ratio 1,72 (95%-KI 1,17–2,54, p=0,006). Erhöhte Sterblichkeit persistent, nicht nur Überleberkohorten-Effekt.</w:t>
      </w:r>
    </w:p>
    <w:p>
      <w:r>
        <w:rPr>
          <w:b/>
          <w:sz w:val="19"/>
        </w:rPr>
        <w:t xml:space="preserve">Übertragbarkeit: </w:t>
      </w:r>
      <w:r>
        <w:rPr>
          <w:sz w:val="19"/>
        </w:rPr>
        <w:t>Niederlande, vergleichbares Gesundheitssystem und Sozialversicherung</w:t>
      </w:r>
    </w:p>
    <w:p>
      <w:r>
        <w:rPr>
          <w:color w:val="5A7D3A"/>
          <w:sz w:val="18"/>
        </w:rPr>
        <w:t>https://pubmed.ncbi.nlm.nih.gov/42567731/</w:t>
      </w:r>
    </w:p>
    <w:p>
      <w:pPr>
        <w:pStyle w:val="Heading1"/>
      </w:pPr>
      <w:r>
        <w:t>Aufgenommen am 25.09.2026</w:t>
      </w:r>
    </w:p>
    <w:p>
      <w:pPr>
        <w:pStyle w:val="Heading2"/>
      </w:pPr>
      <w:r>
        <w:t>Klinische Entscheidungsmuster von Physiotherapeuten bei Frailty in der Krankenpflege</w:t>
      </w:r>
    </w:p>
    <w:p>
      <w:r>
        <w:rPr>
          <w:i/>
          <w:color w:val="666666"/>
          <w:sz w:val="18"/>
        </w:rPr>
        <w:t>Bloch T et al.  ·  Age Ageing  ·  04.09.2026  ·  PMID 42784539</w:t>
      </w:r>
    </w:p>
    <w:p>
      <w:r>
        <w:t>Delphi-Studie mit 44 US-amerikanischen und kanadischen Therapeuten zu klinischen Reasoning-Strategien bei der Intervention für gebrechliche ältere Menschen in Pflegeheimen.</w:t>
      </w:r>
    </w:p>
    <w:p>
      <w:r>
        <w:rPr>
          <w:b/>
        </w:rPr>
        <w:t xml:space="preserve">Ergebnis: </w:t>
      </w:r>
      <w:r>
        <w:t>Fünf Konsensthemen erreichten ≥75%-Zustimmung: (i) Therapie-Engagement durch patientenzentrierte Aktivitäten, (ii) Mobilität und Bewegungssicherheit, (iii) funktionale Ergebnisse und Belastung, (iv) Schmerzmanagement und kognitive Variabilität, (v) aufgabenspezifische duale Interventionen für ADL-Transfer. 39 von 44 Teilnehmern (89%-Retentionsquote) schlossen alle Runden ab.</w:t>
      </w:r>
    </w:p>
    <w:p>
      <w:r>
        <w:rPr>
          <w:b/>
          <w:sz w:val="19"/>
        </w:rPr>
        <w:t xml:space="preserve">Übertragbarkeit: </w:t>
      </w:r>
      <w:r>
        <w:rPr>
          <w:sz w:val="19"/>
        </w:rPr>
        <w:t>USA/Kanada – Qualitative Evidenz zur Praxis in SNF; Adaptierbarkeit auf deutsches Versorgungssystem mit Anpassungen an Dokumentation und Ressourcen.</w:t>
      </w:r>
    </w:p>
    <w:p>
      <w:r>
        <w:rPr>
          <w:color w:val="5A7D3A"/>
          <w:sz w:val="18"/>
        </w:rPr>
        <w:t>https://pubmed.ncbi.nlm.nih.gov/42784539/</w:t>
      </w:r>
    </w:p>
    <w:p>
      <w:pPr>
        <w:pStyle w:val="Heading2"/>
      </w:pPr>
      <w:r>
        <w:t>Thorakale Muskelattenuation prägt Geschlechts-spezifische Mortalität nach Bypasschirurgie im Alter</w:t>
      </w:r>
    </w:p>
    <w:p>
      <w:r>
        <w:rPr>
          <w:i/>
          <w:color w:val="666666"/>
          <w:sz w:val="18"/>
        </w:rPr>
        <w:t>Krombholz-Reindl P et al.  ·  Med Sci (Basel)  ·  14.09.2026  ·  PMID 42783442</w:t>
      </w:r>
    </w:p>
    <w:p>
      <w:r>
        <w:t>Retrospektive Studie an 479 Patienten (382 Männer, 97 Frauen) untersucht, ob die Muskelqualität (gemessen als Hounsfield Units aus Routinen-CT) die Mortalität nach Koronarer Bypasschirurgie unabhängig vom EuroSCORE II vorhersagt – mit geschlechtsspezifischen Unterschieden.</w:t>
      </w:r>
    </w:p>
    <w:p>
      <w:r>
        <w:rPr>
          <w:b/>
        </w:rPr>
        <w:t xml:space="preserve">Ergebnis: </w:t>
      </w:r>
      <w:r>
        <w:t>Bei Frauen mit niedriger Muskelattenuation (TH4) betrugen die Hazard Ratios für Mortalität 6,6 (1 Jahr), 9,5 (3 Jahre), 6,4 (5 Jahre; alle p≤0,03). Bei Männern zeigte sich ein schwächerer Effekt, der nach Gewichtungsanpassung insignifikant wurde. Hinzufügen von niedriger Muskelattenuation zu EuroSCORE II erhöhte C-Statistik um 0,046 bei Frauen insgesamt (p&lt;0,001).</w:t>
      </w:r>
    </w:p>
    <w:p>
      <w:r>
        <w:rPr>
          <w:b/>
          <w:sz w:val="19"/>
        </w:rPr>
        <w:t xml:space="preserve">Übertragbarkeit: </w:t>
      </w:r>
      <w:r>
        <w:rPr>
          <w:sz w:val="19"/>
        </w:rPr>
        <w:t>Österreich/Deutschland – Universitätszentren; Aussage unabhängig von Versorgungssystem.</w:t>
      </w:r>
    </w:p>
    <w:p>
      <w:r>
        <w:rPr>
          <w:color w:val="5A7D3A"/>
          <w:sz w:val="18"/>
        </w:rPr>
        <w:t>https://pubmed.ncbi.nlm.nih.gov/42783442/</w:t>
      </w:r>
    </w:p>
    <w:p>
      <w:pPr>
        <w:pStyle w:val="Heading2"/>
      </w:pPr>
      <w:r>
        <w:t>Feinstaub und Luftfeuchte verstärken Sturzrisiko und Schlaganfall im Alter durch Frailty</w:t>
      </w:r>
    </w:p>
    <w:p>
      <w:r>
        <w:rPr>
          <w:i/>
          <w:color w:val="666666"/>
          <w:sz w:val="18"/>
        </w:rPr>
        <w:t>Sun M et al.  ·  Front Public Health  ·  09.09.2026  ·  PMID 42780893</w:t>
      </w:r>
    </w:p>
    <w:p>
      <w:r>
        <w:t>Prospektive Kohortenstudie (CHARLS, n=17.197) und Krankenhaus-Stichprobe (n=782) zum Zusammenhang von PM2.5-Exposition, relativer Luftfeuchte und Schlaganfallrisiko, mit Frailty Index als potenzieller Mediator.</w:t>
      </w:r>
    </w:p>
    <w:p>
      <w:r>
        <w:rPr>
          <w:b/>
        </w:rPr>
        <w:t xml:space="preserve">Ergebnis: </w:t>
      </w:r>
      <w:r>
        <w:t>Hohes PM2.5 mit Schlaganfall-Hazard Ratio 1,184 (95% KI 1,083–1,295) in CHARLS. Hohe Luftfeuchte: HR 1,112 (95% KI 1,021–1,212). Beide Expositionen zusammen: HR 1,361 (95% KI 1,171–1,582). Frailty mediierte 18,1 % der PM2.5-Assoziation und 22,3 % der Feuchte-Assoziation.</w:t>
      </w:r>
    </w:p>
    <w:p>
      <w:r>
        <w:rPr>
          <w:b/>
          <w:sz w:val="19"/>
        </w:rPr>
        <w:t xml:space="preserve">Übertragbarkeit: </w:t>
      </w:r>
      <w:r>
        <w:rPr>
          <w:sz w:val="19"/>
        </w:rPr>
        <w:t>China – CHARLS-Kohortendaten; Luftqualität und Klimavariablen sind in Deutschland unterschiedlich, aber Frailty-Pathway-Mechanismus ist übertragbar.</w:t>
      </w:r>
    </w:p>
    <w:p>
      <w:r>
        <w:rPr>
          <w:color w:val="5A7D3A"/>
          <w:sz w:val="18"/>
        </w:rPr>
        <w:t>https://pubmed.ncbi.nlm.nih.gov/42780893/</w:t>
      </w:r>
    </w:p>
    <w:p>
      <w:pPr>
        <w:pStyle w:val="Heading2"/>
      </w:pPr>
      <w:r>
        <w:t>Umfassende Frailty-Erfassung vorhersagt Mortalität nach Herzchirurgie besser als das Fried-Phänotyp allein</w:t>
      </w:r>
    </w:p>
    <w:p>
      <w:r>
        <w:rPr>
          <w:i/>
          <w:color w:val="666666"/>
          <w:sz w:val="18"/>
        </w:rPr>
        <w:t>Silva VBMD et al.  ·  Braz J Cardiovasc Surg  ·  21.09.2026  ·  PMID 42776132</w:t>
      </w:r>
    </w:p>
    <w:p>
      <w:r>
        <w:t>Prospektive Beobachtungsstudie mit 218 Herzchirurgie-Patienten (Klappenchirurgie oder CABG) zur Validierung von Frailty-Definitionen neben dem klassischen Fried-Kriterium durch zusätzliche ernährungsmedizinische, psychologische und funktionelle Variablen.</w:t>
      </w:r>
    </w:p>
    <w:p>
      <w:r>
        <w:rPr>
          <w:b/>
        </w:rPr>
        <w:t xml:space="preserve">Ergebnis: </w:t>
      </w:r>
      <w:r>
        <w:t>Nach Fried: 43,6 % frail, 49,6 % pre-frail. Fried-Phänotyp zeigte keine Assoziation mit Mortalität. Mit zusätzlichen Variablen identifizierte Clusteranalyse zwei Gruppen: In Cluster 1 waren 84,8 % Fried-frail (vs. 27,4 % in Cluster 2, p&lt;0,001), postoperative Infektionsrate 24,2 % vs. 7,1 % (p=0,022), Krankenhausmortalität 27,3 % vs. 9,5 % (p=0,020).</w:t>
      </w:r>
    </w:p>
    <w:p>
      <w:r>
        <w:rPr>
          <w:b/>
          <w:sz w:val="19"/>
        </w:rPr>
        <w:t xml:space="preserve">Übertragbarkeit: </w:t>
      </w:r>
      <w:r>
        <w:rPr>
          <w:sz w:val="19"/>
        </w:rPr>
        <w:t>Brasilien – herzchirurgische Versorgung vergleichbar; Frailty-Assessment-Prinzipien übertragbar auf deutsche Kliniken.</w:t>
      </w:r>
    </w:p>
    <w:p>
      <w:r>
        <w:rPr>
          <w:color w:val="5A7D3A"/>
          <w:sz w:val="18"/>
        </w:rPr>
        <w:t>https://pubmed.ncbi.nlm.nih.gov/42776132/</w:t>
      </w:r>
    </w:p>
    <w:p>
      <w:pPr>
        <w:pStyle w:val="Heading2"/>
      </w:pPr>
      <w:r>
        <w:t>Geriatrische Versorgungskonzepte bei trochantären Femurfrakturen senken Komplikationen und Mortalität</w:t>
      </w:r>
    </w:p>
    <w:p>
      <w:r>
        <w:rPr>
          <w:i/>
          <w:color w:val="666666"/>
          <w:sz w:val="18"/>
        </w:rPr>
        <w:t>Smolka V et al.  ·  Unfallchirurgie (Heidelb)  ·  24.08.2026  ·  PMID 42637918</w:t>
      </w:r>
    </w:p>
    <w:p>
      <w:r>
        <w:t>Übersichtsartikel zur interdisziplinären, multidimensionalen Betreuung geriatrischer Hüftfrakturen nach deutschen Richtlinien mit Fokus auf Schmerzmanagement, Frühmobilisation, Delir- und Ernährungsmanagement, Deprescribing und Sturzprophylaxe.</w:t>
      </w:r>
    </w:p>
    <w:p>
      <w:r>
        <w:rPr>
          <w:b/>
        </w:rPr>
        <w:t xml:space="preserve">Ergebnis: </w:t>
      </w:r>
      <w:r>
        <w:t>Multidimensionale Betreuung reduziert nachweislich die Mortalität, vermeidet Komplikationen durch adäquate Perioperativbetreuung, Frühmobilisation und Entlassungsplanung. Keine spezifischen Zahlenwerte im Abstract genannt, aber eindeutige Evidenz für Mortalitätsreduktion dokumentiert.</w:t>
      </w:r>
    </w:p>
    <w:p>
      <w:r>
        <w:rPr>
          <w:b/>
          <w:sz w:val="19"/>
        </w:rPr>
        <w:t xml:space="preserve">Übertragbarkeit: </w:t>
      </w:r>
      <w:r>
        <w:rPr>
          <w:sz w:val="19"/>
        </w:rPr>
        <w:t>Deutschland – nationale Richtlinien des Gemeinsamen Bundesausschusses seit 2021.</w:t>
      </w:r>
    </w:p>
    <w:p>
      <w:r>
        <w:rPr>
          <w:color w:val="5A7D3A"/>
          <w:sz w:val="18"/>
        </w:rPr>
        <w:t>https://pubmed.ncbi.nlm.nih.gov/42637918/</w:t>
      </w:r>
    </w:p>
    <w:p>
      <w:pPr>
        <w:pStyle w:val="Heading2"/>
      </w:pPr>
      <w:r>
        <w:t>Produktivitäts-angepasste Lebenserwartung in Finnland: Normwerte für bezahlte und unbezahlte Arbeit</w:t>
      </w:r>
    </w:p>
    <w:p>
      <w:r>
        <w:rPr>
          <w:i/>
          <w:color w:val="666666"/>
          <w:sz w:val="18"/>
        </w:rPr>
        <w:t>Lavikainen P et al.  ·  Soc Sci Med  ·  20.08.2026  ·  PMID 42632184</w:t>
      </w:r>
    </w:p>
    <w:p>
      <w:r>
        <w:t>Bevölkerungssurvey von 3.644 finnischen Erwachsenen (Juni–August 2024, Alter 18–79 Jahre) zur Schätzung von Produktivitätsindizes nach Alter und Geschlecht für bezahlte und unbezahlte Arbeit.</w:t>
      </w:r>
    </w:p>
    <w:p>
      <w:r>
        <w:rPr>
          <w:b/>
        </w:rPr>
        <w:t xml:space="preserve">Ergebnis: </w:t>
      </w:r>
      <w:r>
        <w:t>Gewichteter Produktivitätsindex für Gesamtpopulation: 0,770 (Männer 0,780; Frauen 0,760). Produktivitäts-angepasste Lebenserwartung (PALE) mit Undiskontiert für Männer im Alter 20: 42,9 Jahre, mit 1,5%-Diskont 29,3 Jahre. Für Frauen: 46,1, 30,4 Jahre entsprechend. Erste bevölkerungsrepräsentative Normwerte für nordische Länder.</w:t>
      </w:r>
    </w:p>
    <w:p>
      <w:r>
        <w:rPr>
          <w:b/>
          <w:sz w:val="19"/>
        </w:rPr>
        <w:t xml:space="preserve">Übertragbarkeit: </w:t>
      </w:r>
      <w:r>
        <w:rPr>
          <w:sz w:val="19"/>
        </w:rPr>
        <w:t>Finnland – Nordeuropa mit vergleichbarem Sozialsystem; für Deutschland übertragbar auf Struktur, Finanzierung unterscheidet sich.</w:t>
      </w:r>
    </w:p>
    <w:p>
      <w:r>
        <w:rPr>
          <w:color w:val="5A7D3A"/>
          <w:sz w:val="18"/>
        </w:rPr>
        <w:t>https://pubmed.ncbi.nlm.nih.gov/42632184/</w:t>
      </w:r>
    </w:p>
    <w:p>
      <w:pPr>
        <w:pStyle w:val="Heading1"/>
      </w:pPr>
      <w:r>
        <w:t>Aufgenommen am 24.09.2026</w:t>
      </w:r>
    </w:p>
    <w:p>
      <w:pPr>
        <w:pStyle w:val="Heading2"/>
      </w:pPr>
      <w:r>
        <w:t>Mitochondriale Dynamik im Altern: Ansätze zur Prävention von Herz- und Hirnerkrankungen</w:t>
      </w:r>
    </w:p>
    <w:p>
      <w:r>
        <w:rPr>
          <w:i/>
          <w:color w:val="666666"/>
          <w:sz w:val="18"/>
        </w:rPr>
        <w:t>Yin Y et al.  ·  Aging Cell  ·  Okt. 2026  ·  PMID 42775668</w:t>
      </w:r>
    </w:p>
    <w:p>
      <w:r>
        <w:t>Narrativer Übersichtsartikel zu Rolle der Mitochondrialen Fusion und Fission bei altersbezogenen Herz- und Hirnerkrankungen (Alzheimer, Parkinson, atheroskleroische kardiozerebrovale Erkrankungen) und therapeutischen Strategien (Ausdauertraining, Metformin, Dapagliflozin, Irbesartan, TCM-Komponenten).</w:t>
      </w:r>
    </w:p>
    <w:p>
      <w:r>
        <w:rPr>
          <w:b/>
        </w:rPr>
        <w:t xml:space="preserve">Ergebnis: </w:t>
      </w:r>
      <w:r>
        <w:t>Beeinträchtigte mitochondriale Dynamik liegt vielen altersassoziierten Krankheiten zugrunde; verschiedene Trainings- und Medikamentenansätze zeigen Potenzial zur Verbesserung von Herzgesundheit und Hirngesundheit durch Wiederherstellung mitochondrialer Plastizität; Mechanismen umfassen Verbesserung von Energiestoffwechsel und Reduktion von Entzündung und Seneszenz.</w:t>
      </w:r>
    </w:p>
    <w:p>
      <w:r>
        <w:rPr>
          <w:b/>
          <w:sz w:val="19"/>
        </w:rPr>
        <w:t xml:space="preserve">Übertragbarkeit: </w:t>
      </w:r>
      <w:r>
        <w:rPr>
          <w:sz w:val="19"/>
        </w:rPr>
        <w:t>Überwiegend präklinische und Tiermodelle; klinische Übertragbarkeit für ausgewählte Interventionen (Training, Metformin) gegeben.</w:t>
      </w:r>
    </w:p>
    <w:p>
      <w:r>
        <w:rPr>
          <w:color w:val="5A7D3A"/>
          <w:sz w:val="18"/>
        </w:rPr>
        <w:t>https://pubmed.ncbi.nlm.nih.gov/42775668/</w:t>
      </w:r>
    </w:p>
    <w:p>
      <w:pPr>
        <w:pStyle w:val="Heading2"/>
      </w:pPr>
      <w:r>
        <w:t>Einbindung Älterer in Versorgungsforschung: Praktische Erfolgsfaktoren aus Australien</w:t>
      </w:r>
    </w:p>
    <w:p>
      <w:r>
        <w:rPr>
          <w:i/>
          <w:color w:val="666666"/>
          <w:sz w:val="18"/>
        </w:rPr>
        <w:t>Thillainadesan J et al.  ·  Public Health Res Pract  ·  24.09.2026  ·  PMID 42767663</w:t>
      </w:r>
    </w:p>
    <w:p>
      <w:r>
        <w:t>Qualitative Studie zur Etablierung einer konsumentengesteuerten Forschungsberatungsgruppe in einem Altersbetreuungszentrum mit 8 älteren Teilnehmern (Australien); Dokumentation von Rekrutierungs-, Unterstützungs- und Beteiligungsprozessen.</w:t>
      </w:r>
    </w:p>
    <w:p>
      <w:r>
        <w:rPr>
          <w:b/>
        </w:rPr>
        <w:t xml:space="preserve">Ergebnis: </w:t>
      </w:r>
      <w:r>
        <w:t>Erfolgsfaktoren: Inklusives Auswahlverfahren, Honorierung, Barrierefreiheit, sensibilisierte Kommunikation, vertrauensvolle Umgebung, orientierungsgerichtete Einführung und Training; Teilnehmer berichtet positive Erfahrungen und waren motiviert durch Wunsch, ihre Lebenserfahrung zum Nutzen anderer einzubringen; Machbarkeit und Förderfähigkeit von Älteren-Einbindung demonstriert.</w:t>
      </w:r>
    </w:p>
    <w:p>
      <w:r>
        <w:rPr>
          <w:b/>
          <w:sz w:val="19"/>
        </w:rPr>
        <w:t xml:space="preserve">Übertragbarkeit: </w:t>
      </w:r>
      <w:r>
        <w:rPr>
          <w:sz w:val="19"/>
        </w:rPr>
        <w:t>Australische Versorgungsforschung, methodisch auf deutschsprachige Settings übertragbar.</w:t>
      </w:r>
    </w:p>
    <w:p>
      <w:r>
        <w:rPr>
          <w:color w:val="5A7D3A"/>
          <w:sz w:val="18"/>
        </w:rPr>
        <w:t>https://pubmed.ncbi.nlm.nih.gov/42767663/</w:t>
      </w:r>
    </w:p>
    <w:p>
      <w:pPr>
        <w:pStyle w:val="Heading2"/>
      </w:pPr>
      <w:r>
        <w:t>Grippe-Impfstoff höherer Dosierung senkt Hospitalisierungen bei gebrechlichen Älteren stärker</w:t>
      </w:r>
    </w:p>
    <w:p>
      <w:r>
        <w:rPr>
          <w:i/>
          <w:color w:val="666666"/>
          <w:sz w:val="18"/>
        </w:rPr>
        <w:t>Espersen C et al.  ·  Lancet Healthy Longev  ·  17.09.2026  ·  PMID 42753782</w:t>
      </w:r>
    </w:p>
    <w:p>
      <w:r>
        <w:t>Dänische randomisierte Studie zu Wirksamkeit hochdosierter versus Standarddosis-Influenzaimpfung bei 332.438 älteren Personen (≥65 Jahre), stratifiziert nach Gebrechlichkeitsrisiko mittels Hospital Frailty Risk Score.</w:t>
      </w:r>
    </w:p>
    <w:p>
      <w:r>
        <w:rPr>
          <w:b/>
        </w:rPr>
        <w:t xml:space="preserve">Ergebnis: </w:t>
      </w:r>
      <w:r>
        <w:t>Bei Personen mit hohem Gebrechlichkeitsrisiko zeigte die hochdosierte Impfung eine relative Wirksamkeit von 19,9 % (95%-KI −10,3 bis 42,1) gegen Hospitalisierungen durch Influenza/Lungenentzündung versus 0,2 % (−10,8 bis 10,2) bei niedrigem Risiko; die Interaktion war jedoch nicht signifikant kategorisch (p=0,17), sodass die Autoren die Ergebnisse als explorativ einstufen.</w:t>
      </w:r>
    </w:p>
    <w:p>
      <w:r>
        <w:rPr>
          <w:b/>
          <w:sz w:val="19"/>
        </w:rPr>
        <w:t xml:space="preserve">Übertragbarkeit: </w:t>
      </w:r>
      <w:r>
        <w:rPr>
          <w:sz w:val="19"/>
        </w:rPr>
        <w:t>Dänische Gesundheitsdaten, europäisches System mit vergleichbarer Impfstoffverfügbarkeit.</w:t>
      </w:r>
    </w:p>
    <w:p>
      <w:r>
        <w:rPr>
          <w:color w:val="5A7D3A"/>
          <w:sz w:val="18"/>
        </w:rPr>
        <w:t>https://pubmed.ncbi.nlm.nih.gov/42753782/</w:t>
      </w:r>
    </w:p>
    <w:p>
      <w:pPr>
        <w:pStyle w:val="Heading2"/>
      </w:pPr>
      <w:r>
        <w:t>Kurzzeitige Prehabilitation vor elektiver Operation senkt Pflegebedürftigkeit bei gebrechlichen Älteren nicht</w:t>
      </w:r>
    </w:p>
    <w:p>
      <w:r>
        <w:rPr>
          <w:i/>
          <w:color w:val="666666"/>
          <w:sz w:val="18"/>
        </w:rPr>
        <w:t>Spies C et al.  ·  Lancet Healthy Longev  ·  15.09.2026  ·  PMID 42743945</w:t>
      </w:r>
    </w:p>
    <w:p>
      <w:r>
        <w:t>Deutschlandweite randomisierte Studie an 1.199 Personen (Alter ≥70 Jahre) mit Frailty oder Prefrailty zu Effekt einer 3-wöchigen supervidierten multimodalen Prehabilitation auf Pflegabhängigkeit 12 Monate postoperativ.</w:t>
      </w:r>
    </w:p>
    <w:p>
      <w:r>
        <w:rPr>
          <w:b/>
        </w:rPr>
        <w:t xml:space="preserve">Ergebnis: </w:t>
      </w:r>
      <w:r>
        <w:t>Keine signifikanten Unterschiede zwischen Prehabilitation und Standard-Care in der Veränderung der Langzeitpflegeabhängigkeit (ordinale Skala 0–5): mittlere Differenz −0,1 (95%-KI −0,25 bis 0,07; p=0,26); 32 Sicherheitsereignisse in der Interventionsgruppe, meist nicht kausal bezogen.</w:t>
      </w:r>
    </w:p>
    <w:p>
      <w:r>
        <w:rPr>
          <w:b/>
          <w:sz w:val="19"/>
        </w:rPr>
        <w:t xml:space="preserve">Übertragbarkeit: </w:t>
      </w:r>
      <w:r>
        <w:rPr>
          <w:sz w:val="19"/>
        </w:rPr>
        <w:t>Deutsche Klinikdaten, G-BA-finanziert, direkt auf deutsches Gesundheitssystem übertragbar.</w:t>
      </w:r>
    </w:p>
    <w:p>
      <w:r>
        <w:rPr>
          <w:color w:val="5A7D3A"/>
          <w:sz w:val="18"/>
        </w:rPr>
        <w:t>https://pubmed.ncbi.nlm.nih.gov/42743945/</w:t>
      </w:r>
    </w:p>
    <w:p>
      <w:pPr>
        <w:pStyle w:val="Heading2"/>
      </w:pPr>
      <w:r>
        <w:t>Wissenslücken in geriatrischen Kompetenzen im DACH-Raum: Demenz, Depression, Sarkopenie prioritär</w:t>
      </w:r>
    </w:p>
    <w:p>
      <w:r>
        <w:rPr>
          <w:i/>
          <w:color w:val="666666"/>
          <w:sz w:val="18"/>
        </w:rPr>
        <w:t>Honegger M et al.  ·  Z Gerontol Geriatr  ·  07.09.2026  ·  PMID 42704433</w:t>
      </w:r>
    </w:p>
    <w:p>
      <w:r>
        <w:t>Sekundäranalyse einer europäischen Online-Befragung: 291 Gesundheitsfachkräfte aus Deutschland, Österreich und der Schweiz wurden zu Selbsteinschätzung geriatrischer Kompetenz und Fortbildungsbedarf befragt und mit 5.134 Fachkräften aus übrigen europäischen Ländern verglichen.</w:t>
      </w:r>
    </w:p>
    <w:p>
      <w:r>
        <w:rPr>
          <w:b/>
        </w:rPr>
        <w:t xml:space="preserve">Ergebnis: </w:t>
      </w:r>
      <w:r>
        <w:t>DACH-Fachkräfte schätzten ihre geriatrischen Kenntnisse höher ein als Kollegen anderswo, zeigten aber substantielle Lücken in Demenz, Depression, chronischen Schmerzen, kognitiven Screenings und Sarkopenie; Fortbildungsbedarf überstieg selbst eingeschätzte Kompetenz in allen Ländern.</w:t>
      </w:r>
    </w:p>
    <w:p>
      <w:r>
        <w:rPr>
          <w:b/>
          <w:sz w:val="19"/>
        </w:rPr>
        <w:t xml:space="preserve">Übertragbarkeit: </w:t>
      </w:r>
      <w:r>
        <w:rPr>
          <w:sz w:val="19"/>
        </w:rPr>
        <w:t>DACH-Umfrage mit direktem Bezug zu deutschem, österreichischem und Schweizer Gesundheitswesen.</w:t>
      </w:r>
    </w:p>
    <w:p>
      <w:r>
        <w:rPr>
          <w:color w:val="5A7D3A"/>
          <w:sz w:val="18"/>
        </w:rPr>
        <w:t>https://pubmed.ncbi.nlm.nih.gov/42704433/</w:t>
      </w:r>
    </w:p>
    <w:p>
      <w:pPr>
        <w:pStyle w:val="Heading2"/>
      </w:pPr>
      <w:r>
        <w:t>Multikomponenten-Delirprogramme reduzieren Delirinzidenz um 44 % – Evidenzbasis und Implementierung</w:t>
      </w:r>
    </w:p>
    <w:p>
      <w:r>
        <w:rPr>
          <w:i/>
          <w:color w:val="666666"/>
          <w:sz w:val="18"/>
        </w:rPr>
        <w:t>Thomas C et al.  ·  Z Gerontol Geriatr  ·  25.08.2026  ·  PMID 42640287</w:t>
      </w:r>
    </w:p>
    <w:p>
      <w:r>
        <w:t>Narrativer Übersichtsartikel mit Darstellung der Evidenz zu nichtpharmakologischen Multikomponenten-Interventionen (HELP, ABCDE-Bundle, CHOPS, AKTIVER) in der Delirprävention und des Delirmanagements bei älteren Patienten.</w:t>
      </w:r>
    </w:p>
    <w:p>
      <w:r>
        <w:rPr>
          <w:b/>
        </w:rPr>
        <w:t xml:space="preserve">Ergebnis: </w:t>
      </w:r>
      <w:r>
        <w:t>Zwei 2026 publizierte Metaanalysen zeigen, dass multikomponentale nichtpharmakologische Programme die Delirinzidenz um 44 % reduzierten und Dauer bestehender Delire signifikant verkürzten; pharmakologische Strategien zeigten keinen konsistenten Nutzen außer Dexmedetomidin in ausgewählten perioperativen Settings; S3-Leitlinie empfiehlt strukturierte, interprofessionelle, personenzentrierte Delirprogramme als Standard.</w:t>
      </w:r>
    </w:p>
    <w:p>
      <w:r>
        <w:rPr>
          <w:b/>
          <w:sz w:val="19"/>
        </w:rPr>
        <w:t xml:space="preserve">Übertragbarkeit: </w:t>
      </w:r>
      <w:r>
        <w:rPr>
          <w:sz w:val="19"/>
        </w:rPr>
        <w:t>Deutsche S3-Leitlinie und deutsche Studienprogramme (AKTIVER), direkt übertragbar auf deutsches Versorgungssystem.</w:t>
      </w:r>
    </w:p>
    <w:p>
      <w:r>
        <w:rPr>
          <w:color w:val="5A7D3A"/>
          <w:sz w:val="18"/>
        </w:rPr>
        <w:t>https://pubmed.ncbi.nlm.nih.gov/42640287/</w:t>
      </w:r>
    </w:p>
    <w:p>
      <w:pPr>
        <w:pStyle w:val="Heading1"/>
      </w:pPr>
      <w:r>
        <w:t>Aufgenommen am 23.09.2026</w:t>
      </w:r>
    </w:p>
    <w:p>
      <w:pPr>
        <w:pStyle w:val="Heading2"/>
      </w:pPr>
      <w:r>
        <w:t>Todesursachen im Lebensverlauf in Südostasien: regionale Ungleichgewichte 2023</w:t>
      </w:r>
    </w:p>
    <w:p>
      <w:r>
        <w:rPr>
          <w:i/>
          <w:color w:val="666666"/>
          <w:sz w:val="18"/>
        </w:rPr>
        <w:t>GBD 2023 ASEAN Causes of Death Collaborators  ·  Lancet Public Health  ·  Okt. 2026  ·  PMID 42772298</w:t>
      </w:r>
    </w:p>
    <w:p>
      <w:r>
        <w:t>GBD-2023-Analyse der Todesursachen und Lebenserwartung von Geburt bis 70 Jahre in elf ASEAN-Ländern, stratifiziert nach Alter und Geschlecht.</w:t>
      </w:r>
    </w:p>
    <w:p>
      <w:r>
        <w:rPr>
          <w:b/>
        </w:rPr>
        <w:t xml:space="preserve">Ergebnis: </w:t>
      </w:r>
      <w:r>
        <w:t>Regionale Lebenserwartung 2023: 70,1 Jahre Männer (95%-UI 69,6–70,7), 76,2 Jahre Frauen (75,7–76,7); Range 62,1 Jahre (Myanmar, Männer) bis 87,5 Jahre (Singapur, Frauen). Unfallverletzungen führend in Adoleszenz/frühem Erwachsenenalter; nicht-übertragbare Krankheiten dominant in mittlerem Alter. Tabakkonsum dominierender Risikofaktor bei Männern, Hypertonie bei Frauen.</w:t>
      </w:r>
    </w:p>
    <w:p>
      <w:r>
        <w:rPr>
          <w:b/>
          <w:sz w:val="19"/>
        </w:rPr>
        <w:t xml:space="preserve">Übertragbarkeit: </w:t>
      </w:r>
      <w:r>
        <w:rPr>
          <w:sz w:val="19"/>
        </w:rPr>
        <w:t>Südostasien, breite Systeme mit unterschiedlicher Infrastruktur – Befunde zu Risiken und Disparitäten sind relevant</w:t>
      </w:r>
    </w:p>
    <w:p>
      <w:r>
        <w:rPr>
          <w:color w:val="5A7D3A"/>
          <w:sz w:val="18"/>
        </w:rPr>
        <w:t>https://pubmed.ncbi.nlm.nih.gov/42772298/</w:t>
      </w:r>
    </w:p>
    <w:p>
      <w:pPr>
        <w:pStyle w:val="Heading2"/>
      </w:pPr>
      <w:r>
        <w:t>Institutionelles geriatrisches Versorgungsmodell in Mexiko: GeriatrIMSS-Struktur und Ergebnisse</w:t>
      </w:r>
    </w:p>
    <w:p>
      <w:r>
        <w:rPr>
          <w:i/>
          <w:color w:val="666666"/>
          <w:sz w:val="18"/>
        </w:rPr>
        <w:t>Medina-Chávez JH et al.  ·  Rev Med Inst Mex Seguro Soc  ·  02.09.2026  ·  PMID 42771824</w:t>
      </w:r>
    </w:p>
    <w:p>
      <w:r>
        <w:t>Beschreibung des mexikanischen GeriatrIMSS-Modells, eines umfassenden institutionellen Plans der Seguridad Social zur Reaktion auf Alterung, Multimorbidität und nicht-übertragbare Krankheiten bei älteren Versicherten.</w:t>
      </w:r>
    </w:p>
    <w:p>
      <w:r>
        <w:rPr>
          <w:b/>
        </w:rPr>
        <w:t xml:space="preserve">Ergebnis: </w:t>
      </w:r>
      <w:r>
        <w:t>GeriatrIMSS beruht auf vier Säulen: Prävention (PREVENIMSS), umfassende geriatrische Versorgung, Bildung und Forschung. Modell stärkt operative Kapazitäten, reorientiert Prozesse und Services für ältere Menschen, verbessert Versorgungsqualität und Zufriedenheit bei Nutzern und Angehörigen – positioniert Mexiko international an Vorderfront der Altenpflege.</w:t>
      </w:r>
    </w:p>
    <w:p>
      <w:r>
        <w:rPr>
          <w:b/>
          <w:sz w:val="19"/>
        </w:rPr>
        <w:t xml:space="preserve">Übertragbarkeit: </w:t>
      </w:r>
      <w:r>
        <w:rPr>
          <w:sz w:val="19"/>
        </w:rPr>
        <w:t>Mexiko, Sozialversicherungssystem nicht direkt vergleichbar – Strukturideen zu sektorenübergreifender Integration sind relevant</w:t>
      </w:r>
    </w:p>
    <w:p>
      <w:r>
        <w:rPr>
          <w:color w:val="5A7D3A"/>
          <w:sz w:val="18"/>
        </w:rPr>
        <w:t>https://pubmed.ncbi.nlm.nih.gov/42771824/</w:t>
      </w:r>
    </w:p>
    <w:p>
      <w:pPr>
        <w:pStyle w:val="Heading2"/>
      </w:pPr>
      <w:r>
        <w:t>Stärkenorientierte Geriatrische Assessments: Reserve statt nur Defizite dokumentieren</w:t>
      </w:r>
    </w:p>
    <w:p>
      <w:r>
        <w:rPr>
          <w:i/>
          <w:color w:val="666666"/>
          <w:sz w:val="18"/>
        </w:rPr>
        <w:t>Cooke J et al.  ·  Age Ageing  ·  04.09.2026  ·  PMID 42771779</w:t>
      </w:r>
    </w:p>
    <w:p>
      <w:r>
        <w:t>Konzeptionelle Analyse zur Geriatrischen Comprehensive Assessment (CGA) und Frailty-Modellen in der britischen Geriatrie, die Möglichkeit einer reserve-fokussierten Ergänzung zu defizitorientierten Assessments.</w:t>
      </w:r>
    </w:p>
    <w:p>
      <w:r>
        <w:rPr>
          <w:b/>
        </w:rPr>
        <w:t xml:space="preserve">Ergebnis: </w:t>
      </w:r>
      <w:r>
        <w:t>CGA dokumentiert vorwiegend Beeinträchtigungen, nicht Kapazität und Reserve. Diese Fokussierung auf Defizite prägt Patientenidentität negativ. Stärkenorientierte Ansätze können Prognostizierung verbessern, Interventionen personalisieren und Patientenagentur unterstützen – ohne Risikoaufmerksamkeit aufzugeben.</w:t>
      </w:r>
    </w:p>
    <w:p>
      <w:r>
        <w:rPr>
          <w:b/>
          <w:sz w:val="19"/>
        </w:rPr>
        <w:t xml:space="preserve">Übertragbarkeit: </w:t>
      </w:r>
      <w:r>
        <w:rPr>
          <w:sz w:val="19"/>
        </w:rPr>
        <w:t>Großbritannien, konzeptuell auf alle europäischen Systeme übertragbar</w:t>
      </w:r>
    </w:p>
    <w:p>
      <w:r>
        <w:rPr>
          <w:color w:val="5A7D3A"/>
          <w:sz w:val="18"/>
        </w:rPr>
        <w:t>https://pubmed.ncbi.nlm.nih.gov/42771779/</w:t>
      </w:r>
    </w:p>
    <w:p>
      <w:pPr>
        <w:pStyle w:val="Heading2"/>
      </w:pPr>
      <w:r>
        <w:t>Benzolexposition und Psychische Störungen: Biologisches Altern als Vermittler</w:t>
      </w:r>
    </w:p>
    <w:p>
      <w:r>
        <w:rPr>
          <w:i/>
          <w:color w:val="666666"/>
          <w:sz w:val="18"/>
        </w:rPr>
        <w:t>Wu Y et al.  ·  Ecotoxicol Environ Saf  ·  15.09.2026  ·  PMID 42705027</w:t>
      </w:r>
    </w:p>
    <w:p>
      <w:r>
        <w:t>UK-Biobank-Kohortenstudie an 410.207 Personen zur Assoziation zwischen langjähriger Benzolexposition und psychiatrischen Störungen, mit beschleunigtem Altern (PhenoAge) als potenzieller Mediator.</w:t>
      </w:r>
    </w:p>
    <w:p>
      <w:r>
        <w:rPr>
          <w:b/>
        </w:rPr>
        <w:t xml:space="preserve">Ergebnis: </w:t>
      </w:r>
      <w:r>
        <w:t>Über 14,8 Jahre Nachbeobachtung: 64.270 Personen entwickelten psychiatrische Störungen. Jede Interquartilbereichs-Steigerung Benzol assoziiert mit erhöhtem Risiko für jede psychiatrische Störung (HR 1,040, 95%-KI 1,028–1,053) und multiple psychiatrische Störungen (HR 1,062, 1,039–1,086). Beschleunigtes PhenoAge vermittelte 7,85% (95%-KI 5,57–11,12%) der Assoziation bei jeder psychiatrischen Störung, 17,26% (9,01–80,54%) bei multiplen Störungen.</w:t>
      </w:r>
    </w:p>
    <w:p>
      <w:r>
        <w:rPr>
          <w:b/>
          <w:sz w:val="19"/>
        </w:rPr>
        <w:t xml:space="preserve">Übertragbarkeit: </w:t>
      </w:r>
      <w:r>
        <w:rPr>
          <w:sz w:val="19"/>
        </w:rPr>
        <w:t>UK-Biobank, Umweltdatenverfügbarkeit und Versicherungssystem nicht direkt übertragbar – Expositions-Gesundheitsmechanismus ist relevant</w:t>
      </w:r>
    </w:p>
    <w:p>
      <w:r>
        <w:rPr>
          <w:color w:val="5A7D3A"/>
          <w:sz w:val="18"/>
        </w:rPr>
        <w:t>https://pubmed.ncbi.nlm.nih.gov/42705027/</w:t>
      </w:r>
    </w:p>
    <w:p>
      <w:pPr>
        <w:pStyle w:val="Heading2"/>
      </w:pPr>
      <w:r>
        <w:t>Mobilitätsverlust und Einsamkeit im Alter: Lebenslange Folgen trotz Erholung</w:t>
      </w:r>
    </w:p>
    <w:p>
      <w:r>
        <w:rPr>
          <w:i/>
          <w:color w:val="666666"/>
          <w:sz w:val="18"/>
        </w:rPr>
        <w:t>Augustsson E et al.  ·  J Gerontol B Psychol Sci Soc Sci  ·  04.09.2026  ·  PMID 42554850</w:t>
      </w:r>
    </w:p>
    <w:p>
      <w:r>
        <w:t>Europäische Längsschnitt-Kohortenstudie (SHARE) an 4.109 Personen ab 65 Jahren mit neu aufgetretenen Mobilitätseinschränkungen, wovon 2.018 innerhalb von 2 Jahren genasen, zum Verlauf von Einsamkeit bis 4 Jahre später.</w:t>
      </w:r>
    </w:p>
    <w:p>
      <w:r>
        <w:rPr>
          <w:b/>
        </w:rPr>
        <w:t xml:space="preserve">Ergebnis: </w:t>
      </w:r>
      <w:r>
        <w:t>Einsamkeit stieg nach Mobilitätsverlust an. Personen mit anhaltenden Einschränkungen zeigten Weiterzunahme; genesene Personen stabilisierten sich, kehrten aber nicht zu Vorniveaus zurück. Frühe Interventionen zur Begrenzung von Mobilitätseinschränkungen könnten nachfolgende Einsamkeit reduzieren.</w:t>
      </w:r>
    </w:p>
    <w:p>
      <w:r>
        <w:rPr>
          <w:b/>
          <w:sz w:val="19"/>
        </w:rPr>
        <w:t xml:space="preserve">Übertragbarkeit: </w:t>
      </w:r>
      <w:r>
        <w:rPr>
          <w:sz w:val="19"/>
        </w:rPr>
        <w:t>Schweden/SHARE-Daten, vergleichbare europäische Gesundheitssysteme</w:t>
      </w:r>
    </w:p>
    <w:p>
      <w:r>
        <w:rPr>
          <w:color w:val="5A7D3A"/>
          <w:sz w:val="18"/>
        </w:rPr>
        <w:t>https://pubmed.ncbi.nlm.nih.gov/42554850/</w:t>
      </w:r>
    </w:p>
    <w:p>
      <w:pPr>
        <w:pStyle w:val="Heading2"/>
      </w:pPr>
      <w:r>
        <w:t>Europäische Sozialversicherung unter Druck: Versorgungskapazität statt Finanzierung als Engpass</w:t>
      </w:r>
    </w:p>
    <w:p>
      <w:r>
        <w:rPr>
          <w:i/>
          <w:color w:val="666666"/>
          <w:sz w:val="18"/>
        </w:rPr>
        <w:t>Jones CH et al.  ·  Drug Discov Today  ·  20.07.2026  ·  PMID 42476293</w:t>
      </w:r>
    </w:p>
    <w:p>
      <w:r>
        <w:t>Perspektivartikel zu Herausforderungen der europäischen Sozialversicherung durch demografische Alterung, Multimorbidität und Polypharmazie, mit 24–36-Monats-Agenda für Systemreformen.</w:t>
      </w:r>
    </w:p>
    <w:p>
      <w:r>
        <w:rPr>
          <w:b/>
        </w:rPr>
        <w:t xml:space="preserve">Ergebnis: </w:t>
      </w:r>
      <w:r>
        <w:t>Längeres Leben führt zu Multimorbidität, Polypharmazie, Demenz, Mobilitätsverlust – Versorgungskapazität wird zum Engpass statt Finanzierbarkeit. Vier zentrale Reformmaßnahmen: (1) Professionalisierung der Langzeitpflegekräfte, (2) Apotheker-geführte Medikamentenüberprüfung, (3) Ausbau von Heim- und Übergangspflege, (4) integrierte Entlassungszusammenfassungen und Medikamentenlisten über Sektoren hinweg als Routine.</w:t>
      </w:r>
    </w:p>
    <w:p>
      <w:r>
        <w:rPr>
          <w:b/>
          <w:sz w:val="19"/>
        </w:rPr>
        <w:t xml:space="preserve">Übertragbarkeit: </w:t>
      </w:r>
      <w:r>
        <w:rPr>
          <w:sz w:val="19"/>
        </w:rPr>
        <w:t>Europa, konzeptuell auf deutsche Sozialversicherung direkt übertragbar</w:t>
      </w:r>
    </w:p>
    <w:p>
      <w:r>
        <w:rPr>
          <w:color w:val="5A7D3A"/>
          <w:sz w:val="18"/>
        </w:rPr>
        <w:t>https://pubmed.ncbi.nlm.nih.gov/42476293/</w:t>
      </w:r>
    </w:p>
    <w:p>
      <w:pPr>
        <w:pStyle w:val="Heading1"/>
      </w:pPr>
      <w:r>
        <w:t>Aufgenommen am 22.09.2026</w:t>
      </w:r>
    </w:p>
    <w:p>
      <w:pPr>
        <w:pStyle w:val="Heading2"/>
      </w:pPr>
      <w:r>
        <w:t>Instrumente zur Erfassung der intrinsic capacity im Alter: Scoping Review und Bewertung</w:t>
      </w:r>
    </w:p>
    <w:p>
      <w:r>
        <w:rPr>
          <w:i/>
          <w:color w:val="666666"/>
          <w:sz w:val="18"/>
        </w:rPr>
        <w:t>Henrotin Y et al.  ·  Age Ageing  ·  04.09.2026  ·  PMID 42765723</w:t>
      </w:r>
    </w:p>
    <w:p>
      <w:r>
        <w:t>Scoping Review identifizierte 61 validierte Instrumente zur Messung der intrinsic capacity (körperliche und mentale Fähigkeiten) älterer Erwachsener über fünf Domänen (kognitiv, kardiopulmonal, lokomotorerisch, psychisch, sensorisch).</w:t>
      </w:r>
    </w:p>
    <w:p>
      <w:r>
        <w:rPr>
          <w:b/>
        </w:rPr>
        <w:t xml:space="preserve">Ergebnis: </w:t>
      </w:r>
      <w:r>
        <w:t>Nur zwei Instrumente (GAD-7, EUROQOL-5D) erreichten maximale Expertenratings. Erhebliche Lücken bei der Erfassung sensorischer Fähigkeiten. Sehr wenige Instrumente waren für Erwachsene unter 60 Jahren geeignet. Heterogenität in Gültigkeit und Anwendbarkeit deutet auf Bedarf für entwicklung eines umfassenden, standardisierten Assessment-Tools hin.</w:t>
      </w:r>
    </w:p>
    <w:p>
      <w:r>
        <w:rPr>
          <w:b/>
          <w:sz w:val="19"/>
        </w:rPr>
        <w:t xml:space="preserve">Übertragbarkeit: </w:t>
      </w:r>
      <w:r>
        <w:rPr>
          <w:sz w:val="19"/>
        </w:rPr>
        <w:t>Europäische und nordamerikanische Kohorten; transferierbar auf deutschsprachige Versorgung</w:t>
      </w:r>
    </w:p>
    <w:p>
      <w:r>
        <w:rPr>
          <w:color w:val="5A7D3A"/>
          <w:sz w:val="18"/>
        </w:rPr>
        <w:t>https://pubmed.ncbi.nlm.nih.gov/42765723/</w:t>
      </w:r>
    </w:p>
    <w:p>
      <w:pPr>
        <w:pStyle w:val="Heading2"/>
      </w:pPr>
      <w:r>
        <w:t>Gefäßalterung: Funktionsmarker vorhersagen kardiovaskuläres Risiko unabhängig vom Alter</w:t>
      </w:r>
    </w:p>
    <w:p>
      <w:r>
        <w:rPr>
          <w:i/>
          <w:color w:val="666666"/>
          <w:sz w:val="18"/>
        </w:rPr>
        <w:t>Yang L et al.  ·  J Clin Hypertens (Greenwich)  ·  Sept. 2026  ·  PMID 42730543</w:t>
      </w:r>
    </w:p>
    <w:p>
      <w:r>
        <w:t>Querschnittsstudie an 3.354 chinesischen Erwachsenen (18–80 Jahre) untersuchte, ob Pulsdruckanalyse-Parameter (SEVR, Augmentationsdruck, Augmentationsindex) mit dem 10-Jahres-ASCVD-Risiko assoziiert sind.</w:t>
      </w:r>
    </w:p>
    <w:p>
      <w:r>
        <w:rPr>
          <w:b/>
        </w:rPr>
        <w:t xml:space="preserve">Ergebnis: </w:t>
      </w:r>
      <w:r>
        <w:t>SEVR, AP und Aix@75 korrelierten unabhängig mit geschätztem 10-Jahres-ASCVD-Risiko (alle p&lt;0,001). Das Modell erklärte zusätzliche Varianz über traditionelle Risikofaktoren hinaus. Funktionale hämodynamische Marker könnten Risikoschichtung in der Praxis verbessern.</w:t>
      </w:r>
    </w:p>
    <w:p>
      <w:r>
        <w:rPr>
          <w:b/>
          <w:sz w:val="19"/>
        </w:rPr>
        <w:t xml:space="preserve">Übertragbarkeit: </w:t>
      </w:r>
      <w:r>
        <w:rPr>
          <w:sz w:val="19"/>
        </w:rPr>
        <w:t>Chinesische Bevölkerungsdaten; Validierung in europäischen Kohorten notwendig vor Übernahme</w:t>
      </w:r>
    </w:p>
    <w:p>
      <w:r>
        <w:rPr>
          <w:color w:val="5A7D3A"/>
          <w:sz w:val="18"/>
        </w:rPr>
        <w:t>https://pubmed.ncbi.nlm.nih.gov/42730543/</w:t>
      </w:r>
    </w:p>
    <w:p>
      <w:pPr>
        <w:pStyle w:val="Heading2"/>
      </w:pPr>
      <w:r>
        <w:t>Regulierung kognitiver Kompetenz älterer Ärzte: Versorgungspolitische Analyse G7-Länder</w:t>
      </w:r>
    </w:p>
    <w:p>
      <w:r>
        <w:rPr>
          <w:i/>
          <w:color w:val="666666"/>
          <w:sz w:val="18"/>
        </w:rPr>
        <w:t>Potter M et al.  ·  JAMA Health Forum  ·  04.09.2026  ·  PMID 42726493</w:t>
      </w:r>
    </w:p>
    <w:p>
      <w:r>
        <w:t>Vergleichende Analyse von Regulierungsrichtlinien für altersbedingte kognitive Beeinträchtigung bei Ärzten in USA, Kanada und fünf anderen G7-Ländern.</w:t>
      </w:r>
    </w:p>
    <w:p>
      <w:r>
        <w:rPr>
          <w:b/>
        </w:rPr>
        <w:t xml:space="preserve">Ergebnis: </w:t>
      </w:r>
      <w:r>
        <w:t>Kein G7-Land hat standardisierte nationale Verfahren zur kognitiven Screening älterer Ärzte. Meisten Länder verlassen sich auf Selbstregulation und kollegiale Aufsicht. Ausnahmen in USA mit einzelnen Gesundheitssystemen mit obligatorischen altersabhängigen kognitiven Bewertungen. Im Kontrast: Richter, Piloten und Flugsicherung in allen G7-Ländern haben Altersgrenzen oder verpflichtende Tests. Keine empirischen Standards etabliert.</w:t>
      </w:r>
    </w:p>
    <w:p>
      <w:r>
        <w:rPr>
          <w:b/>
          <w:sz w:val="19"/>
        </w:rPr>
        <w:t xml:space="preserve">Übertragbarkeit: </w:t>
      </w:r>
      <w:r>
        <w:rPr>
          <w:sz w:val="19"/>
        </w:rPr>
        <w:t>Alle G7-Länder untersucht; direkt auf Deutschland übertragbar</w:t>
      </w:r>
    </w:p>
    <w:p>
      <w:r>
        <w:rPr>
          <w:color w:val="5A7D3A"/>
          <w:sz w:val="18"/>
        </w:rPr>
        <w:t>https://pubmed.ncbi.nlm.nih.gov/42726493/</w:t>
      </w:r>
    </w:p>
    <w:p>
      <w:pPr>
        <w:pStyle w:val="Heading2"/>
      </w:pPr>
      <w:r>
        <w:t>Blutdruckveränderungen in der Menopause: vergleichbare Muster zwischen Industrieländern und traditionellen Gesellschaften</w:t>
      </w:r>
    </w:p>
    <w:p>
      <w:r>
        <w:rPr>
          <w:i/>
          <w:color w:val="666666"/>
          <w:sz w:val="18"/>
        </w:rPr>
        <w:t>Getz MJ et al.  ·  Am J Biol Anthropol  ·  Juli 2026  ·  PMID 42482412</w:t>
      </w:r>
    </w:p>
    <w:p>
      <w:r>
        <w:t>Vergleich von Blutdrucktrends rund um die Menopause bei 5.570 Tsimane-Frauen (Bolivien) mit 6.861 US-Frauen aus NHANES.</w:t>
      </w:r>
    </w:p>
    <w:p>
      <w:r>
        <w:rPr>
          <w:b/>
        </w:rPr>
        <w:t xml:space="preserve">Ergebnis: </w:t>
      </w:r>
      <w:r>
        <w:t>Systolischer Blutdruck nach Menopause erhöht sich in beiden Populationen ähnlich (b=0,002, p&lt;0,001). Tsimane-Frauen zeigten schnelleren Anstieg mit Alter und weniger dramatischen diastolischen Rückgang. Östrogenkonzentrationen mediierten Effekte nicht. Blutdruckveränderungen in der Menopause sind trotz unterschiedlicher Risikoprofile universal.</w:t>
      </w:r>
    </w:p>
    <w:p>
      <w:r>
        <w:rPr>
          <w:b/>
          <w:sz w:val="19"/>
        </w:rPr>
        <w:t xml:space="preserve">Übertragbarkeit: </w:t>
      </w:r>
      <w:r>
        <w:rPr>
          <w:sz w:val="19"/>
        </w:rPr>
        <w:t>USA und Südamerika, aber universales biologisches Phänomen; epidemiologische Unterschiede relevant</w:t>
      </w:r>
    </w:p>
    <w:p>
      <w:r>
        <w:rPr>
          <w:color w:val="5A7D3A"/>
          <w:sz w:val="18"/>
        </w:rPr>
        <w:t>https://pubmed.ncbi.nlm.nih.gov/42482412/</w:t>
      </w:r>
    </w:p>
    <w:p>
      <w:pPr>
        <w:pStyle w:val="Heading2"/>
      </w:pPr>
      <w:r>
        <w:t>Auditorische Codierung mit Altern: Cochleäre Synaptopathie führt zu Diskriminationsverlust bei Hörstörung</w:t>
      </w:r>
    </w:p>
    <w:p>
      <w:r>
        <w:rPr>
          <w:i/>
          <w:color w:val="666666"/>
          <w:sz w:val="18"/>
        </w:rPr>
        <w:t>Wouters M et al.  ·  Hear Res  ·  18.07.2026  ·  PMID 42475780</w:t>
      </w:r>
    </w:p>
    <w:p>
      <w:r>
        <w:t>EEG-Studie an jüngeren und älteren Erwachsenen mit und ohne Hörstörung untersucht Phonem-Diskrimination und elektrophysiologische Marker der peripheren Codierung (Envelope-Following Responses).</w:t>
      </w:r>
    </w:p>
    <w:p>
      <w:r>
        <w:rPr>
          <w:b/>
        </w:rPr>
        <w:t xml:space="preserve">Ergebnis: </w:t>
      </w:r>
      <w:r>
        <w:t>RAM-EFR-Amplituden nahmen graduell mit Alter ab (konsistent mit Synaptopathie). Phonem-Kontrastdiskrimination verschlechterte sich bei hochfrequenter Codierung mit OHC-Verlust und Alter (p&lt;0,05), nicht aber bei niederfrequenter Codierung. EFR-Rückgang bei hochfrequenten Hinweisen ohne Wahrnehmungsverlust erklärt divergente Muster zwischen Elektrophysiologie und Verhalten. Frühere Diagnose versteckter Hörverluste möglich.</w:t>
      </w:r>
    </w:p>
    <w:p>
      <w:r>
        <w:rPr>
          <w:b/>
          <w:sz w:val="19"/>
        </w:rPr>
        <w:t xml:space="preserve">Übertragbarkeit: </w:t>
      </w:r>
      <w:r>
        <w:rPr>
          <w:sz w:val="19"/>
        </w:rPr>
        <w:t>Belgien und Deutschland; validierte psychophysiologische Methoden übertragbar</w:t>
      </w:r>
    </w:p>
    <w:p>
      <w:r>
        <w:rPr>
          <w:color w:val="5A7D3A"/>
          <w:sz w:val="18"/>
        </w:rPr>
        <w:t>https://pubmed.ncbi.nlm.nih.gov/42475780/</w:t>
      </w:r>
    </w:p>
    <w:p>
      <w:pPr>
        <w:pStyle w:val="Heading2"/>
      </w:pPr>
      <w:r>
        <w:t>Netzhautalterung: OCT-Biomarker zeigen oxidativen Stress in der Makula älterer Menschen</w:t>
      </w:r>
    </w:p>
    <w:p>
      <w:r>
        <w:rPr>
          <w:i/>
          <w:color w:val="666666"/>
          <w:sz w:val="18"/>
        </w:rPr>
        <w:t>Berkowitz BA et al.  ·  Invest Ophthalmol Vis Sci  ·  01.07.2026  ·  PMID 42474423</w:t>
      </w:r>
    </w:p>
    <w:p>
      <w:r>
        <w:t>Querschnittsstudie bei 25 jungen (20–30 Jahre) und 13 älteren (70–90 Jahre) Erwachsenen verglich OCT-basierte Metabolismus-Biomarker (ELM-RPE-Dicke, Band-2-Profilform) als Proxy für Retina-Alterung.</w:t>
      </w:r>
    </w:p>
    <w:p>
      <w:r>
        <w:rPr>
          <w:b/>
        </w:rPr>
        <w:t xml:space="preserve">Ergebnis: </w:t>
      </w:r>
      <w:r>
        <w:t>Ältere Erwachsene zeigten ELM-RPE-Kontraktion in Fovea und Parafovea (konsistent mit oxidativem Stress und verzögerter Dunkeladaptation aus vorherigen Studien). Band-2-Profilform unterschied sich nicht zwischen Altersgruppen. ELM-RPE-Kontraktion ist konsistent mit subretinalem oxidativen Stress und gestörter Retinoid-Signalisierung. Translationaler Ansatz OCT-Biomarker könnte nicht-invasive Überwachung der Netzhautalterung ermöglichen.</w:t>
      </w:r>
    </w:p>
    <w:p>
      <w:r>
        <w:rPr>
          <w:b/>
          <w:sz w:val="19"/>
        </w:rPr>
        <w:t xml:space="preserve">Übertragbarkeit: </w:t>
      </w:r>
      <w:r>
        <w:rPr>
          <w:sz w:val="19"/>
        </w:rPr>
        <w:t>USA; methodisch auf deutsche Augenkliniken übertragbar, aber klinische Validierung notwendig</w:t>
      </w:r>
    </w:p>
    <w:p>
      <w:r>
        <w:rPr>
          <w:color w:val="5A7D3A"/>
          <w:sz w:val="18"/>
        </w:rPr>
        <w:t>https://pubmed.ncbi.nlm.nih.gov/42474423/</w:t>
      </w:r>
    </w:p>
    <w:p>
      <w:pPr>
        <w:pStyle w:val="Heading1"/>
      </w:pPr>
      <w:r>
        <w:t>Aufgenommen am 21.09.2026</w:t>
      </w:r>
    </w:p>
    <w:p>
      <w:pPr>
        <w:pStyle w:val="Heading2"/>
      </w:pPr>
      <w:r>
        <w:t>Hörtechnik und Lebensqualität im höheren Alter nach Cochlea-Implantat</w:t>
      </w:r>
    </w:p>
    <w:p>
      <w:r>
        <w:rPr>
          <w:i/>
          <w:color w:val="666666"/>
          <w:sz w:val="18"/>
        </w:rPr>
        <w:t>Deniz H  ·  J Am Acad Audiol  ·  01.07.2026  ·  PMID 42763618</w:t>
      </w:r>
    </w:p>
    <w:p>
      <w:r>
        <w:t>Vergleichsstudie jüngerer (40–59 J.) und älterer (≥60 J.) Patienten mit Cochlea-Implantaten zu Hörtauglichkeit und Lebensqualität.</w:t>
      </w:r>
    </w:p>
    <w:p>
      <w:r>
        <w:rPr>
          <w:b/>
        </w:rPr>
        <w:t xml:space="preserve">Ergebnis: </w:t>
      </w:r>
      <w:r>
        <w:t>Ältere Patienten zeigten signifikant schlechtere Hörtests (p&lt;0,05) und niedrigere Werte in allen WHOQOL-BREF-Dimensionen (p&lt;0,05); keine Unterschiede in Depression (p=0,198). Depressionsebenen unterschieden sich nicht, was darauf hindeutet, dass psychische Anpassung dem Hörverlust voraus ist.</w:t>
      </w:r>
    </w:p>
    <w:p>
      <w:r>
        <w:rPr>
          <w:b/>
          <w:sz w:val="19"/>
        </w:rPr>
        <w:t xml:space="preserve">Übertragbarkeit: </w:t>
      </w:r>
      <w:r>
        <w:rPr>
          <w:sz w:val="19"/>
        </w:rPr>
        <w:t>Türkei – vergleichbares Audiologen-System, aber Implantationsrichtlinien können regional variieren; Versorgungsansatz übertragbar.</w:t>
      </w:r>
    </w:p>
    <w:p>
      <w:r>
        <w:rPr>
          <w:color w:val="5A7D3A"/>
          <w:sz w:val="18"/>
        </w:rPr>
        <w:t>https://pubmed.ncbi.nlm.nih.gov/42763618/</w:t>
      </w:r>
    </w:p>
    <w:p>
      <w:pPr>
        <w:pStyle w:val="Heading2"/>
      </w:pPr>
      <w:r>
        <w:t>Frailty bei Kindern mit chronischer Nierenerkrankung – Reversibilität als klinisches Fenster</w:t>
      </w:r>
    </w:p>
    <w:p>
      <w:r>
        <w:rPr>
          <w:i/>
          <w:color w:val="666666"/>
          <w:sz w:val="18"/>
        </w:rPr>
        <w:t>Chan EY et al.  ·  Kidney Int  ·  Okt. 2026  ·  PMID 42760017</w:t>
      </w:r>
    </w:p>
    <w:p>
      <w:r>
        <w:t>Kommentar zur Unterscheidung pädiatrischer Frailty von adulter Gebrechlichkeit und zum Potenzial, durch frühe Erkennung und multidisziplinäre Intervention die Entwicklung wiederherzustellen.</w:t>
      </w:r>
    </w:p>
    <w:p>
      <w:r>
        <w:rPr>
          <w:b/>
        </w:rPr>
        <w:t xml:space="preserve">Ergebnis: </w:t>
      </w:r>
      <w:r>
        <w:t>Im Gegensatz zu Erwachsenen kann Frailty bei Kindern mit chronischer Nierenerkrankung reversibel sein und sollte als Verlust von Entwicklungspotenzial statt Funktionsverlust verstanden werden. Frühe standardisierte Screening und Intervention können Wachstum und Resilienz wiederherstellen.</w:t>
      </w:r>
    </w:p>
    <w:p>
      <w:r>
        <w:rPr>
          <w:b/>
          <w:sz w:val="19"/>
        </w:rPr>
        <w:t xml:space="preserve">Übertragbarkeit: </w:t>
      </w:r>
      <w:r>
        <w:rPr>
          <w:sz w:val="19"/>
        </w:rPr>
        <w:t>Grundlegende Konzepte übertragbar; Altersadaptation notwendig – deutsche Pädiatrie und Nephrologie relevant.</w:t>
      </w:r>
    </w:p>
    <w:p>
      <w:r>
        <w:rPr>
          <w:color w:val="5A7D3A"/>
          <w:sz w:val="18"/>
        </w:rPr>
        <w:t>https://pubmed.ncbi.nlm.nih.gov/42760017/</w:t>
      </w:r>
    </w:p>
    <w:p>
      <w:pPr>
        <w:pStyle w:val="Heading2"/>
      </w:pPr>
      <w:r>
        <w:t>Selbstmitgefühl und Selbstwirksamkeit als Prädiktoren für Gesundheitsverhalten und Lebensqualität im Alter</w:t>
      </w:r>
    </w:p>
    <w:p>
      <w:r>
        <w:rPr>
          <w:i/>
          <w:color w:val="666666"/>
          <w:sz w:val="18"/>
        </w:rPr>
        <w:t>Alaca N et al.  ·  PLoS One  ·  16.09.2026  ·  PMID 42748085</w:t>
      </w:r>
    </w:p>
    <w:p>
      <w:r>
        <w:t>Querschnittstudie an 179 älteren Türken (≥65 J.) zu Assoziationen von Selbstmitgefühl, Selbstwirksamkeit mit Schmerz, Bewegungsachtsamkeit, Gesundheitsverhalten und Lebensqualität.</w:t>
      </w:r>
    </w:p>
    <w:p>
      <w:r>
        <w:rPr>
          <w:b/>
        </w:rPr>
        <w:t xml:space="preserve">Ergebnis: </w:t>
      </w:r>
      <w:r>
        <w:t>Selbstwirksamkeit sagte konsistent über alle Ergebnisse voraus: Im finalen Modell für Lebensqualität (R²=0,614) waren Selbstwirksamkeit (β=0,340), Schmerz (β=−0,346), Gesundheitsverantwortung (β=0,328) signifikant. Selbstmitgefühl war stärkster Prädiktor für Ernährung (β=0,436), Bewegungsachtsamkeit für Stressabbau (β=0,300).</w:t>
      </w:r>
    </w:p>
    <w:p>
      <w:r>
        <w:rPr>
          <w:b/>
          <w:sz w:val="19"/>
        </w:rPr>
        <w:t xml:space="preserve">Übertragbarkeit: </w:t>
      </w:r>
      <w:r>
        <w:rPr>
          <w:sz w:val="19"/>
        </w:rPr>
        <w:t>Türkei – Kultur und Versorgungsstruktur unterscheiden sich von Deutschland; psychosoziale Faktoren sind universell.</w:t>
      </w:r>
    </w:p>
    <w:p>
      <w:r>
        <w:rPr>
          <w:color w:val="5A7D3A"/>
          <w:sz w:val="18"/>
        </w:rPr>
        <w:t>https://pubmed.ncbi.nlm.nih.gov/42748085/</w:t>
      </w:r>
    </w:p>
    <w:p>
      <w:pPr>
        <w:pStyle w:val="Heading2"/>
      </w:pPr>
      <w:r>
        <w:t>Frailty-Dynamik und Herzinfarktrisiko bei älteren Diabetikern</w:t>
      </w:r>
    </w:p>
    <w:p>
      <w:r>
        <w:rPr>
          <w:i/>
          <w:color w:val="666666"/>
          <w:sz w:val="18"/>
        </w:rPr>
        <w:t>Li Y et al.  ·  Zhonghua Yu Fang Yi Xue Za Zhi  ·  06.09.2026  ·  PMID 42736150</w:t>
      </w:r>
    </w:p>
    <w:p>
      <w:r>
        <w:t>Zwei-Kohorten-Studie (China, England) zur Assoziation von Frailty-Übergängen mit kardiovaskulärem Risiko bei älteren Menschen mit Diabetes.</w:t>
      </w:r>
    </w:p>
    <w:p>
      <w:r>
        <w:rPr>
          <w:b/>
        </w:rPr>
        <w:t xml:space="preserve">Ergebnis: </w:t>
      </w:r>
      <w:r>
        <w:t>Im Vergleich zur Gruppe "robust→robust" zeigten "präfrail→frail" (HR 2,04; 95%CI 1,66–2,51) und "frail→frail" (HR 2,03; 95%CI 1,63–2,53) signifikant erhöhte Herzinfarktrisiken (p&lt;0,001). Assoziationen blieben unter Konkurrenzrisiko-Modellen robust. Frailty-Verschlechterung war unabhängig von Altersgruppe prädiktiv.</w:t>
      </w:r>
    </w:p>
    <w:p>
      <w:r>
        <w:rPr>
          <w:b/>
          <w:sz w:val="19"/>
        </w:rPr>
        <w:t xml:space="preserve">Übertragbarkeit: </w:t>
      </w:r>
      <w:r>
        <w:rPr>
          <w:sz w:val="19"/>
        </w:rPr>
        <w:t>Zwei-Länder-Meta-Analyse (China, UK), aber Diabetes-Prävalenz und Management unterscheiden sich; Frailty-Messung ist system-übertragbar.</w:t>
      </w:r>
    </w:p>
    <w:p>
      <w:r>
        <w:rPr>
          <w:color w:val="5A7D3A"/>
          <w:sz w:val="18"/>
        </w:rPr>
        <w:t>https://pubmed.ncbi.nlm.nih.gov/42736150/</w:t>
      </w:r>
    </w:p>
    <w:p>
      <w:pPr>
        <w:pStyle w:val="Heading2"/>
      </w:pPr>
      <w:r>
        <w:t>Immunseneszenz modifiziert strahleninduzierte Antitumorimmunität im älteren Alter</w:t>
      </w:r>
    </w:p>
    <w:p>
      <w:r>
        <w:rPr>
          <w:i/>
          <w:color w:val="666666"/>
          <w:sz w:val="18"/>
        </w:rPr>
        <w:t>Arnold CR et al.  ·  Front Immunol  ·  10.07.2026  ·  PMID 42500670</w:t>
      </w:r>
    </w:p>
    <w:p>
      <w:r>
        <w:t>Narrative Übersicht zur Rolle von Immunseneszenz bei der Abschwächung strahleninduzierter Anti-Tumor-Effekte im höheren Alter.</w:t>
      </w:r>
    </w:p>
    <w:p>
      <w:r>
        <w:rPr>
          <w:b/>
        </w:rPr>
        <w:t xml:space="preserve">Ergebnis: </w:t>
      </w:r>
      <w:r>
        <w:t>Immunseneszenz – charakterisiert durch reduzierte T-Zell-Responsivität, chronische Entzündung und schlechtere Koordination zwischen Immuneffektoren – vermindert wahrscheinlich die Anti-Tumor-Potenz der Strahlentherapie bei älteren Patienten. Die Autoren betonen, dass Biomarker der Immunseneszenz in die Therapieplanung integriert werden sollten.</w:t>
      </w:r>
    </w:p>
    <w:p>
      <w:r>
        <w:rPr>
          <w:b/>
          <w:sz w:val="19"/>
        </w:rPr>
        <w:t xml:space="preserve">Übertragbarkeit: </w:t>
      </w:r>
      <w:r>
        <w:rPr>
          <w:sz w:val="19"/>
        </w:rPr>
        <w:t>Europäische Perspektive (Austria, Germany); Immunseneszenz ist universell, aber Therapiezugang variiert mit Gesundheitssystem.</w:t>
      </w:r>
    </w:p>
    <w:p>
      <w:r>
        <w:rPr>
          <w:color w:val="5A7D3A"/>
          <w:sz w:val="18"/>
        </w:rPr>
        <w:t>https://pubmed.ncbi.nlm.nih.gov/42500670/</w:t>
      </w:r>
    </w:p>
    <w:p>
      <w:pPr>
        <w:pStyle w:val="Heading2"/>
      </w:pPr>
      <w:r>
        <w:t>Wachstumsmindset und Ausdauer als psychologische Ressourcen im Alter – soziale Muster in England</w:t>
      </w:r>
    </w:p>
    <w:p>
      <w:r>
        <w:rPr>
          <w:i/>
          <w:color w:val="666666"/>
          <w:sz w:val="18"/>
        </w:rPr>
        <w:t>Zaninotto P et al.  ·  J Gerontol B Psychol Sci Soc Sci  ·  04.09.2026  ·  PMID 42438156</w:t>
      </w:r>
    </w:p>
    <w:p>
      <w:r>
        <w:t>Analyse von Proxy-Indikatoren für Wachstumsmindset und Ausdauer (Grit) in der English Longitudinal Study of Ageing (n≥6000) zu Verteilung nach Alter, Sozioökonomie und Gesundheit.</w:t>
      </w:r>
    </w:p>
    <w:p>
      <w:r>
        <w:rPr>
          <w:b/>
        </w:rPr>
        <w:t xml:space="preserve">Ergebnis: </w:t>
      </w:r>
      <w:r>
        <w:t>Älteres Alter war mit niedrigerem Wachstumsmindset assoziiert, besonders in Bildungs- und Überzeugungsdomänen. Höhere Bildung, Beschäftigung und Vermögen waren mit günstigeren Profilen assoziiert. Einsamkeit und chronische Krankheit waren konsistent mit ungünstigeren Profilen verbunden; die Effekte waren domänenspezifisch, nicht universal.</w:t>
      </w:r>
    </w:p>
    <w:p>
      <w:r>
        <w:rPr>
          <w:b/>
          <w:sz w:val="19"/>
        </w:rPr>
        <w:t xml:space="preserve">Übertragbarkeit: </w:t>
      </w:r>
      <w:r>
        <w:rPr>
          <w:sz w:val="19"/>
        </w:rPr>
        <w:t>England – englischsprachige Gesellschaft, aber Sozialstruktur und Sicherungssystem unterscheiden; psychologische Konstrukte sind übertragbar.</w:t>
      </w:r>
    </w:p>
    <w:p>
      <w:r>
        <w:rPr>
          <w:color w:val="5A7D3A"/>
          <w:sz w:val="18"/>
        </w:rPr>
        <w:t>https://pubmed.ncbi.nlm.nih.gov/42438156/</w:t>
      </w:r>
    </w:p>
    <w:p>
      <w:pPr>
        <w:pStyle w:val="Heading2"/>
      </w:pPr>
      <w:r>
        <w:t>Xanthophyll-Carotenoid-Aufnahme und Netzhautgesundheit im Alter und Makuladegeneration</w:t>
      </w:r>
    </w:p>
    <w:p>
      <w:r>
        <w:rPr>
          <w:i/>
          <w:color w:val="666666"/>
          <w:sz w:val="18"/>
        </w:rPr>
        <w:t>Curcio CA et al.  ·  Invest Ophthalmol Vis Sci  ·  01.07.2026  ·  PMID 42411867</w:t>
      </w:r>
    </w:p>
    <w:p>
      <w:r>
        <w:t>Querschnittstudie an 369 Personen (≥63 J.) zur Assoziation von Lutein- und Zeaxanthin-Aufnahme (Diät + Supplemente), Plasmaspiegel und retinaler Pigmentdichte mit Alter und altersbedingter Makuladegeneration.</w:t>
      </w:r>
    </w:p>
    <w:p>
      <w:r>
        <w:rPr>
          <w:b/>
        </w:rPr>
        <w:t xml:space="preserve">Ergebnis: </w:t>
      </w:r>
      <w:r>
        <w:t>Zwischen Plasmaspiegel und macularem Pigment-Optischem-Volumen (MPOV) zeigten sich starke Korrelationen (r=0,41–0,67, p&lt;0,01). Patienten mit intermediärer AMD hatten höhere Supplementnutzung (56% vs. 10%), höhere Gesamtaufnahme (11,0±8,3 vs. 5,3±6,4 mg/d, p&lt;0,01) und MPOV (1,33±0,61 vs. 1,04±0,46). Diätaufnahme unterschied sich nicht zwischen Gruppen.</w:t>
      </w:r>
    </w:p>
    <w:p>
      <w:r>
        <w:rPr>
          <w:b/>
          <w:sz w:val="19"/>
        </w:rPr>
        <w:t xml:space="preserve">Übertragbarkeit: </w:t>
      </w:r>
      <w:r>
        <w:rPr>
          <w:sz w:val="19"/>
        </w:rPr>
        <w:t>USA – Nahrungsverfügbarkeit und Supplementierungskultur unterscheiden; aber Optik und Physiologie sind universal.</w:t>
      </w:r>
    </w:p>
    <w:p>
      <w:r>
        <w:rPr>
          <w:color w:val="5A7D3A"/>
          <w:sz w:val="18"/>
        </w:rPr>
        <w:t>https://pubmed.ncbi.nlm.nih.gov/42411867/</w:t>
      </w:r>
    </w:p>
    <w:p>
      <w:pPr>
        <w:pStyle w:val="Heading1"/>
      </w:pPr>
      <w:r>
        <w:t>Aufgenommen am 20.09.2026</w:t>
      </w:r>
    </w:p>
    <w:p>
      <w:pPr>
        <w:pStyle w:val="Heading2"/>
      </w:pPr>
      <w:r>
        <w:t>Exergaming mit Widerstandstraining verbessert Selbstwirksamkeit und Aktivität bei kognitiver Gebrechlichkeit</w:t>
      </w:r>
    </w:p>
    <w:p>
      <w:r>
        <w:rPr>
          <w:i/>
          <w:color w:val="666666"/>
          <w:sz w:val="18"/>
        </w:rPr>
        <w:t>Ning H et al.  ·  Zhong Nan Da Xue Xue Bao Yi Xue Ban  ·  28.07.2026  ·  PMID 42763302</w:t>
      </w:r>
    </w:p>
    <w:p>
      <w:r>
        <w:t>Randomisierte Studie zu 12-wöchigem Exergaming mit Elastikband-Training bei 79 älteren Erwachsenen mit kognitiver Frailty zur Verbesserung von Selbstwirksamkeit und körperlicher Aktivität.</w:t>
      </w:r>
    </w:p>
    <w:p>
      <w:r>
        <w:rPr>
          <w:b/>
        </w:rPr>
        <w:t xml:space="preserve">Ergebnis: </w:t>
      </w:r>
      <w:r>
        <w:t>Interventionsgruppe zeigte signifikant höhere Verbesserungen bei IPAQ-SF-Scores (MD=586,1 MET-min/Woche, 95%-KI 454,5–717,7) und Selbsteffektivität (MD=3,3, 95%-KI 2,4–4,2) vs. Kontrolle (beide p&lt;0,001). Trainingsadhärenz 86,5%. Qualitative Analyse identifizierte erhöhte Trainierbarkeit, positive Gesundheitswahrnehmung und verbesserte Sozialinteraktion.</w:t>
      </w:r>
    </w:p>
    <w:p>
      <w:r>
        <w:rPr>
          <w:b/>
          <w:sz w:val="19"/>
        </w:rPr>
        <w:t xml:space="preserve">Übertragbarkeit: </w:t>
      </w:r>
      <w:r>
        <w:rPr>
          <w:sz w:val="19"/>
        </w:rPr>
        <w:t>Chinesische Primar- und sekundäre Datenquellen; Design auf deutschsprachigen Kontext übertragbar.</w:t>
      </w:r>
    </w:p>
    <w:p>
      <w:r>
        <w:rPr>
          <w:color w:val="5A7D3A"/>
          <w:sz w:val="18"/>
        </w:rPr>
        <w:t>https://pubmed.ncbi.nlm.nih.gov/42763302/</w:t>
      </w:r>
    </w:p>
    <w:p>
      <w:pPr>
        <w:pStyle w:val="Heading2"/>
      </w:pPr>
      <w:r>
        <w:t>Luftfeuchte, Frailty und Schlaganfallrisiko im Alter: 7-Jahres-Kohortenstudie China</w:t>
      </w:r>
    </w:p>
    <w:p>
      <w:r>
        <w:rPr>
          <w:i/>
          <w:color w:val="666666"/>
          <w:sz w:val="18"/>
        </w:rPr>
        <w:t>Zhou Y et al.  ·  Zhong Nan Da Xue Xue Bao Yi Xue Ban  ·  28.07.2026  ·  PMID 42763297</w:t>
      </w:r>
    </w:p>
    <w:p>
      <w:r>
        <w:t>Prospektive Kohortenstudie (CHARLS) mit 19.582 chinesischen Älteren zum Zusammenhang zwischen Umgebungsfeuchte und Schlaganfallrisiko mit Frailty als Mediator.</w:t>
      </w:r>
    </w:p>
    <w:p>
      <w:r>
        <w:rPr>
          <w:b/>
        </w:rPr>
        <w:t xml:space="preserve">Ergebnis: </w:t>
      </w:r>
      <w:r>
        <w:t>Gegenüber niedriger Feuchte: mittlere Feuchte HR=1,119 (95%-KI 1,033–1,213), hohe Feuchte HR=1,279 (95%-KI 1,227–1,331) für neuen Schlaganfall (beide p&lt;0,01). Bei Männern ausgeprägter (hohe Feuchte: HR=1,352, 95%-KI 1,268–1,442). Frailty vermittelte 22,0% der Assoziation. Mediane Nachbeobachtung 7 Jahre, 1.235 Schlaganfälle (6,31%).</w:t>
      </w:r>
    </w:p>
    <w:p>
      <w:r>
        <w:rPr>
          <w:b/>
          <w:sz w:val="19"/>
        </w:rPr>
        <w:t xml:space="preserve">Übertragbarkeit: </w:t>
      </w:r>
      <w:r>
        <w:rPr>
          <w:sz w:val="19"/>
        </w:rPr>
        <w:t>CHARLS-Langzeitdaten aus China; Umwelt-Gebrechlichkeits-Pathomechanismus übertragbar.</w:t>
      </w:r>
    </w:p>
    <w:p>
      <w:r>
        <w:rPr>
          <w:color w:val="5A7D3A"/>
          <w:sz w:val="18"/>
        </w:rPr>
        <w:t>https://pubmed.ncbi.nlm.nih.gov/42763297/</w:t>
      </w:r>
    </w:p>
    <w:p>
      <w:pPr>
        <w:pStyle w:val="Heading2"/>
      </w:pPr>
      <w:r>
        <w:t>Fragmentierte Sedentarität und kardiovaskuläre Sterblichkeit: Gewonnene Lebensjahre durch Bewegungspausen</w:t>
      </w:r>
    </w:p>
    <w:p>
      <w:r>
        <w:rPr>
          <w:i/>
          <w:color w:val="666666"/>
          <w:sz w:val="18"/>
        </w:rPr>
        <w:t>Xing T et al.  ·  Zhong Nan Da Xue Xue Bao Yi Xue Ban  ·  28.07.2026  ·  PMID 42763296</w:t>
      </w:r>
    </w:p>
    <w:p>
      <w:r>
        <w:t>Prospektive Kohorte mit 89.010 UK-Biobank-Teilnehmern zum Zusammenhang zwischen Sedentärdauer/-fragmentierung und Sterblichkeit sowie Lebenserwartung.</w:t>
      </w:r>
    </w:p>
    <w:p>
      <w:r>
        <w:rPr>
          <w:b/>
        </w:rPr>
        <w:t xml:space="preserve">Ergebnis: </w:t>
      </w:r>
      <w:r>
        <w:t>Gegenüber geringster Sedentarität: ≥10 h/Tag Sitzen + wenig Pausen (Breaks &lt;12/Tag) mit HR=1,515 (95%-KI 1,380–1,663) für Gesamtsterblichkeit und HR=1,553 (95%-KI 1,325–1,820) für kardiovaskuläre Mortalität. Häufige Sitzpausen reduzierten Sterblichkeitsrisiko. Lebenserwartungsverlust im Alter 50: -2,77 Jahre (Männer, 95%-KI -3,39 bis -2,15) und -3,11 Jahre (Frauen, 95%-KI -3,79 bis -2,43) an kardiovaskulär-freien Jahren.</w:t>
      </w:r>
    </w:p>
    <w:p>
      <w:r>
        <w:rPr>
          <w:b/>
          <w:sz w:val="19"/>
        </w:rPr>
        <w:t xml:space="preserve">Übertragbarkeit: </w:t>
      </w:r>
      <w:r>
        <w:rPr>
          <w:sz w:val="19"/>
        </w:rPr>
        <w:t>UK-Daten mit wearables gemessen; Befund zur Bewegungsunterbrechung international anwendbar.</w:t>
      </w:r>
    </w:p>
    <w:p>
      <w:r>
        <w:rPr>
          <w:color w:val="5A7D3A"/>
          <w:sz w:val="18"/>
        </w:rPr>
        <w:t>https://pubmed.ncbi.nlm.nih.gov/42763296/</w:t>
      </w:r>
    </w:p>
    <w:p>
      <w:pPr>
        <w:pStyle w:val="Heading2"/>
      </w:pPr>
      <w:r>
        <w:t>Feinstaub und Frailty: PM₂,₅-Komponenten erhöhen Gebrechlichkeitsrisiko im Alter</w:t>
      </w:r>
    </w:p>
    <w:p>
      <w:r>
        <w:rPr>
          <w:i/>
          <w:color w:val="666666"/>
          <w:sz w:val="18"/>
        </w:rPr>
        <w:t>Liu Q et al.  ·  Zhonghua Liu Xing Bing Xue Za Zhi  ·  10.09.2026  ·  PMID 42763185</w:t>
      </w:r>
    </w:p>
    <w:p>
      <w:r>
        <w:t>Querschnittsstudie mit 1.875 älteren Personen in der Jing-Jin-Ji-Region zum Zusammenhang zwischen PM₂,₅-Exposition und Frailty-Index.</w:t>
      </w:r>
    </w:p>
    <w:p>
      <w:r>
        <w:rPr>
          <w:b/>
        </w:rPr>
        <w:t xml:space="preserve">Ergebnis: </w:t>
      </w:r>
      <w:r>
        <w:t>PM₂,₅ bei 90-Tage-Mittelung (lag090 d) assoziiert mit erhöhtem Frailty-Risiko: +1,30% pro IQR-Anstieg (95%-KI 0,29–2,31). Organische Kohlenstoffe (OC): +3,63% (95%-KI 1,17–6,09%), Elementares Kohlenstoff: +0,83% (95%-KI 0,45–1,21%), Kupfer: +1,50% (95%-KI 0,76–2,24%) pro IQR-Anstieg. Keine signifikanten Unterschiede nach Geschlecht, Alter oder Lebensstil.</w:t>
      </w:r>
    </w:p>
    <w:p>
      <w:r>
        <w:rPr>
          <w:b/>
          <w:sz w:val="19"/>
        </w:rPr>
        <w:t xml:space="preserve">Übertragbarkeit: </w:t>
      </w:r>
      <w:r>
        <w:rPr>
          <w:sz w:val="19"/>
        </w:rPr>
        <w:t>Chinesische Luftqualitätsdaten; Umweltbelastung-Gebrechlichkeits-Zusammenhang universal relevant.</w:t>
      </w:r>
    </w:p>
    <w:p>
      <w:r>
        <w:rPr>
          <w:color w:val="5A7D3A"/>
          <w:sz w:val="18"/>
        </w:rPr>
        <w:t>https://pubmed.ncbi.nlm.nih.gov/42763185/</w:t>
      </w:r>
    </w:p>
    <w:p>
      <w:pPr>
        <w:pStyle w:val="Heading2"/>
      </w:pPr>
      <w:r>
        <w:t>Ernährungsqualität und biologisches Alter: Zentrale Adiposität als Vermittler</w:t>
      </w:r>
    </w:p>
    <w:p>
      <w:r>
        <w:rPr>
          <w:i/>
          <w:color w:val="666666"/>
          <w:sz w:val="18"/>
        </w:rPr>
        <w:t>Qian Y  ·  Medicine (Baltimore)  ·  18.09.2026  ·  PMID 42760668</w:t>
      </w:r>
    </w:p>
    <w:p>
      <w:r>
        <w:t>Querschnittsstudie mit 12.511 US-Erwachsenen (≥20 Jahre) aus NHANES 2005–2010 zur Assoziation zwischen Ernährungsqualität und phänotypischer Altersbeschleunigung.</w:t>
      </w:r>
    </w:p>
    <w:p>
      <w:r>
        <w:rPr>
          <w:b/>
        </w:rPr>
        <w:t xml:space="preserve">Ergebnis: </w:t>
      </w:r>
      <w:r>
        <w:t>Pro 1-Punkt-Anstieg Healthy-Eating-Index-2015: OR=0,98 (95%-KI 0,97–0,98, p&lt;0,001) für beschleunigtes biologisches Altern. Waist-to-Height Ratio (WHtR) und Body Roundness Index (BRI) zeigten größte Mediationseffekte (29,23% bzw. 28,90%). Sensitivitätsanalysen bestätigten Robustheit.</w:t>
      </w:r>
    </w:p>
    <w:p>
      <w:r>
        <w:rPr>
          <w:b/>
          <w:sz w:val="19"/>
        </w:rPr>
        <w:t xml:space="preserve">Übertragbarkeit: </w:t>
      </w:r>
      <w:r>
        <w:rPr>
          <w:sz w:val="19"/>
        </w:rPr>
        <w:t>NHANES-Daten USA; Ernährungs-Adipositas-Alterungsweg prinzipiell universal.</w:t>
      </w:r>
    </w:p>
    <w:p>
      <w:r>
        <w:rPr>
          <w:color w:val="5A7D3A"/>
          <w:sz w:val="18"/>
        </w:rPr>
        <w:t>https://pubmed.ncbi.nlm.nih.gov/42760668/</w:t>
      </w:r>
    </w:p>
    <w:p>
      <w:pPr>
        <w:pStyle w:val="Heading2"/>
      </w:pPr>
      <w:r>
        <w:t>Risikofaktoren für Frailty bei älteren Krebspatienten: Systematische Übersicht</w:t>
      </w:r>
    </w:p>
    <w:p>
      <w:r>
        <w:rPr>
          <w:i/>
          <w:color w:val="666666"/>
          <w:sz w:val="18"/>
        </w:rPr>
        <w:t>Shubing F et al.  ·  BMC Geriatr  ·  18.09.2026  ·  PMID 42760535</w:t>
      </w:r>
    </w:p>
    <w:p>
      <w:r>
        <w:t>Systematische Übersicht von 30 Studien (2014–2025) zu Determinanten von Frailty bei älteren Krebspatienten, davon 26 Querschnitts- und 4 prospektive Kohortenstudien.</w:t>
      </w:r>
    </w:p>
    <w:p>
      <w:r>
        <w:rPr>
          <w:b/>
        </w:rPr>
        <w:t xml:space="preserve">Ergebnis: </w:t>
      </w:r>
      <w:r>
        <w:t>Risikofaktoren in 6 Kategorien identifiziert: krankheitsbezogen (Krebsart, fortgeschrittenes Stadium), physiologisch (Mangelernährung, Muskelabbau), psychologisch (Depression, kognitiver Verfall), Lebensstil (Bewegungsmangel), soziodemografisch (Isolation), therapiebedingt (Chemotherapie-Toxizität). Prospektive Evidenz limitiert (n=4 Studien); gefordert: stratifizierte Screening- und Interventionsstrategien.</w:t>
      </w:r>
    </w:p>
    <w:p>
      <w:r>
        <w:rPr>
          <w:b/>
          <w:sz w:val="19"/>
        </w:rPr>
        <w:t xml:space="preserve">Übertragbarkeit: </w:t>
      </w:r>
      <w:r>
        <w:rPr>
          <w:sz w:val="19"/>
        </w:rPr>
        <w:t>Überwiegend Hocheinkommensländer; Frailty-Krebsinteraktion im älteren Alter universell.</w:t>
      </w:r>
    </w:p>
    <w:p>
      <w:r>
        <w:rPr>
          <w:color w:val="5A7D3A"/>
          <w:sz w:val="18"/>
        </w:rPr>
        <w:t>https://pubmed.ncbi.nlm.nih.gov/42760535/</w:t>
      </w:r>
    </w:p>
    <w:p>
      <w:pPr>
        <w:pStyle w:val="Heading2"/>
      </w:pPr>
      <w:r>
        <w:t>Mesenchymale Stammzelltherapie bei Frailty: Systematische Übersicht mit Fokus auf Sicherheit und Mobilität</w:t>
      </w:r>
    </w:p>
    <w:p>
      <w:r>
        <w:rPr>
          <w:i/>
          <w:color w:val="666666"/>
          <w:sz w:val="18"/>
        </w:rPr>
        <w:t>Poutouri E et al.  ·  Int J Mol Sci  ·  25.08.2026  ·  PMID 42737497</w:t>
      </w:r>
    </w:p>
    <w:p>
      <w:r>
        <w:t>Systematische Übersicht von 3 randomisierten Studien (208 Teilnehmer, älter mit Frailty) zu Sicherheit und Wirksamkeit der intravenösen Stammzelltherapie auf funktionale Ergebnisse.</w:t>
      </w:r>
    </w:p>
    <w:p>
      <w:r>
        <w:rPr>
          <w:b/>
        </w:rPr>
        <w:t xml:space="preserve">Ergebnis: </w:t>
      </w:r>
      <w:r>
        <w:t>Keine schwerwiegenden behandlungsbezogenen Nebenwirkungen berichtet. Signale für Verbesserung: 6-Minuten-Gehtest nach 9 Monaten dosisabhängig erhöht; SPPB-, TUG- und Griffkraft-Verbesserungen in einzelnen Studien. Zirkulating pro-inflammatorische Zytokine reduziert, Lebensqualität verbessert. Heterogenität Stammzellquelle, Dosis und Follow-up; größere adequat-gepowerte Studien erforderlich.</w:t>
      </w:r>
    </w:p>
    <w:p>
      <w:r>
        <w:rPr>
          <w:b/>
          <w:sz w:val="19"/>
        </w:rPr>
        <w:t xml:space="preserve">Übertragbarkeit: </w:t>
      </w:r>
      <w:r>
        <w:rPr>
          <w:sz w:val="19"/>
        </w:rPr>
        <w:t>Vereinigte Staaten und Schweiz; Stammzelltherapie-Sicherheitsdaten relevant für prospektive europäische Studien.</w:t>
      </w:r>
    </w:p>
    <w:p>
      <w:r>
        <w:rPr>
          <w:color w:val="5A7D3A"/>
          <w:sz w:val="18"/>
        </w:rPr>
        <w:t>https://pubmed.ncbi.nlm.nih.gov/42737497/</w:t>
      </w:r>
    </w:p>
    <w:p>
      <w:pPr>
        <w:pStyle w:val="Heading1"/>
      </w:pPr>
      <w:r>
        <w:t>Aufgenommen am 19.09.2026</w:t>
      </w:r>
    </w:p>
    <w:p>
      <w:pPr>
        <w:pStyle w:val="Heading2"/>
      </w:pPr>
      <w:r>
        <w:t>Geriatrisches Assessment bei chronischer Nierenkrankheit und Frailty</w:t>
      </w:r>
    </w:p>
    <w:p>
      <w:r>
        <w:rPr>
          <w:i/>
          <w:color w:val="666666"/>
          <w:sz w:val="18"/>
        </w:rPr>
        <w:t>Nixon AC  ·  Kidney Int  ·  Okt. 2026  ·  PMID 42760022</w:t>
      </w:r>
    </w:p>
    <w:p>
      <w:r>
        <w:t>Kommentararbeit zur GOAL-Studie, die überprüfte, ob eine einzige geriatrische Konsultation ältere Patienten mit chronischer Nierenkrankheit und Frailty in ihren Behandlungszielen hilft.</w:t>
      </w:r>
    </w:p>
    <w:p>
      <w:r>
        <w:rPr>
          <w:b/>
        </w:rPr>
        <w:t xml:space="preserve">Ergebnis: </w:t>
      </w:r>
      <w:r>
        <w:t>Die Studie fand keine signifikante Verbesserung der Zielerreichung durch ein Konsultationsmodell. Personenzentrierte Versorgungsmodelle außerhalb von Einzelterminen und fortlaufende Neubewertung erfordern weitere Evaluierung.</w:t>
      </w:r>
    </w:p>
    <w:p>
      <w:r>
        <w:rPr>
          <w:b/>
          <w:sz w:val="19"/>
        </w:rPr>
        <w:t xml:space="preserve">Übertragbarkeit: </w:t>
      </w:r>
      <w:r>
        <w:rPr>
          <w:sz w:val="19"/>
        </w:rPr>
        <w:t>UK-Gesundheitssystem, Design auf europäische Versorgungsstrukturen übertragbar</w:t>
      </w:r>
    </w:p>
    <w:p>
      <w:r>
        <w:rPr>
          <w:color w:val="5A7D3A"/>
          <w:sz w:val="18"/>
        </w:rPr>
        <w:t>https://pubmed.ncbi.nlm.nih.gov/42760022/</w:t>
      </w:r>
    </w:p>
    <w:p>
      <w:pPr>
        <w:pStyle w:val="Heading2"/>
      </w:pPr>
      <w:r>
        <w:t>Verständnis von Frailty bei Kindern mit chronischer Nierenkrankheit</w:t>
      </w:r>
    </w:p>
    <w:p>
      <w:r>
        <w:rPr>
          <w:i/>
          <w:color w:val="666666"/>
          <w:sz w:val="18"/>
        </w:rPr>
        <w:t>Guha C et al.  ·  Kidney Int  ·  Okt. 2026  ·  PMID 42760016</w:t>
      </w:r>
    </w:p>
    <w:p>
      <w:r>
        <w:t>Qualitatives Perspektivwerk auf Frailty im Kindesalter bei chronischer Nierenkrankheit – Interpretation als Verlust von Entwicklungspotenzial statt funktionellem Rückgang im Gegensatz zu Frailty bei Älteren.</w:t>
      </w:r>
    </w:p>
    <w:p>
      <w:r>
        <w:rPr>
          <w:b/>
        </w:rPr>
        <w:t xml:space="preserve">Ergebnis: </w:t>
      </w:r>
      <w:r>
        <w:t>Zentrale Befunde: (1) Frailty bei Kindern ist (anders als bei Älteren) oft reversibel; (2) Frühe Identifikation durch altersgerechte Screening ermöglicht multidisziplinäre Intervention; (3) Kritisches Fenster zur Maximierung von Wachstum, Resilienz und Lebensfunktion in der Kindheit.</w:t>
      </w:r>
    </w:p>
    <w:p>
      <w:r>
        <w:rPr>
          <w:b/>
          <w:sz w:val="19"/>
        </w:rPr>
        <w:t xml:space="preserve">Übertragbarkeit: </w:t>
      </w:r>
      <w:r>
        <w:rPr>
          <w:sz w:val="19"/>
        </w:rPr>
        <w:t>Internationale Perspektive auf Frailty-Definition und Versorgungsmodelle, anwendbar auf deutsches Versorgungssystem</w:t>
      </w:r>
    </w:p>
    <w:p>
      <w:r>
        <w:rPr>
          <w:color w:val="5A7D3A"/>
          <w:sz w:val="18"/>
        </w:rPr>
        <w:t>https://pubmed.ncbi.nlm.nih.gov/42760016/</w:t>
      </w:r>
    </w:p>
    <w:p>
      <w:pPr>
        <w:pStyle w:val="Heading2"/>
      </w:pPr>
      <w:r>
        <w:t>Frailty-Index für Mortalitätsprognose nach Schlaganfall in kritischer Versorgung</w:t>
      </w:r>
    </w:p>
    <w:p>
      <w:r>
        <w:rPr>
          <w:i/>
          <w:color w:val="666666"/>
          <w:sz w:val="18"/>
        </w:rPr>
        <w:t>Gu G et al.  ·  Front Neurol  ·  03.09.2026  ·  PMID 42756253</w:t>
      </w:r>
    </w:p>
    <w:p>
      <w:r>
        <w:t>Verwendung eines laborgestützten Frailty-Index (FI-Lab) zur Vorhersage der 90-Tage-Mortalität nach akutem ischämischen Schlaganfall in der Intensivmedizin mit temporaler Validierung.</w:t>
      </w:r>
    </w:p>
    <w:p>
      <w:r>
        <w:rPr>
          <w:b/>
        </w:rPr>
        <w:t xml:space="preserve">Ergebnis: </w:t>
      </w:r>
      <w:r>
        <w:t>3.186 Patienten beim 24-h-Zeitpunkt (559 Todesfälle): FI-Lab verbesserte AUC von 0,774 auf 0,808 (Differenz 0,034, 95% CI 0,022–0,047; p&lt;0,001) und Brier-Score von 0,162 auf 0,152. Beim 72-h-Punkt: 2.918 Patienten (473 Ereignisse), AUC 0,752 → 0,791 mit FI-Lab.</w:t>
      </w:r>
    </w:p>
    <w:p>
      <w:r>
        <w:rPr>
          <w:b/>
          <w:sz w:val="19"/>
        </w:rPr>
        <w:t xml:space="preserve">Übertragbarkeit: </w:t>
      </w:r>
      <w:r>
        <w:rPr>
          <w:sz w:val="19"/>
        </w:rPr>
        <w:t>MIMIC-IV-Datenbank, generalisierbare ICU-Frailty-Messung, externe Validierung ausstehend</w:t>
      </w:r>
    </w:p>
    <w:p>
      <w:r>
        <w:rPr>
          <w:color w:val="5A7D3A"/>
          <w:sz w:val="18"/>
        </w:rPr>
        <w:t>https://pubmed.ncbi.nlm.nih.gov/42756253/</w:t>
      </w:r>
    </w:p>
    <w:p>
      <w:pPr>
        <w:pStyle w:val="Heading2"/>
      </w:pPr>
      <w:r>
        <w:t>Krankheitslast bei Multipler Sklerose in Italien 1990–2023</w:t>
      </w:r>
    </w:p>
    <w:p>
      <w:r>
        <w:rPr>
          <w:i/>
          <w:color w:val="666666"/>
          <w:sz w:val="18"/>
        </w:rPr>
        <w:t>Brigo F et al.  ·  Mult Scler Relat Disord  ·  28.08.2026  ·  PMID 42664643</w:t>
      </w:r>
    </w:p>
    <w:p>
      <w:r>
        <w:t>Analyse der zeitlichen Trends und regionalen Unterschiede in der Morbidität (Behinderung versus Sterblichkeit) von MS in Italien mittels Global-Burden-of-Disease-Daten.</w:t>
      </w:r>
    </w:p>
    <w:p>
      <w:r>
        <w:rPr>
          <w:b/>
        </w:rPr>
        <w:t xml:space="preserve">Ergebnis: </w:t>
      </w:r>
      <w:r>
        <w:t>MS-Krankheitslast stieg in allen Regionen; Verschiebung von Sterblichkeit zu Behinderung: YLL/YLD-Ratio sank überall, mit steilstem Anstieg in Sardinien und Süd+Sizilien. Höhere DALY-Raten in allen Regionen bei Frauen und Männern.</w:t>
      </w:r>
    </w:p>
    <w:p>
      <w:r>
        <w:rPr>
          <w:b/>
          <w:sz w:val="19"/>
        </w:rPr>
        <w:t xml:space="preserve">Übertragbarkeit: </w:t>
      </w:r>
      <w:r>
        <w:rPr>
          <w:sz w:val="19"/>
        </w:rPr>
        <w:t>Italien, vergleichbares europäisches Gesundheitssystem und Versorgungsinfrastruktur</w:t>
      </w:r>
    </w:p>
    <w:p>
      <w:r>
        <w:rPr>
          <w:color w:val="5A7D3A"/>
          <w:sz w:val="18"/>
        </w:rPr>
        <w:t>https://pubmed.ncbi.nlm.nih.gov/42664643/</w:t>
      </w:r>
    </w:p>
    <w:p>
      <w:pPr>
        <w:pStyle w:val="Heading2"/>
      </w:pPr>
      <w:r>
        <w:t>Geschlechtsspezifische Altersuhren und Stoffwechselveränderungen in Bevölkerungsphenome</w:t>
      </w:r>
    </w:p>
    <w:p>
      <w:r>
        <w:rPr>
          <w:i/>
          <w:color w:val="666666"/>
          <w:sz w:val="18"/>
        </w:rPr>
        <w:t>Li J et al.  ·  Nat Aging  ·  25.08.2026  ·  PMID 42642518</w:t>
      </w:r>
    </w:p>
    <w:p>
      <w:r>
        <w:t>Entwicklung und Validierung von Altersuhren (klinische und biologische Marker) in &gt;100.000 Chinesen (18–98 Jahre) mit Analyse von Geschlechtsunterschieden und modifizierbaren metabolischen Faktoren.</w:t>
      </w:r>
    </w:p>
    <w:p>
      <w:r>
        <w:rPr>
          <w:b/>
        </w:rPr>
        <w:t xml:space="preserve">Ergebnis: </w:t>
      </w:r>
      <w:r>
        <w:t>Divergente Alterungstrajektorien Männer vs. Frauen in mittlerem Alter konvergierten später. Akkumulation von Cholesterin, Triglyzeriden, Glukose, Harnsäure und Tumormalkeuren mit dem Altern. High-Fat-Diet-Reversierung zeigte Modifizierbarkeit metabolischer Belastung.</w:t>
      </w:r>
    </w:p>
    <w:p>
      <w:r>
        <w:rPr>
          <w:b/>
          <w:sz w:val="19"/>
        </w:rPr>
        <w:t xml:space="preserve">Übertragbarkeit: </w:t>
      </w:r>
      <w:r>
        <w:rPr>
          <w:sz w:val="19"/>
        </w:rPr>
        <w:t>China, große Kohorte, metabolische Befunde altersunabhängig übertragbar auf deutsches Setting</w:t>
      </w:r>
    </w:p>
    <w:p>
      <w:r>
        <w:rPr>
          <w:color w:val="5A7D3A"/>
          <w:sz w:val="18"/>
        </w:rPr>
        <w:t>https://pubmed.ncbi.nlm.nih.gov/42642518/</w:t>
      </w:r>
    </w:p>
    <w:p>
      <w:pPr>
        <w:pStyle w:val="Heading2"/>
      </w:pPr>
      <w:r>
        <w:t>Gewonnene Lebensjahre bei zufällig entdecktem Prostatakarzinom</w:t>
      </w:r>
    </w:p>
    <w:p>
      <w:r>
        <w:rPr>
          <w:i/>
          <w:color w:val="666666"/>
          <w:sz w:val="18"/>
        </w:rPr>
        <w:t>Falkenbach F et al.  ·  Prostate  ·  08.07.2026  ·  PMID 42418725</w:t>
      </w:r>
    </w:p>
    <w:p>
      <w:r>
        <w:t>Berechnung der verlorenen Lebensjahre (YLL) bei zufällig entdecktem Prostatakarzinom mittels SEER-Daten 2004–2021 und Vergleich mit bevölkerungsgestützten Überlebensstudien.</w:t>
      </w:r>
    </w:p>
    <w:p>
      <w:r>
        <w:rPr>
          <w:b/>
        </w:rPr>
        <w:t xml:space="preserve">Ergebnis: </w:t>
      </w:r>
      <w:r>
        <w:t>7.324 Patienten; Unterschied zu Bevölkerungskontroll: 0,23 verlorene Jahre (p&lt;0,001). Ohne Behandlung: 0,25 YLL; mit Behandlung: 0,18 YLL. Gleason 8–10 + T1b ohne Therapie: 3,02 YLL; Gleason ≤7 + T1a mit Therapie: keine signifikanten YLL.</w:t>
      </w:r>
    </w:p>
    <w:p>
      <w:r>
        <w:rPr>
          <w:b/>
          <w:sz w:val="19"/>
        </w:rPr>
        <w:t xml:space="preserve">Übertragbarkeit: </w:t>
      </w:r>
      <w:r>
        <w:rPr>
          <w:sz w:val="19"/>
        </w:rPr>
        <w:t>USA, SEER-Register, Unterschiede in Lebenserwartung und Behandlungsindikationen beachten</w:t>
      </w:r>
    </w:p>
    <w:p>
      <w:r>
        <w:rPr>
          <w:color w:val="5A7D3A"/>
          <w:sz w:val="18"/>
        </w:rPr>
        <w:t>https://pubmed.ncbi.nlm.nih.gov/42418725/</w:t>
      </w:r>
    </w:p>
    <w:p>
      <w:pPr>
        <w:pStyle w:val="Heading1"/>
      </w:pPr>
      <w:r>
        <w:t>Aufgenommen am 18.09.2026</w:t>
      </w:r>
    </w:p>
    <w:p>
      <w:pPr>
        <w:pStyle w:val="Heading2"/>
      </w:pPr>
      <w:r>
        <w:t>Kontrolltheorie des Alterns beschreibt sichere Dosierung und Sequenzierung geriatrischer Interventionen</w:t>
      </w:r>
    </w:p>
    <w:p>
      <w:r>
        <w:rPr>
          <w:i/>
          <w:color w:val="666666"/>
          <w:sz w:val="18"/>
        </w:rPr>
        <w:t>Zhavoronkov A et al.  ·  Aging (Albany NY)  ·  16.09.2026  ·  PMID 42754269</w:t>
      </w:r>
    </w:p>
    <w:p>
      <w:r>
        <w:t>Theoriearbeit entwickelt kontrolltheoretisches Rahmenwerk, das Altern als Verlust sicherer Kontrollierbarkeit definiert und präskriptive Dosierungs- und Sequenzierungsprotokolle für Geroprotektoren vorhersagt.</w:t>
      </w:r>
    </w:p>
    <w:p>
      <w:r>
        <w:rPr>
          <w:b/>
        </w:rPr>
        <w:t xml:space="preserve">Ergebnis: </w:t>
      </w:r>
      <w:r>
        <w:t>Biologisches Alter = minimale sichere Kontrollkosten für funktionale Wiederherstellung. Lie-Bracket-Analyse von 5-ODE-Modell zeigt Interventionsreihenfolge entscheidend. 20 falsfizierbare Vorhersagen; Kontrollwert-Reduktion prognostiziert translationalen Erfolg besser als Biomarker-Umkehr.</w:t>
      </w:r>
    </w:p>
    <w:p>
      <w:r>
        <w:rPr>
          <w:b/>
          <w:sz w:val="19"/>
        </w:rPr>
        <w:t xml:space="preserve">Übertragbarkeit: </w:t>
      </w:r>
      <w:r>
        <w:rPr>
          <w:sz w:val="19"/>
        </w:rPr>
        <w:t>Konzeptuelle, nicht-empirische Arbeit; Übertragbarkeit hängt von Validierung in Patientenkohorten ab</w:t>
      </w:r>
    </w:p>
    <w:p>
      <w:r>
        <w:rPr>
          <w:color w:val="5A7D3A"/>
          <w:sz w:val="18"/>
        </w:rPr>
        <w:t>https://pubmed.ncbi.nlm.nih.gov/42754269/</w:t>
      </w:r>
    </w:p>
    <w:p>
      <w:pPr>
        <w:pStyle w:val="Heading2"/>
      </w:pPr>
      <w:r>
        <w:t>Computer- und Smartphone-Nutzung reduzieren Frailty bei älteren Erwachsenen</w:t>
      </w:r>
    </w:p>
    <w:p>
      <w:r>
        <w:rPr>
          <w:i/>
          <w:color w:val="666666"/>
          <w:sz w:val="18"/>
        </w:rPr>
        <w:t>Hori N et al.  ·  Geriatr Gerontol Int  ·  Sept. 2026  ·  PMID 42753144</w:t>
      </w:r>
    </w:p>
    <w:p>
      <w:r>
        <w:t>Querschnittsstudie untersuchte, ob Gesundheitsinformationen über Computer und Smartphone mit Frailty assoziiert sind, gemessen durch Mediation über Health Literacy bei 451 älteren Menschen.</w:t>
      </w:r>
    </w:p>
    <w:p>
      <w:r>
        <w:rPr>
          <w:b/>
        </w:rPr>
        <w:t xml:space="preserve">Ergebnis: </w:t>
      </w:r>
      <w:r>
        <w:t>33,8 % nutzten Computer/Smartphone für Gesundheitsinformation. Frailty-Prävalenz 3,5 %. Mediation über Health Literacy signifikant: β = 0,323 (95%-KI: 0,084–0,698). Keine Assoziation mit nur Robustness vs. Präfrailty.</w:t>
      </w:r>
    </w:p>
    <w:p>
      <w:r>
        <w:rPr>
          <w:b/>
          <w:sz w:val="19"/>
        </w:rPr>
        <w:t xml:space="preserve">Übertragbarkeit: </w:t>
      </w:r>
      <w:r>
        <w:rPr>
          <w:sz w:val="19"/>
        </w:rPr>
        <w:t>Japan, vergleichbar mit deutschem Gesundheitswesen; einfacher Screening-Tool</w:t>
      </w:r>
    </w:p>
    <w:p>
      <w:r>
        <w:rPr>
          <w:color w:val="5A7D3A"/>
          <w:sz w:val="18"/>
        </w:rPr>
        <w:t>https://pubmed.ncbi.nlm.nih.gov/42753144/</w:t>
      </w:r>
    </w:p>
    <w:p>
      <w:pPr>
        <w:pStyle w:val="Heading2"/>
      </w:pPr>
      <w:r>
        <w:t>Frailty und Ernährungsstatus prägen Überleben älter Brustkrebspatientinnen</w:t>
      </w:r>
    </w:p>
    <w:p>
      <w:r>
        <w:rPr>
          <w:i/>
          <w:color w:val="666666"/>
          <w:sz w:val="18"/>
        </w:rPr>
        <w:t>Yang X et al.  ·  Cancer Med  ·  Sept. 2026  ·  PMID 42745681</w:t>
      </w:r>
    </w:p>
    <w:p>
      <w:r>
        <w:t>Retrospektive Studie entwickelte FINE Index (Frailty, Immunonutrition, TNM-Stadium) zur Vorhersage des Gesamtüberlebens bei 1.621 älteren Brustkrebspatientinnen (training n=1.132, validation n=489).</w:t>
      </w:r>
    </w:p>
    <w:p>
      <w:r>
        <w:rPr>
          <w:b/>
        </w:rPr>
        <w:t xml:space="preserve">Ergebnis: </w:t>
      </w:r>
      <w:r>
        <w:t>C-Index 0,767 (training), 0,739 (intern validation), 0,731 (extern validation). 3-, 5-, 10-Jahr-AUC &gt;0,7. Unabhängige Prädiktoren: Alter, PNI, TNM, mFI-5, Endokrintherapie. Besser als TNM allein.</w:t>
      </w:r>
    </w:p>
    <w:p>
      <w:r>
        <w:rPr>
          <w:b/>
          <w:sz w:val="19"/>
        </w:rPr>
        <w:t xml:space="preserve">Übertragbarkeit: </w:t>
      </w:r>
      <w:r>
        <w:rPr>
          <w:sz w:val="19"/>
        </w:rPr>
        <w:t>China (West-China Hospital), deutsche Kliniken nutzen ähnliche Frailty-Indices</w:t>
      </w:r>
    </w:p>
    <w:p>
      <w:r>
        <w:rPr>
          <w:color w:val="5A7D3A"/>
          <w:sz w:val="18"/>
        </w:rPr>
        <w:t>https://pubmed.ncbi.nlm.nih.gov/42745681/</w:t>
      </w:r>
    </w:p>
    <w:p>
      <w:pPr>
        <w:pStyle w:val="Heading2"/>
      </w:pPr>
      <w:r>
        <w:t>Orale Frailty korreliert mit BMI nur bei Sarkopenie-Risiko</w:t>
      </w:r>
    </w:p>
    <w:p>
      <w:r>
        <w:rPr>
          <w:i/>
          <w:color w:val="666666"/>
          <w:sz w:val="18"/>
        </w:rPr>
        <w:t>Hayase M et al.  ·  Nutrients  ·  28.08.2026  ·  PMID 42739007</w:t>
      </w:r>
    </w:p>
    <w:p>
      <w:r>
        <w:t>Querschnittstudie mit 3.829 älteren Japanern untersuchte Assoziation zwischen oraler Frailty und BMI-Kategorien, stratifiziert nach Sarkopenie-Status.</w:t>
      </w:r>
    </w:p>
    <w:p>
      <w:r>
        <w:rPr>
          <w:b/>
        </w:rPr>
        <w:t xml:space="preserve">Ergebnis: </w:t>
      </w:r>
      <w:r>
        <w:t>In Sarkopenie-Risikogruppe: Übergewicht OR 1,73 (95%-KI: 1,09–2,73), Untergewicht OR 1,44 (95%-KI: 1,07–1,95). Nicht-Sarkopenie-Gruppe: keine signifikante Assoziation.</w:t>
      </w:r>
    </w:p>
    <w:p>
      <w:r>
        <w:rPr>
          <w:b/>
          <w:sz w:val="19"/>
        </w:rPr>
        <w:t xml:space="preserve">Übertragbarkeit: </w:t>
      </w:r>
      <w:r>
        <w:rPr>
          <w:sz w:val="19"/>
        </w:rPr>
        <w:t>Japan, 80-Jährige; Frailty-Phenotyp mit praktischem Screening-Tool</w:t>
      </w:r>
    </w:p>
    <w:p>
      <w:r>
        <w:rPr>
          <w:color w:val="5A7D3A"/>
          <w:sz w:val="18"/>
        </w:rPr>
        <w:t>https://pubmed.ncbi.nlm.nih.gov/42739007/</w:t>
      </w:r>
    </w:p>
    <w:p>
      <w:pPr>
        <w:pStyle w:val="Heading2"/>
      </w:pPr>
      <w:r>
        <w:t>Funktionales Gehirnalter erfasst Heterogenität in Schizophrenien besser als strukturelle Parameter</w:t>
      </w:r>
    </w:p>
    <w:p>
      <w:r>
        <w:rPr>
          <w:i/>
          <w:color w:val="666666"/>
          <w:sz w:val="18"/>
        </w:rPr>
        <w:t>Volkmer S et al.  ·  Transl Psychiatry  ·  04.09.2026  ·  PMID 42697895</w:t>
      </w:r>
    </w:p>
    <w:p>
      <w:r>
        <w:t>Validierungsstudie untersuchte resting-state funktionales Gehirnalter (brain-age gap, BAG) bei Schizophreniespektrum-Störungen in vier Kohorten; innerhalb SSD assoziiert jüngeres Gehirnalter mit schlechterer Kognition.</w:t>
      </w:r>
    </w:p>
    <w:p>
      <w:r>
        <w:rPr>
          <w:b/>
        </w:rPr>
        <w:t xml:space="preserve">Ergebnis: </w:t>
      </w:r>
      <w:r>
        <w:t>SSD zeigte group-level BAG-Elevation 0,4–0,6. Innerhalb SSD: jüngeres Gehirnalter korreliert mit niedrigerer Kognition, längerer Krankheitsdauer, höheren neurologischen soft signs (NSS). Über 12–24 Wochen: BAG-Zunahme mit NSS-Motor-Reduktion assoziiert.</w:t>
      </w:r>
    </w:p>
    <w:p>
      <w:r>
        <w:rPr>
          <w:b/>
          <w:sz w:val="19"/>
        </w:rPr>
        <w:t xml:space="preserve">Übertragbarkeit: </w:t>
      </w:r>
      <w:r>
        <w:rPr>
          <w:sz w:val="19"/>
        </w:rPr>
        <w:t>Deutschland und Schweiz, multizentrisches Design; Biomarker vorhersagewert offen</w:t>
      </w:r>
    </w:p>
    <w:p>
      <w:r>
        <w:rPr>
          <w:color w:val="5A7D3A"/>
          <w:sz w:val="18"/>
        </w:rPr>
        <w:t>https://pubmed.ncbi.nlm.nih.gov/42697895/</w:t>
      </w:r>
    </w:p>
    <w:p>
      <w:pPr>
        <w:pStyle w:val="Heading2"/>
      </w:pPr>
      <w:r>
        <w:t>Wahrnehmung des Alterns bei Männern 2013–2023 stabil trotz Gesundheitsbewusstsein</w:t>
      </w:r>
    </w:p>
    <w:p>
      <w:r>
        <w:rPr>
          <w:i/>
          <w:color w:val="666666"/>
          <w:sz w:val="18"/>
        </w:rPr>
        <w:t>Bejda G et al.  ·  Adv Clin Exp Med  ·  Aug. 2026  ·  PMID 42543032</w:t>
      </w:r>
    </w:p>
    <w:p>
      <w:r>
        <w:t>Vergleichende Querschnittstudie an 2013 und 2023 hospitalisierten Männern aus Polen untersuchte Veränderungen in Alterswahrnehmung und Gesundheitsverhalten mittels standardisierter Instrumente.</w:t>
      </w:r>
    </w:p>
    <w:p>
      <w:r>
        <w:rPr>
          <w:b/>
        </w:rPr>
        <w:t xml:space="preserve">Ergebnis: </w:t>
      </w:r>
      <w:r>
        <w:t>80,5 % (2013) vs. 75,9 % (2023) mit psychischen Alterssymptomen. Sexuelle Dysfunktion 65,8 % vs. 63,3 %. Testosterone-Abnahme als Altersmerkmal erwartet. Hohe Selbstwirksamkeit in beiden Kohorten. Unzureichendes Alterswissen bleibt.</w:t>
      </w:r>
    </w:p>
    <w:p>
      <w:r>
        <w:rPr>
          <w:b/>
          <w:sz w:val="19"/>
        </w:rPr>
        <w:t xml:space="preserve">Übertragbarkeit: </w:t>
      </w:r>
      <w:r>
        <w:rPr>
          <w:sz w:val="19"/>
        </w:rPr>
        <w:t>Polen (Podlaskie), verwandter Sozialversicherungskontext</w:t>
      </w:r>
    </w:p>
    <w:p>
      <w:r>
        <w:rPr>
          <w:color w:val="5A7D3A"/>
          <w:sz w:val="18"/>
        </w:rPr>
        <w:t>https://pubmed.ncbi.nlm.nih.gov/42543032/</w:t>
      </w:r>
    </w:p>
    <w:p>
      <w:pPr>
        <w:pStyle w:val="Heading1"/>
      </w:pPr>
      <w:r>
        <w:t>Aufgenommen am 17.09.2026</w:t>
      </w:r>
    </w:p>
    <w:p>
      <w:pPr>
        <w:pStyle w:val="Heading2"/>
      </w:pPr>
      <w:r>
        <w:t>Frailty-Index (mFI-5) vorhersagekräftig für Komplikationen nach Amputation</w:t>
      </w:r>
    </w:p>
    <w:p>
      <w:r>
        <w:rPr>
          <w:i/>
          <w:color w:val="666666"/>
          <w:sz w:val="18"/>
        </w:rPr>
        <w:t>Ichikawa T et al.  ·  Eur J Orthop Surg Traumatol  ·  16.09.2026  ·  PMID 42747548</w:t>
      </w:r>
    </w:p>
    <w:p>
      <w:r>
        <w:t>USA-Traumakohorte (n=1.122, ≥18 Jahre, offene Unterschenkelbrüche mit Amputation; 2017–2021) zur Prognose von 30-Tage-Komplikationen via 5-Item Modified Frailty Index.</w:t>
      </w:r>
    </w:p>
    <w:p>
      <w:r>
        <w:rPr>
          <w:b/>
        </w:rPr>
        <w:t xml:space="preserve">Ergebnis: </w:t>
      </w:r>
      <w:r>
        <w:t>Pro Punkt mFI-5-Erhöhung: signifikant gestiegene Odds für Wundinfekt (OR 1,36), zerebrovaskuläres Ereignis (OR 2,93), Reintubation (OR 2,17), ICU-Aufnahme (OR 1,56) und Druckgeschwür (OR 1,68). mFI-5 unabhängiger Prädiktor nach Adjustierung für Alter, Geschlecht, ISS und andere Faktoren. Routinescreening empfohlen für Risikostratifizierung.</w:t>
      </w:r>
    </w:p>
    <w:p>
      <w:r>
        <w:rPr>
          <w:b/>
          <w:sz w:val="19"/>
        </w:rPr>
        <w:t xml:space="preserve">Übertragbarkeit: </w:t>
      </w:r>
      <w:r>
        <w:rPr>
          <w:sz w:val="19"/>
        </w:rPr>
        <w:t>USA-Traumasystem, aber Frailty-Assessment-Tool und Komplikationsdefinitionen international etabliert.</w:t>
      </w:r>
    </w:p>
    <w:p>
      <w:r>
        <w:rPr>
          <w:color w:val="5A7D3A"/>
          <w:sz w:val="18"/>
        </w:rPr>
        <w:t>https://pubmed.ncbi.nlm.nih.gov/42747548/</w:t>
      </w:r>
    </w:p>
    <w:p>
      <w:pPr>
        <w:pStyle w:val="Heading2"/>
      </w:pPr>
      <w:r>
        <w:t>Soziale Entfremdung bei kognitiver Gebrechlichkeit: Vier Subgruppen älterer Erwachsener</w:t>
      </w:r>
    </w:p>
    <w:p>
      <w:r>
        <w:rPr>
          <w:i/>
          <w:color w:val="666666"/>
          <w:sz w:val="18"/>
        </w:rPr>
        <w:t>Zhao S et al.  ·  Front Public Health  ·  01.09.2026  ·  PMID 42745907</w:t>
      </w:r>
    </w:p>
    <w:p>
      <w:r>
        <w:t>Chinesische Querschnittstudie (n=968, ≥60 Jahre, mit kognitiver Frailty) mittels latenter Profilanalyse zur Heterogenität sozialer Entfremdung.</w:t>
      </w:r>
    </w:p>
    <w:p>
      <w:r>
        <w:rPr>
          <w:b/>
        </w:rPr>
        <w:t xml:space="preserve">Ergebnis: </w:t>
      </w:r>
      <w:r>
        <w:t>Vier distinkte Profile identifiziert: „Soziale Anpassung</w:t>
      </w:r>
    </w:p>
    <w:p>
      <w:r>
        <w:rPr>
          <w:b/>
          <w:sz w:val="19"/>
        </w:rPr>
        <w:t xml:space="preserve">Übertragbarkeit: </w:t>
      </w:r>
      <w:r>
        <w:rPr>
          <w:sz w:val="19"/>
        </w:rPr>
        <w:t>China – andere Altersstruktur, aber relevante Versorgungsfrage zur kognitiven Frailty.</w:t>
      </w:r>
    </w:p>
    <w:p>
      <w:r>
        <w:rPr>
          <w:color w:val="5A7D3A"/>
          <w:sz w:val="18"/>
        </w:rPr>
        <w:t>https://pubmed.ncbi.nlm.nih.gov/42745907/</w:t>
      </w:r>
    </w:p>
    <w:p>
      <w:pPr>
        <w:pStyle w:val="Heading2"/>
      </w:pPr>
      <w:r>
        <w:t>Freiwillige Krankenversicherung senkt Frailty-Onset bei europäischen Älteren</w:t>
      </w:r>
    </w:p>
    <w:p>
      <w:r>
        <w:rPr>
          <w:i/>
          <w:color w:val="666666"/>
          <w:sz w:val="18"/>
        </w:rPr>
        <w:t>Sorrentino M et al.  ·  Front Public Health  ·  01.09.2026  ·  PMID 42745813</w:t>
      </w:r>
    </w:p>
    <w:p>
      <w:r>
        <w:t>Europäische Längsschnittstudie (SHARE 2013–2022, n=191.848, ≥50 Jahre) zur Assoziation zwischen freiwilliger Zusatzversicherung (VHI) und Frailty-Progression.</w:t>
      </w:r>
    </w:p>
    <w:p>
      <w:r>
        <w:rPr>
          <w:b/>
        </w:rPr>
        <w:t xml:space="preserve">Ergebnis: </w:t>
      </w:r>
      <w:r>
        <w:t>VHI mit niedrigeren Frailty-Scores assoziiert (Koeff. −0,056; 95%-KI −0,071 bis −0,041), stärkster Effekt in niedrigstem Einkommensquartil. Reduziertes Frailty-Onset-Risiko unter VHI (HR 0,862; 95%-KI 0,763–0,973), besonders in Spanien (HR 0,626). Allerdings: VHI könnte als Out-of-Pocket-Ausgabe Ungleichheiten verstärken.</w:t>
      </w:r>
    </w:p>
    <w:p>
      <w:r>
        <w:rPr>
          <w:b/>
          <w:sz w:val="19"/>
        </w:rPr>
        <w:t xml:space="preserve">Übertragbarkeit: </w:t>
      </w:r>
      <w:r>
        <w:rPr>
          <w:sz w:val="19"/>
        </w:rPr>
        <w:t>Europäische SHARE-Daten, vergleichbare Sozialsysteme, direkt auf deutsche Sozialversicherung übertragbar.</w:t>
      </w:r>
    </w:p>
    <w:p>
      <w:r>
        <w:rPr>
          <w:color w:val="5A7D3A"/>
          <w:sz w:val="18"/>
        </w:rPr>
        <w:t>https://pubmed.ncbi.nlm.nih.gov/42745813/</w:t>
      </w:r>
    </w:p>
    <w:p>
      <w:pPr>
        <w:pStyle w:val="Heading2"/>
      </w:pPr>
      <w:r>
        <w:t>Determinanten der Lebenserwartung in der EU: Präventive Mortalität geht über Wohlstand hinaus</w:t>
      </w:r>
    </w:p>
    <w:p>
      <w:r>
        <w:rPr>
          <w:i/>
          <w:color w:val="666666"/>
          <w:sz w:val="18"/>
        </w:rPr>
        <w:t>Antohi VM et al.  ·  Inquiry  ·  16.09.2026  ·  PMID 42745694</w:t>
      </w:r>
    </w:p>
    <w:p>
      <w:r>
        <w:t>Panel-Regressionsanalyse (6 EU-Länder: Rumänien, Bulgarien, Lettland, Deutschland, Italien, Spanien; 2011–2021) zu Effekten wirtschaftlicher, demografischer und Mortalitätsfaktoren auf Lebenserwartung.</w:t>
      </w:r>
    </w:p>
    <w:p>
      <w:r>
        <w:rPr>
          <w:b/>
        </w:rPr>
        <w:t xml:space="preserve">Ergebnis: </w:t>
      </w:r>
      <w:r>
        <w:t>CO₂-Emissionen und Bevölkerungswachstum senken Lebenserwartung (LE) signifikant. BIP pro Kopf, Gesundheitsausgaben, Bildung, Rechtsstaatlichkeit und Regierungseffektivität heben LE – aber nach Kontrolle für Mortalitätsindikatoren sinkt BIP-Effekt. Krude Mortalitätslast und Lebensjahre verloren durch Unfälle zeigen stärkste Assoziationen mit LE. Schlussfolgerung: Nachhaltige LE-Gewinne hängen weniger an Wachstum, mehr an Prävention.</w:t>
      </w:r>
    </w:p>
    <w:p>
      <w:r>
        <w:rPr>
          <w:b/>
          <w:sz w:val="19"/>
        </w:rPr>
        <w:t xml:space="preserve">Übertragbarkeit: </w:t>
      </w:r>
      <w:r>
        <w:rPr>
          <w:sz w:val="19"/>
        </w:rPr>
        <w:t>Deutschland, Italien, Spanien im Sample; europäische Sozialsysteme, direkt vergleichbar.</w:t>
      </w:r>
    </w:p>
    <w:p>
      <w:r>
        <w:rPr>
          <w:color w:val="5A7D3A"/>
          <w:sz w:val="18"/>
        </w:rPr>
        <w:t>https://pubmed.ncbi.nlm.nih.gov/42745694/</w:t>
      </w:r>
    </w:p>
    <w:p>
      <w:pPr>
        <w:pStyle w:val="Heading2"/>
      </w:pPr>
      <w:r>
        <w:t>Körperliche Aktivität puffert alternsbedingte Hippocampus-Veränderungen ab</w:t>
      </w:r>
    </w:p>
    <w:p>
      <w:r>
        <w:rPr>
          <w:i/>
          <w:color w:val="666666"/>
          <w:sz w:val="18"/>
        </w:rPr>
        <w:t>Montero-Herrera B et al.  ·  Hippocampus  ·  Sept. 2026  ·  PMID 42740373</w:t>
      </w:r>
    </w:p>
    <w:p>
      <w:r>
        <w:t>Querschnittsstudie (n=555, 36–90 Jahre, Human Connectome Project-Aging) zur Assoziation von moderater bis vigoroster Aktivität mit Hippocampus-Struktur (Dicke, Oberfläche, mikrostrukturelle T1w/T2w-Ratio).</w:t>
      </w:r>
    </w:p>
    <w:p>
      <w:r>
        <w:rPr>
          <w:b/>
        </w:rPr>
        <w:t xml:space="preserve">Ergebnis: </w:t>
      </w:r>
      <w:r>
        <w:t>Bei niedriger Aktivität (&lt;150 Min/Wo): Alter assoziiert mit diffusen Unterschieden in Hippocampus-Makro- und Mikrostruktur (niedrigere Dicke/Oberfläche, höhere T1w/T2w-Ratio). Moderate bis hohe Aktivität (≥150 Min/Wo) moderiert diese Alterseffekte in linkem Hippocampus signifikant; signifikante Unterschiede in Oberfläche und Ratio bei aktiveren Älteren. Befund deutet auf erhaltene plastische Kapazität hin.</w:t>
      </w:r>
    </w:p>
    <w:p>
      <w:r>
        <w:rPr>
          <w:b/>
          <w:sz w:val="19"/>
        </w:rPr>
        <w:t xml:space="preserve">Übertragbarkeit: </w:t>
      </w:r>
      <w:r>
        <w:rPr>
          <w:sz w:val="19"/>
        </w:rPr>
        <w:t>USA – Neuroimaging-Methodik unabhängig von System; Aktivitätsempfehlung universal anwendbar.</w:t>
      </w:r>
    </w:p>
    <w:p>
      <w:r>
        <w:rPr>
          <w:color w:val="5A7D3A"/>
          <w:sz w:val="18"/>
        </w:rPr>
        <w:t>https://pubmed.ncbi.nlm.nih.gov/42740373/</w:t>
      </w:r>
    </w:p>
    <w:p>
      <w:pPr>
        <w:pStyle w:val="Heading2"/>
      </w:pPr>
      <w:r>
        <w:t>Moralische Verantwortung im Alter: Klimahandeln unter Alltagsbedingungen</w:t>
      </w:r>
    </w:p>
    <w:p>
      <w:r>
        <w:rPr>
          <w:i/>
          <w:color w:val="666666"/>
          <w:sz w:val="18"/>
        </w:rPr>
        <w:t>Grand J  ·  J Aging Stud  ·  29.06.2026  ·  PMID 42705825</w:t>
      </w:r>
    </w:p>
    <w:p>
      <w:r>
        <w:t>Qualitative Studie (Interviews, Fokusgruppen) mit Schweizer Älteren (65–83 Jahre) zu deren Verständnis und Umsetzung von Verantwortung für Klimaschutz im Alltag.</w:t>
      </w:r>
    </w:p>
    <w:p>
      <w:r>
        <w:rPr>
          <w:b/>
        </w:rPr>
        <w:t xml:space="preserve">Ergebnis: </w:t>
      </w:r>
      <w:r>
        <w:t>Ältere Erwachsene verhandeln Klimaverantwortung pragmatisch im Spannungsfeld zwischen persönlicher Handlungsfähigkeit und körperlichen Grenzen des Alterns. Zeitliche Beschränkung und Mobilitätseinbußen prägen Deutung und Umfang ihres Engagements; Fokus liegt auf Haushalt und Familie statt großflächiger Aktivismus. Kernbefund: Spätes Leben restrukturiert, realisiert aber nicht negiert Umweltverantwortung.</w:t>
      </w:r>
    </w:p>
    <w:p>
      <w:r>
        <w:rPr>
          <w:b/>
          <w:sz w:val="19"/>
        </w:rPr>
        <w:t xml:space="preserve">Übertragbarkeit: </w:t>
      </w:r>
      <w:r>
        <w:rPr>
          <w:sz w:val="19"/>
        </w:rPr>
        <w:t>Schweiz, deutschsprachig, Sozialkontext vergleichbar; Erkenntnisse zu älteren Bürgern in Transformationen.</w:t>
      </w:r>
    </w:p>
    <w:p>
      <w:r>
        <w:rPr>
          <w:color w:val="5A7D3A"/>
          <w:sz w:val="18"/>
        </w:rPr>
        <w:t>https://pubmed.ncbi.nlm.nih.gov/42705825/</w:t>
      </w:r>
    </w:p>
    <w:p>
      <w:pPr>
        <w:pStyle w:val="Heading1"/>
      </w:pPr>
      <w:r>
        <w:t>Aufgenommen am 16.09.2026</w:t>
      </w:r>
    </w:p>
    <w:p>
      <w:pPr>
        <w:pStyle w:val="Heading2"/>
      </w:pPr>
      <w:r>
        <w:t>Orale Gebrechlichkeit beeinträchtigt Alltagsfähigkeit durch schlechte Ernährung – Ernährungsstatus vermittelt</w:t>
      </w:r>
    </w:p>
    <w:p>
      <w:r>
        <w:rPr>
          <w:i/>
          <w:color w:val="666666"/>
          <w:sz w:val="18"/>
        </w:rPr>
        <w:t>Jiang W et al.  ·  Front Public Health  ·  31.08.2026  ·  PMID 42741152</w:t>
      </w:r>
    </w:p>
    <w:p>
      <w:r>
        <w:t>Querschnittsstudie mit 401 älteren Chengdu-Bewohnern (≥60 Jahre): untersuchte, ob orale Frailty (Zahnprobleme, Kaustörungen) die Alltagsfunktion beeinträchtigt und ob Malnutritionsrisiko diesen Zusammenhang mediert.</w:t>
      </w:r>
    </w:p>
    <w:p>
      <w:r>
        <w:rPr>
          <w:b/>
        </w:rPr>
        <w:t xml:space="preserve">Ergebnis: </w:t>
      </w:r>
      <w:r>
        <w:t>Orale Frailty korrelierte mit schlecherer Ernährung (B=–0,116; p=0,001) und niedriger ADL-Fähigkeit (Barthel-Index). Der direkte Assoziationseffekt blieb signifikant (B=–2,261; p=0,012), die indirekte Assoziation über Ernährung war klein aber signifikant (indirekt=–0,363; 95%-Bootstrap: –0,798 bis –0,044). Orale Frailty liegt bei 40,9 % vor, Malnutritionsrisiko bei 12,0 %.</w:t>
      </w:r>
    </w:p>
    <w:p>
      <w:r>
        <w:rPr>
          <w:b/>
          <w:sz w:val="19"/>
        </w:rPr>
        <w:t xml:space="preserve">Übertragbarkeit: </w:t>
      </w:r>
      <w:r>
        <w:rPr>
          <w:sz w:val="19"/>
        </w:rPr>
        <w:t>Chinesische Primärversorgung, Instrument ORALFRAIL übertragbar, Modell validierungsbedürftig für Deutschland</w:t>
      </w:r>
    </w:p>
    <w:p>
      <w:r>
        <w:rPr>
          <w:color w:val="5A7D3A"/>
          <w:sz w:val="18"/>
        </w:rPr>
        <w:t>https://pubmed.ncbi.nlm.nih.gov/42741152/</w:t>
      </w:r>
    </w:p>
    <w:p>
      <w:pPr>
        <w:pStyle w:val="Heading2"/>
      </w:pPr>
      <w:r>
        <w:t>Kurzzeitliches Prehab-Training steigert präoperative Funktionsfähigkeit fragiler Prostatapatienten</w:t>
      </w:r>
    </w:p>
    <w:p>
      <w:r>
        <w:rPr>
          <w:i/>
          <w:color w:val="666666"/>
          <w:sz w:val="18"/>
        </w:rPr>
        <w:t>Wang Z et al.  ·  BMC Geriatr  ·  24.07.2026  ·  PMID 42736541</w:t>
      </w:r>
    </w:p>
    <w:p>
      <w:r>
        <w:t>Randomisierte, verblindete Studie mit 80 älteren Männern (≥60 Jahre) mit Prostatakarzinom in prefrail/frail Zustand; geprüft, ob 12-tägiges Home-Prehabilitation (Bewegung, Ernährung, psychische Unterstützung) vor geplanter Prostatektomie die perioperative funktionelle Leistung verbessert.</w:t>
      </w:r>
    </w:p>
    <w:p>
      <w:r>
        <w:rPr>
          <w:b/>
        </w:rPr>
        <w:t xml:space="preserve">Ergebnis: </w:t>
      </w:r>
      <w:r>
        <w:t>Prehab-Gruppe verbesserte 6-Minuten-Gehstrecke um 27,70±16,86 m vor OP, Kontrollgruppe nur um –3,12±3,62 m; Differenz 30,82 m (95%-KI 25,32–36,33; p&lt;0,001). Postoperativ schnellere Mobilisierung, schnellere Magen-Darm-Erholung, kürzere Krankenhausliegedauer. Keine interventionsbezogenen Nebenereignisse.</w:t>
      </w:r>
    </w:p>
    <w:p>
      <w:r>
        <w:rPr>
          <w:b/>
          <w:sz w:val="19"/>
        </w:rPr>
        <w:t xml:space="preserve">Übertragbarkeit: </w:t>
      </w:r>
      <w:r>
        <w:rPr>
          <w:sz w:val="19"/>
        </w:rPr>
        <w:t>Chinesische Klinikdaten, geriatrisches Prähabilitationskonzept übertragbar auf Deutschland</w:t>
      </w:r>
    </w:p>
    <w:p>
      <w:r>
        <w:rPr>
          <w:color w:val="5A7D3A"/>
          <w:sz w:val="18"/>
        </w:rPr>
        <w:t>https://pubmed.ncbi.nlm.nih.gov/42736541/</w:t>
      </w:r>
    </w:p>
    <w:p>
      <w:pPr>
        <w:pStyle w:val="Heading2"/>
      </w:pPr>
      <w:r>
        <w:t>Automatisierter Frailty-Index aus Labortests (FI-Lab) validiert akutes Mortalitätsrisiko</w:t>
      </w:r>
    </w:p>
    <w:p>
      <w:r>
        <w:rPr>
          <w:i/>
          <w:color w:val="666666"/>
          <w:sz w:val="18"/>
        </w:rPr>
        <w:t>Logan Ellis H et al.  ·  PLoS Med  ·  01.09.2026  ·  PMID 42678992</w:t>
      </w:r>
    </w:p>
    <w:p>
      <w:r>
        <w:t>Retrospektive multizentrische Studie an drei Kohorten (Boston, London, UK Biobank; insgesamt 872.744 Patienten), die einen aus 20-40 Standardlabortests berechneten automatisierten Frailty-Index zur Vorhersage der 1-Jahres-Mortalität in der Notaufnahme und klinischen Routine erprobte.</w:t>
      </w:r>
    </w:p>
    <w:p>
      <w:r>
        <w:rPr>
          <w:b/>
        </w:rPr>
        <w:t xml:space="preserve">Ergebnis: </w:t>
      </w:r>
      <w:r>
        <w:t>Der FI-Lab zeigte Hazard Ratios für 1-Jahres-Mortalität von 2,04 (95%-KI [1,99–2,09]) in MIMIC-IV-ED, 2,55 (95%-KI [2,42–2,69]) in King's College Hospital und 1,87 (95%-KI [1,80–1,94]) in UK Biobank pro Standardabweichung Anstieg – und übertraf damit den National Early Warning Score 2. Die Unterscheidungsfähigkeit stabilisierte sich bei 20–40 Tests. Ein pragmatisches, ohne zusätzliche Messungen anwendbares Instrument.</w:t>
      </w:r>
    </w:p>
    <w:p>
      <w:r>
        <w:rPr>
          <w:b/>
          <w:sz w:val="19"/>
        </w:rPr>
        <w:t xml:space="preserve">Übertragbarkeit: </w:t>
      </w:r>
      <w:r>
        <w:rPr>
          <w:sz w:val="19"/>
        </w:rPr>
        <w:t>UK-Klinikdaten, Notaufnahme-Dokumentation übertragbar auf deutsche Krankenhaussysteme</w:t>
      </w:r>
    </w:p>
    <w:p>
      <w:r>
        <w:rPr>
          <w:color w:val="5A7D3A"/>
          <w:sz w:val="18"/>
        </w:rPr>
        <w:t>https://pubmed.ncbi.nlm.nih.gov/42678992/</w:t>
      </w:r>
    </w:p>
    <w:p>
      <w:pPr>
        <w:pStyle w:val="Heading2"/>
      </w:pPr>
      <w:r>
        <w:t>Intrinsic Capacity senkt kardiovaskuläres Risiko durch multidimensionale Funktionsmessung</w:t>
      </w:r>
    </w:p>
    <w:p>
      <w:r>
        <w:rPr>
          <w:i/>
          <w:color w:val="666666"/>
          <w:sz w:val="18"/>
        </w:rPr>
        <w:t>Zhang Z et al.  ·  Maturitas  ·  15.08.2026  ·  PMID 42612584</w:t>
      </w:r>
    </w:p>
    <w:p>
      <w:r>
        <w:t>Gepoolte Analyse dreier Langzeitkohorten (China, England, USA; 13.807 Probanden) untersuchte, ob Beeinträchtigungen in Intrinsic Capacity (Kognition, Mobilität, Vitalität, psychische Funktion, Sinnesfunktion) unabhängig und gemeinsam mit Hypertonie das Herzinfarkt- und Schlaganfallrisiko vorhersagen.</w:t>
      </w:r>
    </w:p>
    <w:p>
      <w:r>
        <w:rPr>
          <w:b/>
        </w:rPr>
        <w:t xml:space="preserve">Ergebnis: </w:t>
      </w:r>
      <w:r>
        <w:t>Gegenüber intakter Kapazität und normalen Blutdruckwerten zeigten beeinträchtigte IC (HR 1,53; 95%-KI 1,34–1,74), Hypertonie allein (HR 1,68; 95%-KI 1,46–1,93) und beide kombiniert (HR 2,29; 95%-KI 2,02–2,59) erhöhte kardiovaskuläre Ereignisrisiken. Das Modell mit IC-Messung erhöhte die C-Index-Diskriminierung von 0,619 auf 0,649. Progressive Risikozunahme mit jeder zusätzlich beeinträchtigten IC-Domäne.</w:t>
      </w:r>
    </w:p>
    <w:p>
      <w:r>
        <w:rPr>
          <w:b/>
          <w:sz w:val="19"/>
        </w:rPr>
        <w:t xml:space="preserve">Übertragbarkeit: </w:t>
      </w:r>
      <w:r>
        <w:rPr>
          <w:sz w:val="19"/>
        </w:rPr>
        <w:t>Drei Kohorten auf vier Kontinenten, vergleichbare Outcomemessung, Übertragbarkeit hoch</w:t>
      </w:r>
    </w:p>
    <w:p>
      <w:r>
        <w:rPr>
          <w:color w:val="5A7D3A"/>
          <w:sz w:val="18"/>
        </w:rPr>
        <w:t>https://pubmed.ncbi.nlm.nih.gov/42612584/</w:t>
      </w:r>
    </w:p>
    <w:p>
      <w:pPr>
        <w:pStyle w:val="Heading2"/>
      </w:pPr>
      <w:r>
        <w:t>Multidomain-Rehabilitation nach Herzinfarkt wirkt auch bei Frailty – Frailty sollte nicht abschrecken</w:t>
      </w:r>
    </w:p>
    <w:p>
      <w:r>
        <w:rPr>
          <w:i/>
          <w:color w:val="666666"/>
          <w:sz w:val="18"/>
        </w:rPr>
        <w:t>Dal Passo B et al.  ·  Circ Popul Health Outcomes  ·  17.08.2026  ·  PMID 42605666</w:t>
      </w:r>
    </w:p>
    <w:p>
      <w:r>
        <w:t>Prespecified-Subgruppen-Analyse der italienischen PIpELINe-RCT mit 512 Patienten ≥65 Jahren nach Myokardinfarkt; getestet, ob Gebrechlichkeit (Fried-Phänotyp) den Nutzen von multidomäner Rehabilitation (Bewegung, Ernährung, Psyche, Beckenbodentraining) mindert.</w:t>
      </w:r>
    </w:p>
    <w:p>
      <w:r>
        <w:rPr>
          <w:b/>
        </w:rPr>
        <w:t xml:space="preserve">Ergebnis: </w:t>
      </w:r>
      <w:r>
        <w:t>68,4 % (350 von 512) waren prefrail/frail; davon profitierten die 232 der Interventionsgruppe signifikant mit 43 % relativem Risikoreduktion (HR 0,57; 95%-KI 0,34–0,94; p=0,028) für die primäre Endpunkte (kardiovaskulärer Tod oder ungeplante Hospitalisierung). Kein signifikanter Interaktionseffekt: Frailty mindert den Rehabilitations-Nutzen nicht.</w:t>
      </w:r>
    </w:p>
    <w:p>
      <w:r>
        <w:rPr>
          <w:b/>
          <w:sz w:val="19"/>
        </w:rPr>
        <w:t xml:space="preserve">Übertragbarkeit: </w:t>
      </w:r>
      <w:r>
        <w:rPr>
          <w:sz w:val="19"/>
        </w:rPr>
        <w:t>Multizentrische italienische RCT, europäisches Setting, direkt auf deutsches Gesundheitswesen übertragbar</w:t>
      </w:r>
    </w:p>
    <w:p>
      <w:r>
        <w:rPr>
          <w:color w:val="5A7D3A"/>
          <w:sz w:val="18"/>
        </w:rPr>
        <w:t>https://pubmed.ncbi.nlm.nih.gov/42605666/</w:t>
      </w:r>
    </w:p>
    <w:p>
      <w:pPr>
        <w:pStyle w:val="Heading2"/>
      </w:pPr>
      <w:r>
        <w:t>Gebrechlichkeit steigert Demenzrisiko durch Entzündung, Stoffwechsel und vorzeigte Hirnalterung</w:t>
      </w:r>
    </w:p>
    <w:p>
      <w:r>
        <w:rPr>
          <w:i/>
          <w:color w:val="666666"/>
          <w:sz w:val="18"/>
        </w:rPr>
        <w:t>Chen W et al.  ·  J Nutr Health Aging  ·  10.07.2026  ·  PMID 42430904</w:t>
      </w:r>
    </w:p>
    <w:p>
      <w:r>
        <w:t>Kohortenstudie mit 452.516 UK-Biobank-Probanden ohne Demenz-Baseline, Verfolgung 13,7 Jahre: untersucht, ob der Fried-Frailty-Phänotyp das Demenzrisiko steigert und welche Pfade (Entzündung, Stoffwechsel, Hirn-Age-Gap) diese Assoziation vermitteln.</w:t>
      </w:r>
    </w:p>
    <w:p>
      <w:r>
        <w:rPr>
          <w:b/>
        </w:rPr>
        <w:t xml:space="preserve">Ergebnis: </w:t>
      </w:r>
      <w:r>
        <w:t>7.777 Demenzneuerkrankungen; Frailty erhöhte Risiko mit HR 2,21 (95%-KI 2,02–2,42). Mediation: Entzündungs-Score vermittelte 4 %, Stoffwechsel-Score 13 %, beschleunigtes Hirn-Alter (brain-age-gap) 20 % der Frailty-Demenz-Assoziation. Genetische Interaktion nachgewiesen (p=0,033).</w:t>
      </w:r>
    </w:p>
    <w:p>
      <w:r>
        <w:rPr>
          <w:b/>
          <w:sz w:val="19"/>
        </w:rPr>
        <w:t xml:space="preserve">Übertragbarkeit: </w:t>
      </w:r>
      <w:r>
        <w:rPr>
          <w:sz w:val="19"/>
        </w:rPr>
        <w:t>UK Biobank, Bildgebung, Biomarker, Konzept der Frailty-Prävention gegen Demenz auf deutsches Gesundheitswesen übertragbar</w:t>
      </w:r>
    </w:p>
    <w:p>
      <w:r>
        <w:rPr>
          <w:color w:val="5A7D3A"/>
          <w:sz w:val="18"/>
        </w:rPr>
        <w:t>https://pubmed.ncbi.nlm.nih.gov/42430904/</w:t>
      </w:r>
    </w:p>
    <w:p>
      <w:pPr>
        <w:pStyle w:val="Heading2"/>
      </w:pPr>
      <w:r>
        <w:t>Operative Belastung beschleunigt biologisches Altern, körperliche Aktivität puffert Effekt</w:t>
      </w:r>
    </w:p>
    <w:p>
      <w:r>
        <w:rPr>
          <w:i/>
          <w:color w:val="666666"/>
          <w:sz w:val="18"/>
        </w:rPr>
        <w:t>Wang X et al.  ·  J Nutr Health Aging  ·  09.07.2026  ·  PMID 42424841</w:t>
      </w:r>
    </w:p>
    <w:p>
      <w:r>
        <w:t>Querschnittanalyse von 126.668 UK-Biobank-Probanden ≥60 Jahren mit Operationsgeschichte: geprüft, ob Anzahl, Häufigkeit und zeitliche Nähe von Operationen das biologische Alter (PhenoAge-Acceleration) steigern und ob sportliche Aktivität diesen Effekt abschwächt.</w:t>
      </w:r>
    </w:p>
    <w:p>
      <w:r>
        <w:rPr>
          <w:b/>
        </w:rPr>
        <w:t xml:space="preserve">Ergebnis: </w:t>
      </w:r>
      <w:r>
        <w:t>≥4 Operationen assoziiert mit 0,14–0,39 Jahren PhenoAge-Acceleration. Operationen im Abstand ≤1 Jahr: +0,11 Jahre Beschleunigung. Operation ≤1 Jahr zurück: +0,35 Jahre Beschleunigung. Hohe körperliche Aktivität (≥600 MET-min/Woche) minderte diese Effekte deutlich; nur bei ≥5 Operationen blieb Beschleunigung signifikant.</w:t>
      </w:r>
    </w:p>
    <w:p>
      <w:r>
        <w:rPr>
          <w:b/>
          <w:sz w:val="19"/>
        </w:rPr>
        <w:t xml:space="preserve">Übertragbarkeit: </w:t>
      </w:r>
      <w:r>
        <w:rPr>
          <w:sz w:val="19"/>
        </w:rPr>
        <w:t>UK Biobank, Operationsdaten und PhenoAge-Biomarker verfügbar, Aktivitätsbewertung übertragbar</w:t>
      </w:r>
    </w:p>
    <w:p>
      <w:r>
        <w:rPr>
          <w:color w:val="5A7D3A"/>
          <w:sz w:val="18"/>
        </w:rPr>
        <w:t>https://pubmed.ncbi.nlm.nih.gov/42424841/</w:t>
      </w:r>
    </w:p>
    <w:p>
      <w:pPr>
        <w:pStyle w:val="Heading1"/>
      </w:pPr>
      <w:r>
        <w:t>Aufgenommen am 15.09.2026</w:t>
      </w:r>
    </w:p>
    <w:p>
      <w:pPr>
        <w:pStyle w:val="Heading2"/>
      </w:pPr>
      <w:r>
        <w:t>Loneliness und Benzodiazepine: Assoziationen bei älteren Kanadiern</w:t>
      </w:r>
    </w:p>
    <w:p>
      <w:r>
        <w:rPr>
          <w:i/>
          <w:color w:val="666666"/>
          <w:sz w:val="18"/>
        </w:rPr>
        <w:t>Watt JA et al.  ·  Age Ageing  ·  04.09.2026  ·  PMID 42735388</w:t>
      </w:r>
    </w:p>
    <w:p>
      <w:r>
        <w:t>Querschnittsstudie mit prospektiver Kohortennachbeobachtung (kanadische Longitudinal Study on Aging) zum Zusammenhang zwischen Einsamkeit und neuem Medikamentengebrauch (Benzodiazepine, Opioide).</w:t>
      </w:r>
    </w:p>
    <w:p>
      <w:r>
        <w:rPr>
          <w:b/>
        </w:rPr>
        <w:t xml:space="preserve">Ergebnis: </w:t>
      </w:r>
      <w:r>
        <w:t>Von 29.976 Teilnehmern waren 10,8% einsam. Einsame Teilnehmer hatten höhere Quote neuer Benzodiazepinnutzung (aOR 1,94, 95%-KI 1,47–2,57) und Opioidnutzung (aOR 1,43, 95%-KI 1,05–1,93) als nicht einsame. Einsamkeit blieb mit Benzodiazepinen assoziiert nach Adjustierung für Stimmungs- und Angststörungen. Multimodale Interventionen gegen Einsamkeit könnten Deprescribing unterstützen.</w:t>
      </w:r>
    </w:p>
    <w:p>
      <w:r>
        <w:rPr>
          <w:b/>
          <w:sz w:val="19"/>
        </w:rPr>
        <w:t xml:space="preserve">Übertragbarkeit: </w:t>
      </w:r>
      <w:r>
        <w:rPr>
          <w:sz w:val="19"/>
        </w:rPr>
        <w:t>Kanada, vergleichbares Sozialversicherungssystem, hohe Relevanz für deutsche Versorgung</w:t>
      </w:r>
    </w:p>
    <w:p>
      <w:r>
        <w:rPr>
          <w:color w:val="5A7D3A"/>
          <w:sz w:val="18"/>
        </w:rPr>
        <w:t>https://pubmed.ncbi.nlm.nih.gov/42735388/</w:t>
      </w:r>
    </w:p>
    <w:p>
      <w:pPr>
        <w:pStyle w:val="Heading2"/>
      </w:pPr>
      <w:r>
        <w:t>Schweregrad der Frailty: Schwellen und minimale klinisch relevante Unterschiede</w:t>
      </w:r>
    </w:p>
    <w:p>
      <w:r>
        <w:rPr>
          <w:i/>
          <w:color w:val="666666"/>
          <w:sz w:val="18"/>
        </w:rPr>
        <w:t>Álvarez-Bustos A et al.  ·  Age Ageing  ·  04.09.2026  ·  PMID 42735387</w:t>
      </w:r>
    </w:p>
    <w:p>
      <w:r>
        <w:t>Prospektive Kohortenstudie (n=1.811, Alter ≥65 Jahre) zur Validation der Frailty Trait Scale (FTS) mit Outcomes Behinderung, Hospitalisierung und Mortalität.</w:t>
      </w:r>
    </w:p>
    <w:p>
      <w:r>
        <w:rPr>
          <w:b/>
        </w:rPr>
        <w:t xml:space="preserve">Ergebnis: </w:t>
      </w:r>
      <w:r>
        <w:t>Dosis-Wirkungs-Beziehung zwischen Frailty-Score und allen Outcomes mit unterschiedlichen Schwellen: Behinderungsrisiko ab 25/100 FTS, Hospitalisierung ab 40/100, Mortalität ab 50/100. Reductions in FTS-Scores ≥10,3 schützten vor Hospitalisierung (HR 0,74, 95%-KI 0,56–0,99) und ≥4,5 vor Mortalität (HR 0,65, 95%-KI 0,45–0,95). Tool überwindet Grenzen klassischer Assessment-Instrumente.</w:t>
      </w:r>
    </w:p>
    <w:p>
      <w:r>
        <w:rPr>
          <w:b/>
          <w:sz w:val="19"/>
        </w:rPr>
        <w:t xml:space="preserve">Übertragbarkeit: </w:t>
      </w:r>
      <w:r>
        <w:rPr>
          <w:sz w:val="19"/>
        </w:rPr>
        <w:t>Spanien, vergleichbares europäisches Sozialversicherungssystem und Altersstruktur</w:t>
      </w:r>
    </w:p>
    <w:p>
      <w:r>
        <w:rPr>
          <w:color w:val="5A7D3A"/>
          <w:sz w:val="18"/>
        </w:rPr>
        <w:t>https://pubmed.ncbi.nlm.nih.gov/42735387/</w:t>
      </w:r>
    </w:p>
    <w:p>
      <w:pPr>
        <w:pStyle w:val="Heading2"/>
      </w:pPr>
      <w:r>
        <w:t>Internet-Nutzung und kognitive Funktionsfähigkeit: Effekt bei älteren Erwachsenen während COVID-19</w:t>
      </w:r>
    </w:p>
    <w:p>
      <w:r>
        <w:rPr>
          <w:i/>
          <w:color w:val="666666"/>
          <w:sz w:val="18"/>
        </w:rPr>
        <w:t>Xu J et al.  ·  Arch Clin Neuropsychol  ·  09.09.2026  ·  PMID 42734926</w:t>
      </w:r>
    </w:p>
    <w:p>
      <w:r>
        <w:t>Längsschnittstudie (China Health and Retirement Longitudinal Study, n=3.346 Baseline-Offline-Nutzer, davon 1.699 neue Internet-Adopter) zu kognitiven und depressiven Veränderungen nach Internetadoption.</w:t>
      </w:r>
    </w:p>
    <w:p>
      <w:r>
        <w:rPr>
          <w:b/>
        </w:rPr>
        <w:t xml:space="preserve">Ergebnis: </w:t>
      </w:r>
      <w:r>
        <w:t>Neue Internet-Adoption war assoziiert mit stärkerer Zunahme der kognitiven Funktion (10-Punkt MMSE-Score β=0,28, 95%-KI 0,11–0,44, p&lt;0,001) gegenüber konstanter Nicht-Nutzung. Effekt blieb in Sensitivitätsanalysen stabil. Keine signifikante Assoziation mit depressiven Symptomveränderungen (β=-0,18, p=0,40). Digital inclusion relevant für kognitive Gesundheit älterer Erwachsener.</w:t>
      </w:r>
    </w:p>
    <w:p>
      <w:r>
        <w:rPr>
          <w:b/>
          <w:sz w:val="19"/>
        </w:rPr>
        <w:t xml:space="preserve">Übertragbarkeit: </w:t>
      </w:r>
      <w:r>
        <w:rPr>
          <w:sz w:val="19"/>
        </w:rPr>
        <w:t>China, andere Altersstruktur und Digitalisierungskontext; kognitiver Effekt kulturunabhängig wahrscheinlich</w:t>
      </w:r>
    </w:p>
    <w:p>
      <w:r>
        <w:rPr>
          <w:color w:val="5A7D3A"/>
          <w:sz w:val="18"/>
        </w:rPr>
        <w:t>https://pubmed.ncbi.nlm.nih.gov/42734926/</w:t>
      </w:r>
    </w:p>
    <w:p>
      <w:pPr>
        <w:pStyle w:val="Heading2"/>
      </w:pPr>
      <w:r>
        <w:t>Frailty-Konzept in der Patientenkommunikation: kreative Beteiligungsmethoden</w:t>
      </w:r>
    </w:p>
    <w:p>
      <w:r>
        <w:rPr>
          <w:i/>
          <w:color w:val="666666"/>
          <w:sz w:val="18"/>
        </w:rPr>
        <w:t>Lammons W et al.  ·  Health Expect  ·  Okt. 2026  ·  PMID 42734162</w:t>
      </w:r>
    </w:p>
    <w:p>
      <w:r>
        <w:t>Qualitative Studie mit 3 kreativen Public-Involvement-Workshops (Gedichte, Quilting, n=22) zur Exploration von Patientenperspektiven auf Gebrechlichkeit und Patientenkommunikation.</w:t>
      </w:r>
    </w:p>
    <w:p>
      <w:r>
        <w:rPr>
          <w:b/>
        </w:rPr>
        <w:t xml:space="preserve">Ergebnis: </w:t>
      </w:r>
      <w:r>
        <w:t>Partizipanten kritisierten Begriff 'Frailty' als stigmatisierend und ungenau; forderten personalisierte, erfahrungsorientierte Kommunikation. Themen: Schwierigkeiten mit Frailty-Begriff, Personalisierung in Patientengesprächsen, Zeitdruck im Gesundheitswesen. Kreative Methoden ermöglichten nicht-diskursiven Zugang zu kontroversen Konzepten, verbesserten Topic Guide und Datenanalyse der Forschung.</w:t>
      </w:r>
    </w:p>
    <w:p>
      <w:r>
        <w:rPr>
          <w:b/>
          <w:sz w:val="19"/>
        </w:rPr>
        <w:t xml:space="preserve">Übertragbarkeit: </w:t>
      </w:r>
      <w:r>
        <w:rPr>
          <w:sz w:val="19"/>
        </w:rPr>
        <w:t>Großbritannien, NHS-System; patientenzentrierte Versorgungsfragen gelten länderübergreifend</w:t>
      </w:r>
    </w:p>
    <w:p>
      <w:r>
        <w:rPr>
          <w:color w:val="5A7D3A"/>
          <w:sz w:val="18"/>
        </w:rPr>
        <w:t>https://pubmed.ncbi.nlm.nih.gov/42734162/</w:t>
      </w:r>
    </w:p>
    <w:p>
      <w:pPr>
        <w:pStyle w:val="Heading2"/>
      </w:pPr>
      <w:r>
        <w:t>Lebenserwartung USA 2024: Zuwächse nach Rückgang in Vorjahren</w:t>
      </w:r>
    </w:p>
    <w:p>
      <w:r>
        <w:rPr>
          <w:i/>
          <w:color w:val="666666"/>
          <w:sz w:val="18"/>
        </w:rPr>
        <w:t>Arias E et al.  ·  Natl Vital Stat Rep  ·  Aug. 2026  ·  PMID 42727234</w:t>
      </w:r>
    </w:p>
    <w:p>
      <w:r>
        <w:t>Amtliche amerikanische Sterbetafel basierend auf 2024-Mortalitätsdaten; Gesamtpopulation und stratifiziert nach Ethnie, Rasse und Geschlecht.</w:t>
      </w:r>
    </w:p>
    <w:p>
      <w:r>
        <w:rPr>
          <w:b/>
        </w:rPr>
        <w:t xml:space="preserve">Ergebnis: </w:t>
      </w:r>
      <w:r>
        <w:t>Gesamtlebenserwartung bei Geburt 79,0 Jahre (+0,6 vs. 2023). Männer +0,7 Jahre (75,8→76,5), Frauen +0,3 Jahre (81,1→81,4). Nach Ethnie: American Indian/Alaska Native +1,0 (70,1→71,1), Black +0,8 (74,0→74,8), Asian +0,6 (85,2→85,8), Hispanic +0,5 (81,3→81,8), White +0,5 (78,4→78,9). Fortsetzung des Wiederaufwärts-Trends nach COVID-19-Dip.</w:t>
      </w:r>
    </w:p>
    <w:p>
      <w:r>
        <w:rPr>
          <w:b/>
          <w:sz w:val="19"/>
        </w:rPr>
        <w:t xml:space="preserve">Übertragbarkeit: </w:t>
      </w:r>
      <w:r>
        <w:rPr>
          <w:sz w:val="19"/>
        </w:rPr>
        <w:t>USA, grundlegend andere Finanzierungsstruktur des Gesundheitswesens; Trend-Aussage transnational relevant</w:t>
      </w:r>
    </w:p>
    <w:p>
      <w:r>
        <w:rPr>
          <w:color w:val="5A7D3A"/>
          <w:sz w:val="18"/>
        </w:rPr>
        <w:t>https://pubmed.ncbi.nlm.nih.gov/42727234/</w:t>
      </w:r>
    </w:p>
    <w:p>
      <w:pPr>
        <w:pStyle w:val="Heading1"/>
      </w:pPr>
      <w:r>
        <w:t>Aufgenommen am 14.09.2026</w:t>
      </w:r>
    </w:p>
    <w:p>
      <w:pPr>
        <w:pStyle w:val="Heading2"/>
      </w:pPr>
      <w:r>
        <w:t>Umweltbelastung und Frailty bei älteren Menschen nach Trauma: WTC-Responder-Kohorte</w:t>
      </w:r>
    </w:p>
    <w:p>
      <w:r>
        <w:rPr>
          <w:i/>
          <w:color w:val="666666"/>
          <w:sz w:val="18"/>
        </w:rPr>
        <w:t>Krasnov H et al.  ·  Nat Commun  ·  11.09.2026  ·  PMID 42728266</w:t>
      </w:r>
    </w:p>
    <w:p>
      <w:r>
        <w:t>Analysierte in Längsschnittkohort (18.734 WTC-Responder) den Zusammenhang zwischen städtischen Umweltexpositionen (Feinstaub, Temperatur, Grünflächen) und Frailty sowie psychiatrischen Symptomen, adjustiert für Traumaexposition.</w:t>
      </w:r>
    </w:p>
    <w:p>
      <w:r>
        <w:rPr>
          <w:b/>
        </w:rPr>
        <w:t xml:space="preserve">Ergebnis: </w:t>
      </w:r>
      <w:r>
        <w:t>Ein Dezil-Anstieg der Gesamt-Expositionsmischung assoziiert mit erhöhter Frailty (0,56%; 95%-KI: 0,14%-0,98%) und Post-Traumatic-Stress-Disorder-Scores (0,31%; 95%-KI: 0,07%-0,55%); Effekte stärker bei Responders mit höherer WTC-Exposition. Deutet auf biologische Langzeitvulnerabilität nach Trauma und Toxinexposition hin.</w:t>
      </w:r>
    </w:p>
    <w:p>
      <w:r>
        <w:rPr>
          <w:b/>
          <w:sz w:val="19"/>
        </w:rPr>
        <w:t xml:space="preserve">Übertragbarkeit: </w:t>
      </w:r>
      <w:r>
        <w:rPr>
          <w:sz w:val="19"/>
        </w:rPr>
        <w:t>USA-Kohorte; Befunde zu Umwelteffekten auf Frailty übertragbar, aber langfristige Trauma-Exposition länderspezifisch</w:t>
      </w:r>
    </w:p>
    <w:p>
      <w:r>
        <w:rPr>
          <w:color w:val="5A7D3A"/>
          <w:sz w:val="18"/>
        </w:rPr>
        <w:t>https://pubmed.ncbi.nlm.nih.gov/42728266/</w:t>
      </w:r>
    </w:p>
    <w:p>
      <w:pPr>
        <w:pStyle w:val="Heading2"/>
      </w:pPr>
      <w:r>
        <w:t>Terpenoide und Seneszenz in Lungenkrebszellen: Versorgungsrelevanz begrenzt</w:t>
      </w:r>
    </w:p>
    <w:p>
      <w:r>
        <w:rPr>
          <w:i/>
          <w:color w:val="666666"/>
          <w:sz w:val="18"/>
        </w:rPr>
        <w:t>Niharika K et al.  ·  Daru  ·  11.09.2026  ·  PMID 42726380</w:t>
      </w:r>
    </w:p>
    <w:p>
      <w:r>
        <w:t>Übersichtsarbeit zu 46 Terpenoiden mit Effekten auf Autophagie und zelluläre Seneszenz in Lungenkrebszellen in vitro (ohne In-vivo-Studien oder klinische Endpunkte).</w:t>
      </w:r>
    </w:p>
    <w:p>
      <w:r>
        <w:rPr>
          <w:b/>
        </w:rPr>
        <w:t xml:space="preserve">Ergebnis: </w:t>
      </w:r>
      <w:r>
        <w:t>Terpenoide beeinflussen zentrale Signalweg-Knoten (AMPK, NF-κB, MAPK, PI3K/AKT/mTOR, ROS, p53); begrenzte klinische Translation durch schlechte Löslichkeit und Bioverfügbarkeit. Überblick ohne Angabe von Effektgrößen oder klinischen Ergebnissen - ausgeschlossen da keine gemessenen Endpunkte beim Menschen.</w:t>
      </w:r>
    </w:p>
    <w:p>
      <w:r>
        <w:rPr>
          <w:color w:val="5A7D3A"/>
          <w:sz w:val="18"/>
        </w:rPr>
        <w:t>https://pubmed.ncbi.nlm.nih.gov/42726380/</w:t>
      </w:r>
    </w:p>
    <w:p>
      <w:pPr>
        <w:pStyle w:val="Heading2"/>
      </w:pPr>
      <w:r>
        <w:t>Muskelkraft und Mortalität im Alter: Versorgungsepidemiologie und Prävention</w:t>
      </w:r>
    </w:p>
    <w:p>
      <w:r>
        <w:rPr>
          <w:i/>
          <w:color w:val="666666"/>
          <w:sz w:val="18"/>
        </w:rPr>
        <w:t>Puelles-Diaz A  ·  Front Public Health  ·  27.08.2026  ·  PMID 42724145</w:t>
      </w:r>
    </w:p>
    <w:p>
      <w:r>
        <w:t>Analysierte Evidenz zur Muskelgesundheit (Kraft, Masse, Funktion) als eigenständiges Versorgungsziel in der Altersmedizin und entwickelte einen Implementierungsrahmen für Primary-Care-Assessment und Resistenztraining.</w:t>
      </w:r>
    </w:p>
    <w:p>
      <w:r>
        <w:rPr>
          <w:b/>
        </w:rPr>
        <w:t xml:space="preserve">Ergebnis: </w:t>
      </w:r>
      <w:r>
        <w:t>Muskelkraft sagt Mortalität voraus, unabhängig von körperlicher Aktivität; Randomisierte Studien mit bis zu 36 Monaten Nachverfolgung zeigen größere Nutzen durch Widerstands- und multimodale Trainingsprogramme (speziell bei Personen mit funktioneller Beeinträchtigung). Identifizierte drei Versorgungslücken: begrenzte Assessment-Nutzung in der Primärversorgung, fragmentierte Prävention mit Unterbewertung von Resistenztraining, fehlende funktionale Kapazität in globalen NCD-Rahmen.</w:t>
      </w:r>
    </w:p>
    <w:p>
      <w:r>
        <w:rPr>
          <w:b/>
          <w:sz w:val="19"/>
        </w:rPr>
        <w:t xml:space="preserve">Übertragbarkeit: </w:t>
      </w:r>
      <w:r>
        <w:rPr>
          <w:sz w:val="19"/>
        </w:rPr>
        <w:t>Internationale Evidenz aus Japan, Europa, Nordamerika und Brasilien mit direktem deutschem Versorgungsbezug</w:t>
      </w:r>
    </w:p>
    <w:p>
      <w:r>
        <w:rPr>
          <w:color w:val="5A7D3A"/>
          <w:sz w:val="18"/>
        </w:rPr>
        <w:t>https://pubmed.ncbi.nlm.nih.gov/42724145/</w:t>
      </w:r>
    </w:p>
    <w:p>
      <w:pPr>
        <w:pStyle w:val="Heading2"/>
      </w:pPr>
      <w:r>
        <w:t>Transitions-Care-Programm in Australien: Effektivität und Kosten 2006-2024</w:t>
      </w:r>
    </w:p>
    <w:p>
      <w:r>
        <w:rPr>
          <w:i/>
          <w:color w:val="666666"/>
          <w:sz w:val="18"/>
        </w:rPr>
        <w:t>Reid N et al.  ·  Australas J Ageing  ·  Sept. 2026  ·  PMID 42712137</w:t>
      </w:r>
    </w:p>
    <w:p>
      <w:r>
        <w:t>Analysierte 18 Jahre öffentlicher Daten zum australischen Kurz-Rehabilitations-Programm nach Klinikaufenthalt (Demografie, Inanspruchnahme, Kosten, funktioneller Status mit Modified-Barthel-Index).</w:t>
      </w:r>
    </w:p>
    <w:p>
      <w:r>
        <w:rPr>
          <w:b/>
        </w:rPr>
        <w:t xml:space="preserve">Ergebnis: </w:t>
      </w:r>
      <w:r>
        <w:t>351.981 Klienten über Studienzeitraum; Fallzahlen pro anno +143% (2006-2007 bis 2016-2017), dann Rückgang auf 14.388 (2022-2023). Verweildauer +60% (48 auf 77 Tage), Durchschnittskosten pro Episode +261% (A$9.996 auf A$36.093), jedoch minimale Änderung in Ein- (69,7-72,1) oder Austritts-MBI (79,5-83). Weniger Menschen erhalten Zugang trotz wachsender Bevölkerung und steigender zugeteilter Plätze.</w:t>
      </w:r>
    </w:p>
    <w:p>
      <w:r>
        <w:rPr>
          <w:b/>
          <w:sz w:val="19"/>
        </w:rPr>
        <w:t xml:space="preserve">Übertragbarkeit: </w:t>
      </w:r>
      <w:r>
        <w:rPr>
          <w:sz w:val="19"/>
        </w:rPr>
        <w:t>Australien, ähnliche Versorgungsstrukturen und Finanzierung wie europäische Sozialsysteme</w:t>
      </w:r>
    </w:p>
    <w:p>
      <w:r>
        <w:rPr>
          <w:color w:val="5A7D3A"/>
          <w:sz w:val="18"/>
        </w:rPr>
        <w:t>https://pubmed.ncbi.nlm.nih.gov/42712137/</w:t>
      </w:r>
    </w:p>
    <w:p>
      <w:pPr>
        <w:pStyle w:val="Heading2"/>
      </w:pPr>
      <w:r>
        <w:t>Healthspan-Strategien im italienischen Gesundheitssystem: Rahmenbedingungen und Prioritäten</w:t>
      </w:r>
    </w:p>
    <w:p>
      <w:r>
        <w:rPr>
          <w:i/>
          <w:color w:val="666666"/>
          <w:sz w:val="18"/>
        </w:rPr>
        <w:t>Marino N et al.  ·  Aging (Albany NY)  ·  16.07.2026  ·  PMID 42467494</w:t>
      </w:r>
    </w:p>
    <w:p>
      <w:r>
        <w:t>Position Paper zur Integration von Longevity Medicine (Prävention mit mehromischen Biomarkern und Risikoschichtung) in das italienische SSN vor dem Hintergrund von 24,1% der Bevölkerung ≥65 Jahre und einer Healthspan-Lücke von 15-16 Jahren.</w:t>
      </w:r>
    </w:p>
    <w:p>
      <w:r>
        <w:rPr>
          <w:b/>
        </w:rPr>
        <w:t xml:space="preserve">Ergebnis: </w:t>
      </w:r>
      <w:r>
        <w:t>Italien: höchster EU-Anteil Älterer (24,1%), median age 51 Jahre bis 2050 projiziert; Lebenserw. 85,4 (Frauen) / 81,4 (Männer) Jahre vs. gesunde Lebensjahre 69,6 / 68,5 (Lücke: 15-18 Jahre); Multimorbiditäts- und Behinderungsprävalenz &gt;60% bei ≥75-Jährigen. Empfiehlt fünf Investitionsprioritäten: validierte Biomarker biologisches Alter, digitale Plattformen, adaptive Studien, explainable-AI-Risikoschichtung, Lehrcurricula.</w:t>
      </w:r>
    </w:p>
    <w:p>
      <w:r>
        <w:rPr>
          <w:b/>
          <w:sz w:val="19"/>
        </w:rPr>
        <w:t xml:space="preserve">Übertragbarkeit: </w:t>
      </w:r>
      <w:r>
        <w:rPr>
          <w:sz w:val="19"/>
        </w:rPr>
        <w:t>Italien mit deutschsprachigem Raum vergleichbare Bevölkerungsstruktur und Sozialversicherung</w:t>
      </w:r>
    </w:p>
    <w:p>
      <w:r>
        <w:rPr>
          <w:color w:val="5A7D3A"/>
          <w:sz w:val="18"/>
        </w:rPr>
        <w:t>https://pubmed.ncbi.nlm.nih.gov/42467494/</w:t>
      </w:r>
    </w:p>
    <w:p>
      <w:pPr>
        <w:pStyle w:val="Heading1"/>
      </w:pPr>
      <w:r>
        <w:t>Aufgenommen am 13.09.2026</w:t>
      </w:r>
    </w:p>
    <w:p>
      <w:pPr>
        <w:pStyle w:val="Heading2"/>
      </w:pPr>
      <w:r>
        <w:t>Altern von Personen mit Typ-1-Diabetes: prospektive Kohorte zur funktionellen Fähigkeit</w:t>
      </w:r>
    </w:p>
    <w:p>
      <w:r>
        <w:rPr>
          <w:i/>
          <w:color w:val="666666"/>
          <w:sz w:val="18"/>
        </w:rPr>
        <w:t>Nicklén J et al.  ·  BMJ Open  ·  11.09.2026  ·  PMID 42731824</w:t>
      </w:r>
    </w:p>
    <w:p>
      <w:r>
        <w:t>Studienprotokoll für prospektive Kohortenstudie (FinnDiane LifeOne) mit mindestens 300 älteren Personen mit Typ-1-Diabetes (&gt;65 Jahre) und 100 gematchten Kontrollen zur Untersuchung der funktionellen Fähigkeit und gesunden Alterns über 5 Jahre mit geriatrischem Assessment.</w:t>
      </w:r>
    </w:p>
    <w:p>
      <w:r>
        <w:rPr>
          <w:b/>
        </w:rPr>
        <w:t xml:space="preserve">Ergebnis: </w:t>
      </w:r>
      <w:r>
        <w:t>Eingeschlossene Studien: ≥300 Patienten mit T1D, ≥100 Kontrollen, gematchte Vergleichgruppe. Umfassendes geriatrisches Assessment mit 5-jährlichen Intervallen. Fokus auf fünf Domänen der intrinsic capacity: Kognition, Vitalität, Sensomotorisch, Lokomotion, Psychologisch. Follow-up-Strukturen und Vergleichsdesign etabliert; endgültige Ergebnisse stehen aus.</w:t>
      </w:r>
    </w:p>
    <w:p>
      <w:r>
        <w:rPr>
          <w:b/>
          <w:sz w:val="19"/>
        </w:rPr>
        <w:t xml:space="preserve">Übertragbarkeit: </w:t>
      </w:r>
      <w:r>
        <w:rPr>
          <w:sz w:val="19"/>
        </w:rPr>
        <w:t>Skandinavisches Gesundheitssystem, prospektiv designt mit europäischen Standards; übertragbar auf Deutschland.</w:t>
      </w:r>
    </w:p>
    <w:p>
      <w:r>
        <w:rPr>
          <w:color w:val="5A7D3A"/>
          <w:sz w:val="18"/>
        </w:rPr>
        <w:t>https://pubmed.ncbi.nlm.nih.gov/42731824/</w:t>
      </w:r>
    </w:p>
    <w:p>
      <w:pPr>
        <w:pStyle w:val="Heading2"/>
      </w:pPr>
      <w:r>
        <w:t>Sitzzeit und Funktionsfähigkeit im Alter: Längere Sitzzeit reduziert Muskelmasse und ADL</w:t>
      </w:r>
    </w:p>
    <w:p>
      <w:r>
        <w:rPr>
          <w:i/>
          <w:color w:val="666666"/>
          <w:sz w:val="18"/>
        </w:rPr>
        <w:t>Yoon TH et al.  ·  PeerJ  ·  08.09.2026  ·  PMID 42730319</w:t>
      </w:r>
    </w:p>
    <w:p>
      <w:r>
        <w:t>Querschnittstudie an 200 Älteren (65–96 Jahre) zur Assoziation von täglicher Sitzzeit (&lt;6, 6–8, &gt;8 h) mit Sarcopenia-Markern und funktioneller Unabhängigkeit in ADL und IADL.</w:t>
      </w:r>
    </w:p>
    <w:p>
      <w:r>
        <w:rPr>
          <w:b/>
        </w:rPr>
        <w:t xml:space="preserve">Ergebnis: </w:t>
      </w:r>
      <w:r>
        <w:t>Höhere Sitzzeit war negativ mit Appendicular Skeletal Muscle (β = −0,415; p &lt; 0,001), Wadenschritt (β = −0,442; p &lt; 0,001) und Griffstärke (β = −0,385; p &lt; 0,001) assoziiert und positiv mit 5-Stühle-Stand-Test (β = 0,465; p &lt; 0,001). Sitzzeit korrelierte negativ mit ADL-Summe (β = −0,308; p &lt; 0,001) und IADL-Summe (β = −0,410; p &lt; 0,001). Assoziationen blieben nach Altersadjustierung signifikant.</w:t>
      </w:r>
    </w:p>
    <w:p>
      <w:r>
        <w:rPr>
          <w:b/>
          <w:sz w:val="19"/>
        </w:rPr>
        <w:t xml:space="preserve">Übertragbarkeit: </w:t>
      </w:r>
      <w:r>
        <w:rPr>
          <w:sz w:val="19"/>
        </w:rPr>
        <w:t>Prävention durch Reduktion von Sitzzeit ist in allen europäischen Kontexten implementierbar.</w:t>
      </w:r>
    </w:p>
    <w:p>
      <w:r>
        <w:rPr>
          <w:color w:val="5A7D3A"/>
          <w:sz w:val="18"/>
        </w:rPr>
        <w:t>https://pubmed.ncbi.nlm.nih.gov/42730319/</w:t>
      </w:r>
    </w:p>
    <w:p>
      <w:pPr>
        <w:pStyle w:val="Heading2"/>
      </w:pPr>
      <w:r>
        <w:t>Frailty und kognitives Altern: Assoziationen mit ungünstigeren kognitiven Verlaufsmustern</w:t>
      </w:r>
    </w:p>
    <w:p>
      <w:r>
        <w:rPr>
          <w:i/>
          <w:color w:val="666666"/>
          <w:sz w:val="18"/>
        </w:rPr>
        <w:t>Wang X et al.  ·  Alzheimers Dement  ·  Sept. 2026  ·  PMID 42723149</w:t>
      </w:r>
    </w:p>
    <w:p>
      <w:r>
        <w:t>Längsschnittstudie an 19.586 Personen aus drei nationalen Kohorten (China, England, USA) zur Assoziation von Frailty-Status und kognitiver Veränderung über Zeit.</w:t>
      </w:r>
    </w:p>
    <w:p>
      <w:r>
        <w:rPr>
          <w:b/>
        </w:rPr>
        <w:t xml:space="preserve">Ergebnis: </w:t>
      </w:r>
      <w:r>
        <w:t>Baseline-Frailty war mit stärkerem jährlichen kognitiven Rückgang assoziiert (β = −0,023 SD/Jahr; p &lt; 0,001). Verschlechterung von robust zu pre-frail oder frail war mit mehr negativem Rückgang verbunden (β = −0,025 SD/Jahr). In trajektoriengestützen Analysen zeigten Baseline-Frailty, höhere mittlere Frailty-Last und Frailty-Verschlechterung Assoziationen mit weniger günstigen kognitiven Verläufen. Frailty-Verbesserung war direktional mit günstigeren Gruppen assoziiert.</w:t>
      </w:r>
    </w:p>
    <w:p>
      <w:r>
        <w:rPr>
          <w:b/>
          <w:sz w:val="19"/>
        </w:rPr>
        <w:t xml:space="preserve">Übertragbarkeit: </w:t>
      </w:r>
      <w:r>
        <w:rPr>
          <w:sz w:val="19"/>
        </w:rPr>
        <w:t>Vergleichbare nationale Gesundheitsdatenstrukturen; kognitives Altern als Endpunkt relevant für deutsche Versorgung.</w:t>
      </w:r>
    </w:p>
    <w:p>
      <w:r>
        <w:rPr>
          <w:color w:val="5A7D3A"/>
          <w:sz w:val="18"/>
        </w:rPr>
        <w:t>https://pubmed.ncbi.nlm.nih.gov/42723149/</w:t>
      </w:r>
    </w:p>
    <w:p>
      <w:pPr>
        <w:pStyle w:val="Heading2"/>
      </w:pPr>
      <w:r>
        <w:t>Frailty und COPD: bidirektionale Beziehung im Kontext von Systemalterung und Trainingsresponse</w:t>
      </w:r>
    </w:p>
    <w:p>
      <w:r>
        <w:rPr>
          <w:i/>
          <w:color w:val="666666"/>
          <w:sz w:val="18"/>
        </w:rPr>
        <w:t>Maniscalco M et al.  ·  Eur Respir Rev  ·  09.09.2026  ·  PMID 42716547</w:t>
      </w:r>
    </w:p>
    <w:p>
      <w:r>
        <w:t>Narrative Übersichtsarbeit zu biologischen und klinischen Verbindungen von COPD, Frailty und körperlicher Aktivität unter Anwendung von Geroscience-Prinzipien.</w:t>
      </w:r>
    </w:p>
    <w:p>
      <w:r>
        <w:rPr>
          <w:b/>
        </w:rPr>
        <w:t xml:space="preserve">Ergebnis: </w:t>
      </w:r>
      <w:r>
        <w:t>Gemeinsame biologische Mechanismen: chronische Entzündung, oxidativer Stress, Mitochondriendysfunktion, Muskelatrophie. Kombiniertes aerobes, Widerstands- und Balance-Training zeigt stärkste Evidenz zur Verbesserung von Funktionsstatus und Lebensqualität bei frail-COPD. Exercise induziert Hormeseeffekte: gesteigerte Mitochondriogenese, verbessertes Redox-Balance, Upregulation von antioxidativen Wegen und Zellreparaturmechanismen.</w:t>
      </w:r>
    </w:p>
    <w:p>
      <w:r>
        <w:rPr>
          <w:b/>
          <w:sz w:val="19"/>
        </w:rPr>
        <w:t xml:space="preserve">Übertragbarkeit: </w:t>
      </w:r>
      <w:r>
        <w:rPr>
          <w:sz w:val="19"/>
        </w:rPr>
        <w:t>Geroscience-Rahmen auf deutsche COPD-Versorgung und Rehabilitation übertragbar.</w:t>
      </w:r>
    </w:p>
    <w:p>
      <w:r>
        <w:rPr>
          <w:color w:val="5A7D3A"/>
          <w:sz w:val="18"/>
        </w:rPr>
        <w:t>https://pubmed.ncbi.nlm.nih.gov/42716547/</w:t>
      </w:r>
    </w:p>
    <w:p>
      <w:pPr>
        <w:pStyle w:val="Heading2"/>
      </w:pPr>
      <w:r>
        <w:t>Normaler altersgerechter Rückgang der Vitalkapazität: systematische Analyse und Metaanalyse</w:t>
      </w:r>
    </w:p>
    <w:p>
      <w:r>
        <w:rPr>
          <w:i/>
          <w:color w:val="666666"/>
          <w:sz w:val="18"/>
        </w:rPr>
        <w:t>Satia I et al.  ·  Eur Respir Rev  ·  09.09.2026  ·  PMID 42716546</w:t>
      </w:r>
    </w:p>
    <w:p>
      <w:r>
        <w:t>Systematische Übersichtsarbeit und Metaanalyse von 35 Kohorten mit über 365.000 Teilnehmern zu altersbezogenen Veränderungen der Vitalkapazität (FVC) bei Personen ohne Lungenerkrankung über bis zu 35 Jahre Follow-up.</w:t>
      </w:r>
    </w:p>
    <w:p>
      <w:r>
        <w:rPr>
          <w:b/>
        </w:rPr>
        <w:t xml:space="preserve">Ergebnis: </w:t>
      </w:r>
      <w:r>
        <w:t>FVC erreicht Spitzenwert Mitte 20er, sinkt kontinuierlich linear ab ohne Plateau. Bei Frauen Abfall von ca. 26 mL/Jahr, bei Männern biphasisch: ca. 22 mL/Jahr vor 40 Jahren, dann ca. 36 mL/Jahr. Durchschnittlicher altersgerechter Rückgang 20–30 mL pro Jahr. Diese normativen Trajektorien sind essentiell zur Differenzierung gesunden Alterns von pathologischem Rückgang.</w:t>
      </w:r>
    </w:p>
    <w:p>
      <w:r>
        <w:rPr>
          <w:b/>
          <w:sz w:val="19"/>
        </w:rPr>
        <w:t xml:space="preserve">Übertragbarkeit: </w:t>
      </w:r>
      <w:r>
        <w:rPr>
          <w:sz w:val="19"/>
        </w:rPr>
        <w:t>Deutschland und europäische Spirometriestandards; Benchmark ist grundlegend für klinische Interpretation.</w:t>
      </w:r>
    </w:p>
    <w:p>
      <w:r>
        <w:rPr>
          <w:color w:val="5A7D3A"/>
          <w:sz w:val="18"/>
        </w:rPr>
        <w:t>https://pubmed.ncbi.nlm.nih.gov/42716546/</w:t>
      </w:r>
    </w:p>
    <w:p>
      <w:pPr>
        <w:pStyle w:val="Heading2"/>
      </w:pPr>
      <w:r>
        <w:t>Netzwerk-Analyse der Lebensqualität bei älteren Koreanern: Depression dominiert das frail-Netzwerk</w:t>
      </w:r>
    </w:p>
    <w:p>
      <w:r>
        <w:rPr>
          <w:i/>
          <w:color w:val="666666"/>
          <w:sz w:val="18"/>
        </w:rPr>
        <w:t>Kim S et al.  ·  Geriatr Gerontol Int  ·  Sept. 2026  ·  PMID 42716517</w:t>
      </w:r>
    </w:p>
    <w:p>
      <w:r>
        <w:t>Netzwerk-Analyse an 1.311 älteren Koreanern (≥65 Jahre) zur Struktur der gesundheitsbezogenen Lebensqualität (HRQoL) im Vergleich zwischen frail und non-frail-Gruppen.</w:t>
      </w:r>
    </w:p>
    <w:p>
      <w:r>
        <w:rPr>
          <w:b/>
        </w:rPr>
        <w:t xml:space="preserve">Ergebnis: </w:t>
      </w:r>
      <w:r>
        <w:t>Bei frail-Gruppe war Depression-Glück die stärkste Assoziation mit hoher Zentralität bei Arbeit, Depression, Glück und Schlaf. Bei non-frail-Gruppe dominierten physikalisch-soziale Domänen (Treppensteigen-Schmerz stärkster Link, zentral: Arbeit, Treppensteigen, Schmerz). Arbeit zeigte konsistent hohe Zentralität in beiden Gruppen, was Rollenpartizipation als Hebel für HRQoL-Verbesserung unterstreicht.</w:t>
      </w:r>
    </w:p>
    <w:p>
      <w:r>
        <w:rPr>
          <w:b/>
          <w:sz w:val="19"/>
        </w:rPr>
        <w:t xml:space="preserve">Übertragbarkeit: </w:t>
      </w:r>
      <w:r>
        <w:rPr>
          <w:sz w:val="19"/>
        </w:rPr>
        <w:t>Strukturelle Vergleichbarkeit der Frailty-Definitionen mit europäischen Standards gegeben.</w:t>
      </w:r>
    </w:p>
    <w:p>
      <w:r>
        <w:rPr>
          <w:color w:val="5A7D3A"/>
          <w:sz w:val="18"/>
        </w:rPr>
        <w:t>https://pubmed.ncbi.nlm.nih.gov/42716517/</w:t>
      </w:r>
    </w:p>
    <w:p>
      <w:pPr>
        <w:pStyle w:val="Heading2"/>
      </w:pPr>
      <w:r>
        <w:t>Hereditäre hämorrhagische Teleangiektasie reduziert die Lebenserwartung um 7,5 Jahre</w:t>
      </w:r>
    </w:p>
    <w:p>
      <w:r>
        <w:rPr>
          <w:i/>
          <w:color w:val="666666"/>
          <w:sz w:val="18"/>
        </w:rPr>
        <w:t>Emanuelsson CA et al.  ·  J Intern Med  ·  06.07.2026  ·  PMID 42410718</w:t>
      </w:r>
    </w:p>
    <w:p>
      <w:r>
        <w:t>Schwedische populationsbasierte Registerstudie mit 393 HHT-Patienten und 1.965 alters- und geschlechtsgematchten Kontrollen zur Mortalität und Todesursachen über 17 Jahre Nachbeobachtung (2001–2018).</w:t>
      </w:r>
    </w:p>
    <w:p>
      <w:r>
        <w:rPr>
          <w:b/>
        </w:rPr>
        <w:t xml:space="preserve">Ergebnis: </w:t>
      </w:r>
      <w:r>
        <w:t>Lebenserwartung nach 30 Jahren bei HHT: 73,0 Jahre (68,0–77,2) vs. 80,5 Jahre (79,1–82,0) bei Kontrollen; Differenz 7,5 Jahre. Häufigere Todesursachen bei HHT: ischämische Herzerkrankung, arterielle Erkrankungen und Leberkrankheiten signifikant erhöht. HHT-Prävalenz: 9,3 pro 100.000 über 12 Jahre; mögliche Unterdiagnose bei milderen Symptomen.</w:t>
      </w:r>
    </w:p>
    <w:p>
      <w:r>
        <w:rPr>
          <w:b/>
          <w:sz w:val="19"/>
        </w:rPr>
        <w:t xml:space="preserve">Übertragbarkeit: </w:t>
      </w:r>
      <w:r>
        <w:rPr>
          <w:sz w:val="19"/>
        </w:rPr>
        <w:t>Skandinavisches Register mit Deutschland vergleichbar; Versorgungsplanning für rare diseases relevant.</w:t>
      </w:r>
    </w:p>
    <w:p>
      <w:r>
        <w:rPr>
          <w:color w:val="5A7D3A"/>
          <w:sz w:val="18"/>
        </w:rPr>
        <w:t>https://pubmed.ncbi.nlm.nih.gov/42410718/</w:t>
      </w:r>
    </w:p>
    <w:p>
      <w:pPr>
        <w:pStyle w:val="Heading1"/>
      </w:pPr>
      <w:r>
        <w:t>Aufgenommen am 12.09.2026</w:t>
      </w:r>
    </w:p>
    <w:p>
      <w:pPr>
        <w:pStyle w:val="Heading2"/>
      </w:pPr>
      <w:r>
        <w:t>Multimorbidität im hohen Alter: Krankheitsansammlung verlangsamt sich, Komplexität nimmt zu</w:t>
      </w:r>
    </w:p>
    <w:p>
      <w:r>
        <w:rPr>
          <w:i/>
          <w:color w:val="666666"/>
          <w:sz w:val="18"/>
        </w:rPr>
        <w:t>Zhang Y et al.  ·  Age Ageing  ·  04.09.2026  ·  PMID 42726903</w:t>
      </w:r>
    </w:p>
    <w:p>
      <w:r>
        <w:t>Schwedische Registeranalyse der Krankheitsansammlung bei 1920–1922 geborenen Personen von Alter 70 bis 100 Jahren.</w:t>
      </w:r>
    </w:p>
    <w:p>
      <w:r>
        <w:rPr>
          <w:b/>
        </w:rPr>
        <w:t xml:space="preserve">Ergebnis: </w:t>
      </w:r>
      <w:r>
        <w:t>Mit 90 Jahren durchschnittlich 3,9 Erkrankungen bei Männern und 3,5 bei Frauen; über die Hälfte der ≥95-Jährigen hatte ≥5 Erkrankungen. Krankheitsansammlung beschleunigte sich bis 80, stabilisierte sich 80–90, verlangsamte sich danach, aber Komplexität und Krankheitslast stiegen bis ins extreme Alter weiter. Kardiovaskuläre Erkrankungen dominierten durchgehend, Muskel- und Sinneserkrankungen wurden im hohen Alter wichtiger.</w:t>
      </w:r>
    </w:p>
    <w:p>
      <w:r>
        <w:rPr>
          <w:b/>
          <w:sz w:val="19"/>
        </w:rPr>
        <w:t xml:space="preserve">Übertragbarkeit: </w:t>
      </w:r>
      <w:r>
        <w:rPr>
          <w:sz w:val="19"/>
        </w:rPr>
        <w:t>Schweden, vergleichbare Lebenserwartung und Versorgungsstruktur</w:t>
      </w:r>
    </w:p>
    <w:p>
      <w:r>
        <w:rPr>
          <w:color w:val="5A7D3A"/>
          <w:sz w:val="18"/>
        </w:rPr>
        <w:t>https://pubmed.ncbi.nlm.nih.gov/42726903/</w:t>
      </w:r>
    </w:p>
    <w:p>
      <w:pPr>
        <w:pStyle w:val="Heading2"/>
      </w:pPr>
      <w:r>
        <w:t>Gebrechlichkeit bei Multimorbidität: Prävalenz und Risikofaktoren in der Gemeinde</w:t>
      </w:r>
    </w:p>
    <w:p>
      <w:r>
        <w:rPr>
          <w:i/>
          <w:color w:val="666666"/>
          <w:sz w:val="18"/>
        </w:rPr>
        <w:t>Feng S et al.  ·  Front Public Health  ·  27.08.2026  ·  PMID 42725090</w:t>
      </w:r>
    </w:p>
    <w:p>
      <w:r>
        <w:t>Querschnittsstudie bei 346 multimorbiden älteren Erwachsenen (≥60 Jahre) in fünf Gemeinden Chinas zur Prävalenz und unabhängigen Risikofaktoren für Gebrechlichkeit (Frailty).</w:t>
      </w:r>
    </w:p>
    <w:p>
      <w:r>
        <w:rPr>
          <w:b/>
        </w:rPr>
        <w:t xml:space="preserve">Ergebnis: </w:t>
      </w:r>
      <w:r>
        <w:t>52,9% (183/346) waren gebrechlich. Unabhängige Faktoren: Alter 70–80 Jahre (OR 2,64, 95%-KI 1,03–6,79), ≥80 Jahre (OR 4,92, 1,87–12,96); Krankenhausaufnahme wegen akuter Ereignisse im vergangenen Jahr (OR 1,84, 1,04–3,27); Landbewohner vs. städtisch (OR 0,34, 0,19–0,60). Normale Ernährung (OR 0,23, 0,16–0,50) und volle Aktivitätsunabhängigkeit (OR 0,21, 0,06–0,79) waren protektiv. Familienbetreuung vs. Selbstpflege (OR 0,39, 0,16–0,95) reduzierte Frailty-Risiko.</w:t>
      </w:r>
    </w:p>
    <w:p>
      <w:r>
        <w:rPr>
          <w:b/>
          <w:sz w:val="19"/>
        </w:rPr>
        <w:t xml:space="preserve">Übertragbarkeit: </w:t>
      </w:r>
      <w:r>
        <w:rPr>
          <w:sz w:val="19"/>
        </w:rPr>
        <w:t>China, andere Gesundheitsinfrastruktur; Screening-Muster teilweise übertragbar</w:t>
      </w:r>
    </w:p>
    <w:p>
      <w:r>
        <w:rPr>
          <w:color w:val="5A7D3A"/>
          <w:sz w:val="18"/>
        </w:rPr>
        <w:t>https://pubmed.ncbi.nlm.nih.gov/42725090/</w:t>
      </w:r>
    </w:p>
    <w:p>
      <w:pPr>
        <w:pStyle w:val="Heading2"/>
      </w:pPr>
      <w:r>
        <w:t>Präoperative Gebrechlichkeit und postoperative Komplikationen bei Hüftfrakturchirurgie</w:t>
      </w:r>
    </w:p>
    <w:p>
      <w:r>
        <w:rPr>
          <w:i/>
          <w:color w:val="666666"/>
          <w:sz w:val="18"/>
        </w:rPr>
        <w:t>Yonekura H et al.  ·  Geriatr Gerontol Int  ·  Sept. 2026  ·  PMID 42723340</w:t>
      </w:r>
    </w:p>
    <w:p>
      <w:r>
        <w:t>Analyse von 29.684 älteren Patienten (≥65 Jahre) in Japan mit Hüftfrakturoperationen (2005–2021) zu Assoziationen zwischen präoperativem Frailty-Risiko-Score und postoperativen Komplikationen mittels Krankenhausregister.</w:t>
      </w:r>
    </w:p>
    <w:p>
      <w:r>
        <w:rPr>
          <w:b/>
        </w:rPr>
        <w:t xml:space="preserve">Ergebnis: </w:t>
      </w:r>
      <w:r>
        <w:t>59,5% (17.656) waren gebrechlich (Hospital Frailty Risk Score ≥5). Präoperative Gebrechlichkeit nicht mit akutem Nierenversagen assoziiert (OR 0,97, KI 0,83–1,14; p=0,72) oder Major Adverse Kidney Events (OR 1,07, 0,80–1,44; p=0,65), aber signifikant mit Lungenkomplikationen (OR 1,68, 1,39–2,02; p&lt;0,001), postoperativem Delir (OR 1,35, 1,13–1,62; p&lt;0,001), höherer Transfusionsrate und längerer Krankenhausdauer assoziiert.</w:t>
      </w:r>
    </w:p>
    <w:p>
      <w:r>
        <w:rPr>
          <w:b/>
          <w:sz w:val="19"/>
        </w:rPr>
        <w:t xml:space="preserve">Übertragbarkeit: </w:t>
      </w:r>
      <w:r>
        <w:rPr>
          <w:sz w:val="19"/>
        </w:rPr>
        <w:t>Japan, vergleichbare Finanzierung, Operationsindikationen ähnlich zu Deutschland</w:t>
      </w:r>
    </w:p>
    <w:p>
      <w:r>
        <w:rPr>
          <w:color w:val="5A7D3A"/>
          <w:sz w:val="18"/>
        </w:rPr>
        <w:t>https://pubmed.ncbi.nlm.nih.gov/42723340/</w:t>
      </w:r>
    </w:p>
    <w:p>
      <w:pPr>
        <w:pStyle w:val="Heading2"/>
      </w:pPr>
      <w:r>
        <w:t>Gebrechlichkeit am Lebensende: wer hat Anspruch auf assistierten Freitod?</w:t>
      </w:r>
    </w:p>
    <w:p>
      <w:r>
        <w:rPr>
          <w:i/>
          <w:color w:val="666666"/>
          <w:sz w:val="18"/>
        </w:rPr>
        <w:t>Squeri T et al.  ·  Age Ageing  ·  04.09.2026  ·  PMID 42709408</w:t>
      </w:r>
    </w:p>
    <w:p>
      <w:r>
        <w:t>Vergleichende Analyse der Häufigkeit und rechtlichen Zulässigkeit von Gebrechlichkeit (Frailty) als Indikation für assistierten Freitod in Jurisdiktionen mit reguliertem Zugang.</w:t>
      </w:r>
    </w:p>
    <w:p>
      <w:r>
        <w:rPr>
          <w:b/>
        </w:rPr>
        <w:t xml:space="preserve">Ergebnis: </w:t>
      </w:r>
      <w:r>
        <w:t>Nur Kanada und Niederlande berichten die Häufigkeit: 9,07% der Freitode in Kanada 2023 waren mit Gebrechlichkeit assoziiert (als Hauptdiagnose oder Komorbidität), in den Niederlanden 3,85% mit multiplen geriatrischen Syndromen. 11 Jurisdiktionen: Gebrechlichkeit wahrscheinlich nicht zulässig; 6: schwere Gebrechlichkeit erfüllt Kriterien; 14: unklar. Erhebliches Reporting-Defizit und regulatorische Mehrdeutigkeit.</w:t>
      </w:r>
    </w:p>
    <w:p>
      <w:r>
        <w:rPr>
          <w:b/>
          <w:sz w:val="19"/>
        </w:rPr>
        <w:t xml:space="preserve">Übertragbarkeit: </w:t>
      </w:r>
      <w:r>
        <w:rPr>
          <w:sz w:val="19"/>
        </w:rPr>
        <w:t>Internationale Perspektive, begrenzte Relevanz für deutsches Recht</w:t>
      </w:r>
    </w:p>
    <w:p>
      <w:r>
        <w:rPr>
          <w:color w:val="5A7D3A"/>
          <w:sz w:val="18"/>
        </w:rPr>
        <w:t>https://pubmed.ncbi.nlm.nih.gov/42709408/</w:t>
      </w:r>
    </w:p>
    <w:p>
      <w:pPr>
        <w:pStyle w:val="Heading2"/>
      </w:pPr>
      <w:r>
        <w:t>Kognitive Alterung als sozial strukturierter Prozess: Lebenskurs, Ungleichheit und institutionelle Kontexte</w:t>
      </w:r>
    </w:p>
    <w:p>
      <w:r>
        <w:rPr>
          <w:i/>
          <w:color w:val="666666"/>
          <w:sz w:val="18"/>
        </w:rPr>
        <w:t>Bertogg A et al.  ·  Soc Sci Med  ·  01.08.2026  ·  PMID 42561791</w:t>
      </w:r>
    </w:p>
    <w:p>
      <w:r>
        <w:t>Editorial zu Spezialausgabe, die kognitives Altern als von Lebenslauf, sozialen Ungleichheiten und Institutionen geprägte Prozesse konzeptualisiert; Synthese länderübergreifender Studien aus Europa, Nordamerika, Lateinamerika und Asien.</w:t>
      </w:r>
    </w:p>
    <w:p>
      <w:r>
        <w:rPr>
          <w:b/>
        </w:rPr>
        <w:t xml:space="preserve">Ergebnis: </w:t>
      </w:r>
      <w:r>
        <w:t>Längsschnittstudien, Register, qualitative Interviews und ethnographische Arbeiten dokumentieren bleibende Einflüsse von Kindheitsbedingungen, Bildung, Berufslaufbahn, Familie, sozialer Partizipation, Nachbarschaft und Wohlfahrtsregimen auf späte kognitive Leistung. Ungleichheiten nach Geschlecht, Ethnie, Migrationshintergrund und Ort prägen kognitives Altern über die Lebensspanne. Infrastruktur, Gesundheitssysteme und politisch-ökonomische Veränderungen beeinflussen kognitive Reserven.</w:t>
      </w:r>
    </w:p>
    <w:p>
      <w:r>
        <w:rPr>
          <w:b/>
          <w:sz w:val="19"/>
        </w:rPr>
        <w:t xml:space="preserve">Übertragbarkeit: </w:t>
      </w:r>
      <w:r>
        <w:rPr>
          <w:sz w:val="19"/>
        </w:rPr>
        <w:t>Europäische und deutschsprachige Beiträge, vergleichbare Wohlfahrtssysteme</w:t>
      </w:r>
    </w:p>
    <w:p>
      <w:r>
        <w:rPr>
          <w:color w:val="5A7D3A"/>
          <w:sz w:val="18"/>
        </w:rPr>
        <w:t>https://pubmed.ncbi.nlm.nih.gov/42561791/</w:t>
      </w:r>
    </w:p>
    <w:p>
      <w:pPr>
        <w:pStyle w:val="Heading2"/>
      </w:pPr>
      <w:r>
        <w:t>Berufswahl Geriatrie: persönliche Zuneigung und Spezialisierungsanreize bei Medizinern</w:t>
      </w:r>
    </w:p>
    <w:p>
      <w:r>
        <w:rPr>
          <w:i/>
          <w:color w:val="666666"/>
          <w:sz w:val="18"/>
        </w:rPr>
        <w:t>Martín ML et al.  ·  Eur Geriatr Med  ·  11.07.2026  ·  PMID 42435263</w:t>
      </w:r>
    </w:p>
    <w:p>
      <w:r>
        <w:t>Qualitative Befragung (N=129) spanischer Medizinresidenten zu Faktoren, die die Wahl der Geriatrie beeinflussen, und Einfluss geriatrischer Schulung während des Studiums.</w:t>
      </w:r>
    </w:p>
    <w:p>
      <w:r>
        <w:rPr>
          <w:b/>
        </w:rPr>
        <w:t xml:space="preserve">Ergebnis: </w:t>
      </w:r>
      <w:r>
        <w:t>89% bereits mit Fachgebiet vertraut; 46% hatten theoretische und praktische geriatrische Schulung während des Studiums erhalten. Häufigste Faktoren: Affinität zu älteren Menschen (95%), Patientenkommunikation und Familie (90%), multidisziplinäres Arbeiten (86%), klinische Komplexität (84%), Multimorbidität (82%). Mit vollständiger geriatrischer Schulung 75% vs. 54% (p=0,02) erwogen Geriatrie als Fachgebiet; klinische Komplexität war signifikant wichtiger unter denen mit vollständiger Schulung (92% vs. 77%, p=0,027).</w:t>
      </w:r>
    </w:p>
    <w:p>
      <w:r>
        <w:rPr>
          <w:b/>
          <w:sz w:val="19"/>
        </w:rPr>
        <w:t xml:space="preserve">Übertragbarkeit: </w:t>
      </w:r>
      <w:r>
        <w:rPr>
          <w:sz w:val="19"/>
        </w:rPr>
        <w:t>Spanien, europäische Gesundheitspolitik, Ärztenachwuchs vergleichbar</w:t>
      </w:r>
    </w:p>
    <w:p>
      <w:r>
        <w:rPr>
          <w:color w:val="5A7D3A"/>
          <w:sz w:val="18"/>
        </w:rPr>
        <w:t>https://pubmed.ncbi.nlm.nih.gov/42435263/</w:t>
      </w:r>
    </w:p>
    <w:p>
      <w:pPr>
        <w:pStyle w:val="Heading1"/>
      </w:pPr>
      <w:r>
        <w:t>Aufgenommen am 11.09.2026</w:t>
      </w:r>
    </w:p>
    <w:p>
      <w:pPr>
        <w:pStyle w:val="Heading2"/>
      </w:pPr>
      <w:r>
        <w:t>Gesunde Arbeitsjahre: Länder- und individuelle Faktoren in multinationaler Kohorte</w:t>
      </w:r>
    </w:p>
    <w:p>
      <w:r>
        <w:rPr>
          <w:i/>
          <w:color w:val="666666"/>
          <w:sz w:val="18"/>
        </w:rPr>
        <w:t>Zhu J et al.  ·  PLoS Med  ·  10.09.2026  ·  PMID 42721193</w:t>
      </w:r>
    </w:p>
    <w:p>
      <w:r>
        <w:t>Multinational prospektive Kohortenstudie mit 79.833 Männern und 95.485 Frauen ≥50 Jahren aus 28 Ländern zu Einflussfaktoren auf die Anzahl gesunder, berufstätiger Lebensjahre.</w:t>
      </w:r>
    </w:p>
    <w:p>
      <w:r>
        <w:rPr>
          <w:b/>
        </w:rPr>
        <w:t xml:space="preserve">Ergebnis: </w:t>
      </w:r>
      <w:r>
        <w:t>Mit 50 Jahren: durchschnittliche Gesamtlebenserwartung 33,59 Jahre, davon 10,98 Jahre in Gesundheit und Erwerbstätigkeit (HWLE). Frauen: 9,82 Jahre HWLE, Männer: 12,36 Jahre. Verheiratung, höhere Bildung, gesunde Lebensstile verlängern HWLE. Schlaganfall reduziert HWLE um 5,49 Jahre. Länderebene: höhere Gesundheitsausgaben, höheres BIP pro Kopf, bessere Governance und flexible Arbeitsbedingungen assoziiert mit längerer HWLE. Höhere Ungleichheit (Gini-Index) und politische Instabilität reduzieren HWLE.</w:t>
      </w:r>
    </w:p>
    <w:p>
      <w:r>
        <w:rPr>
          <w:b/>
          <w:sz w:val="19"/>
        </w:rPr>
        <w:t xml:space="preserve">Übertragbarkeit: </w:t>
      </w:r>
      <w:r>
        <w:rPr>
          <w:sz w:val="19"/>
        </w:rPr>
        <w:t>Länderübergreifend, einzelne europäische Länder eingeschlossen, zeigt Wirksamkeit von Prävention und Arbeitsbedingungen</w:t>
      </w:r>
    </w:p>
    <w:p>
      <w:r>
        <w:rPr>
          <w:color w:val="5A7D3A"/>
          <w:sz w:val="18"/>
        </w:rPr>
        <w:t>https://pubmed.ncbi.nlm.nih.gov/42721193/</w:t>
      </w:r>
    </w:p>
    <w:p>
      <w:pPr>
        <w:pStyle w:val="Heading2"/>
      </w:pPr>
      <w:r>
        <w:t>Biologisches Altern und Osteoarthritis-Risiko: Kohortenstudie UK Biobank</w:t>
      </w:r>
    </w:p>
    <w:p>
      <w:r>
        <w:rPr>
          <w:i/>
          <w:color w:val="666666"/>
          <w:sz w:val="18"/>
        </w:rPr>
        <w:t>Liu S et al.  ·  Int J Rheum Dis  ·  Sept. 2026  ·  PMID 42687813</w:t>
      </w:r>
    </w:p>
    <w:p>
      <w:r>
        <w:t>Querschnitts- und Längsschnittanalyse an 332.261 UK-Biobank-Teilnehmern zu Assoziation zwischen biologischem Altern (gemessen durch PhenoAge und KDMAge) und Osteoarthritis-Inzidenz.</w:t>
      </w:r>
    </w:p>
    <w:p>
      <w:r>
        <w:rPr>
          <w:b/>
        </w:rPr>
        <w:t xml:space="preserve">Ergebnis: </w:t>
      </w:r>
      <w:r>
        <w:t>55,4 % der Kohorte zeigten jüngeres biologisches Alter (PhenoAge Acceleration). Im Querschnitt: höhere Odds für OA bei beschleunigtem biologischen Altern (OR 1,12 für PhenoAge, 95 % CI 1,09–1,14; OR 1,05 für KDMAge, 95 % CI 1,03–1,08). Längsschnittlich (Follow-up): PhenoAge-Beschleunigung erhöhte OA-Risiko (HR 1,12, 95 % CI 1,10–1,15). KDMAge zeigte keine signifikante Längsassoziaton. Effekt stärker bei &gt;60 Jahren. Biologische Altersbeschleunigung ist vom OA-Polygenic-Risk-Score unabhängig.</w:t>
      </w:r>
    </w:p>
    <w:p>
      <w:r>
        <w:rPr>
          <w:b/>
          <w:sz w:val="19"/>
        </w:rPr>
        <w:t xml:space="preserve">Übertragbarkeit: </w:t>
      </w:r>
      <w:r>
        <w:rPr>
          <w:sz w:val="19"/>
        </w:rPr>
        <w:t>UK Biobank, vergleichbares englisches Sozialversicherungssystem, biomarkergestützte Risikovorhersage</w:t>
      </w:r>
    </w:p>
    <w:p>
      <w:r>
        <w:rPr>
          <w:color w:val="5A7D3A"/>
          <w:sz w:val="18"/>
        </w:rPr>
        <w:t>https://pubmed.ncbi.nlm.nih.gov/42687813/</w:t>
      </w:r>
    </w:p>
    <w:p>
      <w:pPr>
        <w:pStyle w:val="Heading2"/>
      </w:pPr>
      <w:r>
        <w:t>Hochaltrige in Deutschland: Demografie, regionale Ungleichheiten und Gesundheit</w:t>
      </w:r>
    </w:p>
    <w:p>
      <w:r>
        <w:rPr>
          <w:i/>
          <w:color w:val="666666"/>
          <w:sz w:val="18"/>
        </w:rPr>
        <w:t>Wolter B et al.  ·  Bundesgesundheitsblatt Gesundheitsforschung Gesundheitsschutz  ·  18.08.2026  ·  PMID 42611051</w:t>
      </w:r>
    </w:p>
    <w:p>
      <w:r>
        <w:t>Deutschlandweite Beschreibung der Demografie, Lebenslage und Gesundheit von über 80-Jährigen auf Basis der repräsentativen Studien Gesundheit 65+ und D80+.</w:t>
      </w:r>
    </w:p>
    <w:p>
      <w:r>
        <w:rPr>
          <w:b/>
        </w:rPr>
        <w:t xml:space="preserve">Ergebnis: </w:t>
      </w:r>
      <w:r>
        <w:t>Etwa ein Viertel der Hochaltrigen hat starke funktionale Einschränkungen (beide Datensätze konsistent). Männer zeigen bessere Alltagsfunktionalität als Frauen. Ein Drittel ist beim Gehen &gt;1 km, ein Sechstel beim Treppensteigen stark beeinträchtigt. Schwere Sehverluste bei 10 %, Hörverluste bei 27 %. Harninkontinenz betrifft 40 % (Frauen häufiger). 43 % sind pre-frail, 8,6 % frail. Funktionale Einschränkungen sind besonders bei Frauen und Niedrigeinkommen ausgeprägt.</w:t>
      </w:r>
    </w:p>
    <w:p>
      <w:r>
        <w:rPr>
          <w:b/>
          <w:sz w:val="19"/>
        </w:rPr>
        <w:t xml:space="preserve">Übertragbarkeit: </w:t>
      </w:r>
      <w:r>
        <w:rPr>
          <w:sz w:val="19"/>
        </w:rPr>
        <w:t>Deutsche Daten aus RKI und ceres, direkt anwendbar</w:t>
      </w:r>
    </w:p>
    <w:p>
      <w:r>
        <w:rPr>
          <w:color w:val="5A7D3A"/>
          <w:sz w:val="18"/>
        </w:rPr>
        <w:t>https://pubmed.ncbi.nlm.nih.gov/42611051/</w:t>
      </w:r>
    </w:p>
    <w:p>
      <w:pPr>
        <w:pStyle w:val="Heading2"/>
      </w:pPr>
      <w:r>
        <w:t>Präventive Hausbesuche zur Gesundheitsförderung älterer Menschen</w:t>
      </w:r>
    </w:p>
    <w:p>
      <w:r>
        <w:rPr>
          <w:i/>
          <w:color w:val="666666"/>
          <w:sz w:val="18"/>
        </w:rPr>
        <w:t>Blotenberg B et al.  ·  Bundesgesundheitsblatt Gesundheitsforschung Gesundheitsschutz  ·  13.08.2026  ·  PMID 42593520</w:t>
      </w:r>
    </w:p>
    <w:p>
      <w:r>
        <w:t>Diskussionsbeitrag zu Konzeption, Effektivität und Finanzierungserfordernissen präventiver Hausbesuche als niedrigschwellige Versorgungsform in Deutschland.</w:t>
      </w:r>
    </w:p>
    <w:p>
      <w:r>
        <w:rPr>
          <w:b/>
        </w:rPr>
        <w:t xml:space="preserve">Ergebnis: </w:t>
      </w:r>
      <w:r>
        <w:t>In Deutschland wachsende Zahl von Projekten mit unterschiedlichen Konzepten. PHB können Sturzrisiken, soziale Isolation und Ernährungsmängel früh erkennen und Versorgungskompetenz stärken. Zentrale Herausforderung: Langzeitfinanzierung und Verstetigung bislang projektförmig organisierter Angebote. Forderung: Bessere Verankerung in gesetzlicher Kranken- und Pflegeversicherung.</w:t>
      </w:r>
    </w:p>
    <w:p>
      <w:r>
        <w:rPr>
          <w:b/>
          <w:sz w:val="19"/>
        </w:rPr>
        <w:t xml:space="preserve">Übertragbarkeit: </w:t>
      </w:r>
      <w:r>
        <w:rPr>
          <w:sz w:val="19"/>
        </w:rPr>
        <w:t>Deutsche Gesundheitslandschaft, unmittelbar relevant für Finanzierungsdiskurs</w:t>
      </w:r>
    </w:p>
    <w:p>
      <w:r>
        <w:rPr>
          <w:color w:val="5A7D3A"/>
          <w:sz w:val="18"/>
        </w:rPr>
        <w:t>https://pubmed.ncbi.nlm.nih.gov/42593520/</w:t>
      </w:r>
    </w:p>
    <w:p>
      <w:pPr>
        <w:pStyle w:val="Heading2"/>
      </w:pPr>
      <w:r>
        <w:t>Körperliche Funktionsfähigkeit und Frailty im sehr hohen Alter</w:t>
      </w:r>
    </w:p>
    <w:p>
      <w:r>
        <w:rPr>
          <w:i/>
          <w:color w:val="666666"/>
          <w:sz w:val="18"/>
        </w:rPr>
        <w:t>Nowossadeck S et al.  ·  Bundesgesundheitsblatt Gesundheitsforschung Gesundheitsschutz  ·  11.08.2026  ·  PMID 42579141</w:t>
      </w:r>
    </w:p>
    <w:p>
      <w:r>
        <w:t>Analyse von Funktionsfähigkeit und Frailty bei über 80-Jährigen in deutschen Privathaushalten mit GALI und spezifischen Funktionsindikatoren.</w:t>
      </w:r>
    </w:p>
    <w:p>
      <w:r>
        <w:rPr>
          <w:b/>
        </w:rPr>
        <w:t xml:space="preserve">Ergebnis: </w:t>
      </w:r>
      <w:r>
        <w:t>Ein Viertel hat schwere funktionale Einschränkungen (GALI). Mobilität: 33 % bei &gt;1 km Gehstrecke, 17 % beim Treppensteigen stark begrenzt. Sensorische Defizite: 10 % Sehstörungen, 27 % Hörstörungen. Harninkontinenz 40 %. Robustheit 49 %, Pre-Frailty 43 %, Frailty 8,6 %. Geschlechts- und teilweise einkommensspezifische Unterschiede vorhanden.</w:t>
      </w:r>
    </w:p>
    <w:p>
      <w:r>
        <w:rPr>
          <w:b/>
          <w:sz w:val="19"/>
        </w:rPr>
        <w:t xml:space="preserve">Übertragbarkeit: </w:t>
      </w:r>
      <w:r>
        <w:rPr>
          <w:sz w:val="19"/>
        </w:rPr>
        <w:t>Deutsche Alternssurvey (DEAS) und Gesundheit 65+, direkt auf deutsches System übertragbar</w:t>
      </w:r>
    </w:p>
    <w:p>
      <w:r>
        <w:rPr>
          <w:color w:val="5A7D3A"/>
          <w:sz w:val="18"/>
        </w:rPr>
        <w:t>https://pubmed.ncbi.nlm.nih.gov/42579141/</w:t>
      </w:r>
    </w:p>
    <w:p>
      <w:pPr>
        <w:pStyle w:val="Heading2"/>
      </w:pPr>
      <w:r>
        <w:t>Genexpression in Mikroglia über die Lebensspanne: nichtlineare Muster und AD-Implikationen</w:t>
      </w:r>
    </w:p>
    <w:p>
      <w:r>
        <w:rPr>
          <w:i/>
          <w:color w:val="666666"/>
          <w:sz w:val="18"/>
        </w:rPr>
        <w:t>Muedano-Sosa A et al.  ·  Exp Gerontol  ·  01.10.2026  ·  PMID 42551772</w:t>
      </w:r>
    </w:p>
    <w:p>
      <w:r>
        <w:t>In-silico-Transkriptomanalyse öffentlicher Datensätze zur Charakterisierung von Genexpressions-Trajektorien während physiologischen und pathologischen Alterns von Mikroglia.</w:t>
      </w:r>
    </w:p>
    <w:p>
      <w:r>
        <w:rPr>
          <w:b/>
        </w:rPr>
        <w:t xml:space="preserve">Ergebnis: </w:t>
      </w:r>
      <w:r>
        <w:t>Physiologisches Alter der Mikroglia zeigt nichtlineare, spiegelsymmetrische Expressionsmuster bei Genen der Mitochondrienfunktion, lysosomalen Degradation und Immunantwort. Dieses Muster ist in humanen Daten konserviert. Bei pathologischem Altern (APP/PS1 transgene Mäuse) wird dieses adaptive Muster gestört – anhaltende Entzündungs- und Mitochondriendysfunktion. Mittleres Alter könnte kritischer Übergangspunkt sein, bevor Neuroinflammation einsetzt. Gene, die in transgenen Mäusen dysreguliert sind, zeigen ähnliche Trends in AD-Patienten.</w:t>
      </w:r>
    </w:p>
    <w:p>
      <w:r>
        <w:rPr>
          <w:b/>
          <w:sz w:val="19"/>
        </w:rPr>
        <w:t xml:space="preserve">Übertragbarkeit: </w:t>
      </w:r>
      <w:r>
        <w:rPr>
          <w:sz w:val="19"/>
        </w:rPr>
        <w:t>Mausmodelle und humane Daten, grundlagenwissenschaftlich; translational zu AD</w:t>
      </w:r>
    </w:p>
    <w:p>
      <w:r>
        <w:rPr>
          <w:color w:val="5A7D3A"/>
          <w:sz w:val="18"/>
        </w:rPr>
        <w:t>https://pubmed.ncbi.nlm.nih.gov/42551772/</w:t>
      </w:r>
    </w:p>
    <w:p>
      <w:pPr>
        <w:pStyle w:val="Heading1"/>
      </w:pPr>
      <w:r>
        <w:t>Aufgenommen am 10.09.2026</w:t>
      </w:r>
    </w:p>
    <w:p>
      <w:pPr>
        <w:pStyle w:val="Heading2"/>
      </w:pPr>
      <w:r>
        <w:t>Altersgerechte Umgebungen reduzieren Motoric-Cognitive-Risk-Syndrom</w:t>
      </w:r>
    </w:p>
    <w:p>
      <w:r>
        <w:rPr>
          <w:i/>
          <w:color w:val="666666"/>
          <w:sz w:val="18"/>
        </w:rPr>
        <w:t>Zhang H et al.  ·  Alzheimers Dement  ·  Sept. 2026  ·  PMID 42712112</w:t>
      </w:r>
    </w:p>
    <w:p>
      <w:r>
        <w:t>Prospektive Kohortenstudie aus den USA, die den Zusammenhang zwischen altersgerechten Lebensumgebungen und Inzidenz des Motoric Cognitive Risk Syndrome (Prädemenzsyndrom) untersucht.</w:t>
      </w:r>
    </w:p>
    <w:p>
      <w:r>
        <w:rPr>
          <w:b/>
        </w:rPr>
        <w:t xml:space="preserve">Ergebnis: </w:t>
      </w:r>
      <w:r>
        <w:t>Über 4 Jahre Nachbeobachtung: 801 Neuerkrankungen bei 7.608 älteren Erwachsenen (Durchschnittsalter 76,8 Jahre). Mit höherem altersgerechten Umgebungsscore geringeres MCR-Risiko (Q3: HR 0,75; 95%-KI 0,61–0,91; Q4: HR 0,62; 95%-KI 0,50–0,78); Dosis-Wirkungs-Beziehung nachgewiesen (HR 0,96 pro Punkt; p&lt;0,01).</w:t>
      </w:r>
    </w:p>
    <w:p>
      <w:r>
        <w:rPr>
          <w:b/>
          <w:sz w:val="19"/>
        </w:rPr>
        <w:t xml:space="preserve">Übertragbarkeit: </w:t>
      </w:r>
      <w:r>
        <w:rPr>
          <w:sz w:val="19"/>
        </w:rPr>
        <w:t>USA-Daten – Umweltgestaltung ist länderübergreifend adaptierbar, Outcome-Messung jedoch populationsspezifisch.</w:t>
      </w:r>
    </w:p>
    <w:p>
      <w:r>
        <w:rPr>
          <w:color w:val="5A7D3A"/>
          <w:sz w:val="18"/>
        </w:rPr>
        <w:t>https://pubmed.ncbi.nlm.nih.gov/42712112/</w:t>
      </w:r>
    </w:p>
    <w:p>
      <w:pPr>
        <w:pStyle w:val="Heading2"/>
      </w:pPr>
      <w:r>
        <w:t>Mundgesundheit und Gebrechlichkeit bei Krebspatienten: Metaanalyse</w:t>
      </w:r>
    </w:p>
    <w:p>
      <w:r>
        <w:rPr>
          <w:i/>
          <w:color w:val="666666"/>
          <w:sz w:val="18"/>
        </w:rPr>
        <w:t>Liu W et al.  ·  Front Public Health  ·  24.08.2026  ·  PMID 42707137</w:t>
      </w:r>
    </w:p>
    <w:p>
      <w:r>
        <w:t>Systematische Übersicht und Metaanalyse von 13 Studien (n=3.524) zur Prävalenz und Einflussfaktoren von Mundgebrechlichkeit (oral frailty) bei Krebspatienten.</w:t>
      </w:r>
    </w:p>
    <w:p>
      <w:r>
        <w:rPr>
          <w:b/>
        </w:rPr>
        <w:t xml:space="preserve">Ergebnis: </w:t>
      </w:r>
      <w:r>
        <w:t>Mundgebrechlichkeit-Prävalenz 52 % (95%-KI: 46–59 %). Signifikante Assoziationen mit: Zahnersatz (OR 15,09; KI 6,78–33,58), schlechter Mundgesundheit (OR 4,70; KI 2,13–10,39), körperlicher Frailty (OR 3,63; KI 2,40–5,50), Rauchen (OR 3,53; KI 2,34–5,31), Mangelernährung (OR 3,40; KI 2,01–5,75), Xerostomie (OR 3,46; KI 2,11–5,68) und Radiotherapie (OR 2,62; KI 1,67–4,11).</w:t>
      </w:r>
    </w:p>
    <w:p>
      <w:r>
        <w:rPr>
          <w:b/>
          <w:sz w:val="19"/>
        </w:rPr>
        <w:t xml:space="preserve">Übertragbarkeit: </w:t>
      </w:r>
      <w:r>
        <w:rPr>
          <w:sz w:val="19"/>
        </w:rPr>
        <w:t>Internationale Metaanalyse – risikofaktoren geriatrierelevant, aber Mundhygiene-Standards regional unterschiedlich.</w:t>
      </w:r>
    </w:p>
    <w:p>
      <w:r>
        <w:rPr>
          <w:color w:val="5A7D3A"/>
          <w:sz w:val="18"/>
        </w:rPr>
        <w:t>https://pubmed.ncbi.nlm.nih.gov/42707137/</w:t>
      </w:r>
    </w:p>
    <w:p>
      <w:pPr>
        <w:pStyle w:val="Heading2"/>
      </w:pPr>
      <w:r>
        <w:t>Demenzkonversion bei milder kognitiver Beeinträchtigung: Inzidenzraten in Brasilien</w:t>
      </w:r>
    </w:p>
    <w:p>
      <w:r>
        <w:rPr>
          <w:i/>
          <w:color w:val="666666"/>
          <w:sz w:val="18"/>
        </w:rPr>
        <w:t>Engelmann GTO et al.  ·  Alzheimers Dement  ·  Sept. 2026  ·  PMID 42706593</w:t>
      </w:r>
    </w:p>
    <w:p>
      <w:r>
        <w:t>15-Jahres-Kohortenstudie der kognitiven Entwicklung brasilianischer Älterer, die Übergangsraten von milder kognitiver Beeinträchtigung zu Demenz vom Alzheimer-Typ quantifiziert.</w:t>
      </w:r>
    </w:p>
    <w:p>
      <w:r>
        <w:rPr>
          <w:b/>
        </w:rPr>
        <w:t xml:space="preserve">Ergebnis: </w:t>
      </w:r>
      <w:r>
        <w:t>Jährliche Demenzkonversionsrate in der MCI-Gruppe 10,72 pro 100 Personenjahre (95%-KI: 8,54–13,29 %); kumulative Inzidenz nach 3 Jahren 29,85 % (95%-KI: 22,74–36,96 %), unter Berücksichtigung von Sterblichkeit als konkurrierende Ereignis. Die Studie belegt rasche Progression in Ländern mit mittlerem und niedrigem Einkommen.</w:t>
      </w:r>
    </w:p>
    <w:p>
      <w:r>
        <w:rPr>
          <w:b/>
          <w:sz w:val="19"/>
        </w:rPr>
        <w:t xml:space="preserve">Übertragbarkeit: </w:t>
      </w:r>
      <w:r>
        <w:rPr>
          <w:sz w:val="19"/>
        </w:rPr>
        <w:t>Brasilien - Daten für Länder mit niedrigerer Lebenserwartung; Übertragbarkeit auf Deutschland begrenzt.</w:t>
      </w:r>
    </w:p>
    <w:p>
      <w:r>
        <w:rPr>
          <w:color w:val="5A7D3A"/>
          <w:sz w:val="18"/>
        </w:rPr>
        <w:t>https://pubmed.ncbi.nlm.nih.gov/42706593/</w:t>
      </w:r>
    </w:p>
    <w:p>
      <w:pPr>
        <w:pStyle w:val="Heading2"/>
      </w:pPr>
      <w:r>
        <w:t>Lifestyle und Telomerlänge bei psychischen Erkrankungen</w:t>
      </w:r>
    </w:p>
    <w:p>
      <w:r>
        <w:rPr>
          <w:i/>
          <w:color w:val="666666"/>
          <w:sz w:val="18"/>
        </w:rPr>
        <w:t>Mlakar V et al.  ·  Transl Psychiatry  ·  02.09.2026  ·  PMID 42706234</w:t>
      </w:r>
    </w:p>
    <w:p>
      <w:r>
        <w:t>Querschnittstudie, die den Zusammenhang zwischen Lebensstilfaktoren und biologischem Alterungsmarker (Telomerlänge) bei 410 Personen mit schweren psychischen Störungen untersucht.</w:t>
      </w:r>
    </w:p>
    <w:p>
      <w:r>
        <w:rPr>
          <w:b/>
        </w:rPr>
        <w:t xml:space="preserve">Ergebnis: </w:t>
      </w:r>
      <w:r>
        <w:t>Personen mit ungesundem Lebensstil hatten kürzere Telomere als solche mit gesundem Lebensstil (Cohens d = 0,58, F = 8,62, p = 0,004). Mit zunehmender Anzahl ungesunder Verhaltensweisen kürzere Telomere (F = 2,69, p = 0,02, adjustiert für Alter, Geschlecht, Ethnizität, Trauma, Medikation, Bildung, Diagnose). Gesunder Lebensstil assoziiert mit etwa 6 Jahren niedrigerem biologischem Alter.</w:t>
      </w:r>
    </w:p>
    <w:p>
      <w:r>
        <w:rPr>
          <w:b/>
          <w:sz w:val="19"/>
        </w:rPr>
        <w:t xml:space="preserve">Übertragbarkeit: </w:t>
      </w:r>
      <w:r>
        <w:rPr>
          <w:sz w:val="19"/>
        </w:rPr>
        <w:t>Norwegen-England – psychische Grundpopulation, methodisch solid; Übertragbarkeit auf deutsches Versorgungssystem moderat.</w:t>
      </w:r>
    </w:p>
    <w:p>
      <w:r>
        <w:rPr>
          <w:color w:val="5A7D3A"/>
          <w:sz w:val="18"/>
        </w:rPr>
        <w:t>https://pubmed.ncbi.nlm.nih.gov/42706234/</w:t>
      </w:r>
    </w:p>
    <w:p>
      <w:pPr>
        <w:pStyle w:val="Heading2"/>
      </w:pPr>
      <w:r>
        <w:t>Perspektivenübernahme reduziert Altersstereotypen bei Onlineinterventionen</w:t>
      </w:r>
    </w:p>
    <w:p>
      <w:r>
        <w:rPr>
          <w:i/>
          <w:color w:val="666666"/>
          <w:sz w:val="18"/>
        </w:rPr>
        <w:t>Stecker L et al.  ·  J Aging Stud  ·  08.08.2026  ·  PMID 42705830</w:t>
      </w:r>
    </w:p>
    <w:p>
      <w:r>
        <w:t>Experimentelle Studie, welche von drei Kurzzeitinterventionen gegen Altersdiskriminierung und Hassrede im Internet die Wirksamkeit vergleicht.</w:t>
      </w:r>
    </w:p>
    <w:p>
      <w:r>
        <w:rPr>
          <w:b/>
        </w:rPr>
        <w:t xml:space="preserve">Ergebnis: </w:t>
      </w:r>
      <w:r>
        <w:t>Perspektivenübernahme war die einzige Intervention, die explizite Stereotype signifikant reduzierte (zwischen den Gruppen gemessen mit IAT und Likert-Skalen); implizite Ageism-Verzerrung wurde durch keine der drei kurzen Interventionen verschoben. Altersangst moderierte die Effektivität nicht, sagte aber explizite Altersdiskriminierung voraus.</w:t>
      </w:r>
    </w:p>
    <w:p>
      <w:r>
        <w:rPr>
          <w:b/>
          <w:sz w:val="19"/>
        </w:rPr>
        <w:t xml:space="preserve">Übertragbarkeit: </w:t>
      </w:r>
      <w:r>
        <w:rPr>
          <w:sz w:val="19"/>
        </w:rPr>
        <w:t>Deutschland - universitäre Stichprobe, aber Onlineformat länderübergreifend einsetzbar.</w:t>
      </w:r>
    </w:p>
    <w:p>
      <w:r>
        <w:rPr>
          <w:color w:val="5A7D3A"/>
          <w:sz w:val="18"/>
        </w:rPr>
        <w:t>https://pubmed.ncbi.nlm.nih.gov/42705830/</w:t>
      </w:r>
    </w:p>
    <w:p>
      <w:pPr>
        <w:pStyle w:val="Heading2"/>
      </w:pPr>
      <w:r>
        <w:t>Schichtarbeit, biologische Altersbeschleunigung und Sterblichkeit</w:t>
      </w:r>
    </w:p>
    <w:p>
      <w:r>
        <w:rPr>
          <w:i/>
          <w:color w:val="666666"/>
          <w:sz w:val="18"/>
        </w:rPr>
        <w:t>Wang R et al.  ·  Int Arch Occup Environ Health  ·  06.09.2026  ·  PMID 42701914</w:t>
      </w:r>
    </w:p>
    <w:p>
      <w:r>
        <w:t>Prospektive Kohortenstudie von 7.548 US-Erwachsenen mit Mortality-Follow-up, die Assoziationen zwischen Schichtarbeit und All-cause-Mortalität sowie die Rolle biologischer Altersbeschleunigung untersucht.</w:t>
      </w:r>
    </w:p>
    <w:p>
      <w:r>
        <w:rPr>
          <w:b/>
        </w:rPr>
        <w:t xml:space="preserve">Ergebnis: </w:t>
      </w:r>
      <w:r>
        <w:t>Schichtarbeit assoziiert mit erhöhter Gesamtsterblichkeit (HR 1,52; 95%-KI 1,09–2,13). Schichtarbeiter zeigten stärkere PhenoAge-Beschleunigung (β = 0,39 Jahre). PhenoAge-Beschleunigung statistisch verantwortlich für 6,18 % der Assoziation zwischen Schichtarbeit und Sterblichkeit (kausale Mediation nicht inferierbar).</w:t>
      </w:r>
    </w:p>
    <w:p>
      <w:r>
        <w:rPr>
          <w:b/>
          <w:sz w:val="19"/>
        </w:rPr>
        <w:t xml:space="preserve">Übertragbarkeit: </w:t>
      </w:r>
      <w:r>
        <w:rPr>
          <w:sz w:val="19"/>
        </w:rPr>
        <w:t>USA-NHANES-Daten – Schichtarbeit-Definition international vergleichbar, aber Arbeitsmarkt und Sozialversicherung unterscheiden sich erheblich.</w:t>
      </w:r>
    </w:p>
    <w:p>
      <w:r>
        <w:rPr>
          <w:color w:val="5A7D3A"/>
          <w:sz w:val="18"/>
        </w:rPr>
        <w:t>https://pubmed.ncbi.nlm.nih.gov/42701914/</w:t>
      </w:r>
    </w:p>
    <w:p>
      <w:pPr>
        <w:pStyle w:val="Heading1"/>
      </w:pPr>
      <w:r>
        <w:t>Aufgenommen am 09.09.2026</w:t>
      </w:r>
    </w:p>
    <w:p>
      <w:pPr>
        <w:pStyle w:val="Heading2"/>
      </w:pPr>
      <w:r>
        <w:t>Sozioökonomische Ungleichheiten in der Lebenserwartung nach Diagnose: Dänemark 64 Erkrankungen</w:t>
      </w:r>
    </w:p>
    <w:p>
      <w:r>
        <w:rPr>
          <w:i/>
          <w:color w:val="666666"/>
          <w:sz w:val="18"/>
        </w:rPr>
        <w:t>Pallesen AVJ et al.  ·  Eur J Public Health  ·  04.08.2026  ·  PMID 42709676</w:t>
      </w:r>
    </w:p>
    <w:p>
      <w:r>
        <w:t>Bevölkerungsregister-Studie (4,4 Mio. Dänen) mit Multistate-Modellen zur Abbildung von Bildungs- und Einkommensungleichheiten in der Lebenserwartung nach Diagnose von 64 nichtübertragbaren Erkrankungen.</w:t>
      </w:r>
    </w:p>
    <w:p>
      <w:r>
        <w:rPr>
          <w:b/>
        </w:rPr>
        <w:t xml:space="preserve">Ergebnis: </w:t>
      </w:r>
      <w:r>
        <w:t>Bildungs- und Einkommensungleichheiten in der Lebenserwartung nach Diagnosestellung waren konsistent über alle 64 Erkrankungen hinweg vorhanden. Beispiel Leberzirrhose: Hochgebildete 50-Jährige mit Diagnose lebten 17 Jahre (Frauen) bzw. 13 Jahre (Männer) länger als Niedriggebildete (14 bzw. 10 Jahre). Befund zeigt universelles Muster: Sozioökonomische Position beeinflusst Krankheitsverlauf und Mortalität unabhängig von der Erkrankung.</w:t>
      </w:r>
    </w:p>
    <w:p>
      <w:r>
        <w:rPr>
          <w:b/>
          <w:sz w:val="19"/>
        </w:rPr>
        <w:t xml:space="preserve">Übertragbarkeit: </w:t>
      </w:r>
      <w:r>
        <w:rPr>
          <w:sz w:val="19"/>
        </w:rPr>
        <w:t>Dänische Vollpopulationsdaten, Sozialversicherungssystem vergleichbar mit Deutschland.</w:t>
      </w:r>
    </w:p>
    <w:p>
      <w:r>
        <w:rPr>
          <w:color w:val="5A7D3A"/>
          <w:sz w:val="18"/>
        </w:rPr>
        <w:t>https://pubmed.ncbi.nlm.nih.gov/42709676/</w:t>
      </w:r>
    </w:p>
    <w:p>
      <w:pPr>
        <w:pStyle w:val="Heading2"/>
      </w:pPr>
      <w:r>
        <w:t>Allostatic Load vorhersagt Frailty-Entwicklung: 12-Jahres-Längsschnittstudie</w:t>
      </w:r>
    </w:p>
    <w:p>
      <w:r>
        <w:rPr>
          <w:i/>
          <w:color w:val="666666"/>
          <w:sz w:val="18"/>
        </w:rPr>
        <w:t>Arkesteijn M et al.  ·  Stress Health  ·  Okt. 2026  ·  PMID 42708507</w:t>
      </w:r>
    </w:p>
    <w:p>
      <w:r>
        <w:t>English Longitudinal Survey on Ageing (ELSA): 3248 Personen 50–89 Jahre über 12 Jahre; Analyse, ob Allostatic Load (Multimarkerbiomarker chronischen Stresses) die Neuonset von Prä-Frailty oder Frailty vorhersagt.</w:t>
      </w:r>
    </w:p>
    <w:p>
      <w:r>
        <w:rPr>
          <w:b/>
        </w:rPr>
        <w:t xml:space="preserve">Ergebnis: </w:t>
      </w:r>
      <w:r>
        <w:t>Erhöhte Allostatic Load war signifikanter Prädiktor für Onset von Prä-Frailty und Frailty (Hazard Ratio nicht in Abstract beziffert). Soziale Unterstützung modifizierte diesen Effekt modifizierbar. Alter und Geschlecht interagierten nicht mit Allostatic Load und Frailty-Vorhersage. Allostatic Load könnte als Screening-Instrument für Frailty-Risiko bei aktuell nicht-frailem Individuen dienen.</w:t>
      </w:r>
    </w:p>
    <w:p>
      <w:r>
        <w:rPr>
          <w:b/>
          <w:sz w:val="19"/>
        </w:rPr>
        <w:t xml:space="preserve">Übertragbarkeit: </w:t>
      </w:r>
      <w:r>
        <w:rPr>
          <w:sz w:val="19"/>
        </w:rPr>
        <w:t>Großbritannien, NHS-System, nationale Surveydaten vergleichbar mit deutschem Setting.</w:t>
      </w:r>
    </w:p>
    <w:p>
      <w:r>
        <w:rPr>
          <w:color w:val="5A7D3A"/>
          <w:sz w:val="18"/>
        </w:rPr>
        <w:t>https://pubmed.ncbi.nlm.nih.gov/42708507/</w:t>
      </w:r>
    </w:p>
    <w:p>
      <w:pPr>
        <w:pStyle w:val="Heading2"/>
      </w:pPr>
      <w:r>
        <w:t>Zivilgesellschaftliche Beteiligung älterer Menschen und wahrgenommene Gesundheit</w:t>
      </w:r>
    </w:p>
    <w:p>
      <w:r>
        <w:rPr>
          <w:i/>
          <w:color w:val="666666"/>
          <w:sz w:val="18"/>
        </w:rPr>
        <w:t>Cantore M et al.  ·  Front Public Health  ·  24.08.2026  ·  PMID 42707366</w:t>
      </w:r>
    </w:p>
    <w:p>
      <w:r>
        <w:t>Qualitative Studie (Italien, 2025): 12 ältere Erwachsene (≥70 Jahre) zu Erfahrungen mit zivilgesellschaftlicher und politischer Partizipation und deren Auswirkungen auf Gesundheit und Wohlbefinden.</w:t>
      </w:r>
    </w:p>
    <w:p>
      <w:r>
        <w:rPr>
          <w:b/>
        </w:rPr>
        <w:t xml:space="preserve">Ergebnis: </w:t>
      </w:r>
      <w:r>
        <w:t>Freiwilliges Engagement fördert körperliche Mobilität, Handlungsfähigkeit und Selbstwirksamkeit. Politische Partizipation wirkt kognitiv stimulierend, führt aber häufig zu emotionaler Erschöpfung, Entfremdung und Frustration. Intergenerationale Lernprozesse und Dialog gelten als zentral für nachhaltiges Engagement. Befund belegt, dass emotionale Belastung durch politische Enttäuschung zu beachten ist.</w:t>
      </w:r>
    </w:p>
    <w:p>
      <w:r>
        <w:rPr>
          <w:b/>
          <w:sz w:val="19"/>
        </w:rPr>
        <w:t xml:space="preserve">Übertragbarkeit: </w:t>
      </w:r>
      <w:r>
        <w:rPr>
          <w:sz w:val="19"/>
        </w:rPr>
        <w:t>Italien, Südeuropa; Gesundheitssystem und zivilgesellschaftliche Strukturen unterscheiden sich von Deutschland.</w:t>
      </w:r>
    </w:p>
    <w:p>
      <w:r>
        <w:rPr>
          <w:color w:val="5A7D3A"/>
          <w:sz w:val="18"/>
        </w:rPr>
        <w:t>https://pubmed.ncbi.nlm.nih.gov/42707366/</w:t>
      </w:r>
    </w:p>
    <w:p>
      <w:pPr>
        <w:pStyle w:val="Heading2"/>
      </w:pPr>
      <w:r>
        <w:t>Altern ohne Verwandte: Transnigration, Sehnsucht und Desillusionierung</w:t>
      </w:r>
    </w:p>
    <w:p>
      <w:r>
        <w:rPr>
          <w:i/>
          <w:color w:val="666666"/>
          <w:sz w:val="18"/>
        </w:rPr>
        <w:t>Mishra J et al.  ·  J Aging Stud  ·  26.06.2026  ·  PMID 42705826</w:t>
      </w:r>
    </w:p>
    <w:p>
      <w:r>
        <w:t>Ethnografische Studie in Patiala (Nordindien) mit älteren Erwachsenen: Erfahrungen mit transnationaler Migration ihrer Familienangehörigen und deren Auswirkungen auf Wahrnehmung von Sorge, Zugehörigkeit und Familienrekonfiguration im Alter.</w:t>
      </w:r>
    </w:p>
    <w:p>
      <w:r>
        <w:rPr>
          <w:b/>
        </w:rPr>
        <w:t xml:space="preserve">Ergebnis: </w:t>
      </w:r>
      <w:r>
        <w:t>Ältere Ermöglichen Emigration ihrer Kinder durch Ressourcen-Pooling; erleben aber Abwesenheit emigrierter Kinder in paradoxer Liminalität. Zunehmende Desillusionierung mit Staat (Arbeitslosigkeit, Agrarkrise, Korruption), komplexe Beziehungen zu internen Migranten aus anderen Bundesstaaten. Migration produziert mehrschichtige affektive, soziale und politische Verflechtungen, die Alterserfahrung prägen.</w:t>
      </w:r>
    </w:p>
    <w:p>
      <w:r>
        <w:rPr>
          <w:b/>
          <w:sz w:val="19"/>
        </w:rPr>
        <w:t xml:space="preserve">Übertragbarkeit: </w:t>
      </w:r>
      <w:r>
        <w:rPr>
          <w:sz w:val="19"/>
        </w:rPr>
        <w:t>Indien, nicht übertragbar; dokumentiert Mechanismen familiärer und sozialer Strukturen beim Altern unter Migrationsdruck.</w:t>
      </w:r>
    </w:p>
    <w:p>
      <w:r>
        <w:rPr>
          <w:color w:val="5A7D3A"/>
          <w:sz w:val="18"/>
        </w:rPr>
        <w:t>https://pubmed.ncbi.nlm.nih.gov/42705826/</w:t>
      </w:r>
    </w:p>
    <w:p>
      <w:pPr>
        <w:pStyle w:val="Heading2"/>
      </w:pPr>
      <w:r>
        <w:t>Kognitives Frailty bei hospitalisierten älteren Patienten mit Herzinsuffizienz</w:t>
      </w:r>
    </w:p>
    <w:p>
      <w:r>
        <w:rPr>
          <w:i/>
          <w:color w:val="666666"/>
          <w:sz w:val="18"/>
        </w:rPr>
        <w:t>Mou Y et al.  ·  Front Public Health  ·  21.08.2026  ·  PMID 42698449</w:t>
      </w:r>
    </w:p>
    <w:p>
      <w:r>
        <w:t>Systematischer Review (8 Querschnittsstudien, 20 Modelle zur Identifikation von kognitiver Frailty bei hospitalisierten älteren Patienten mit chronischer Herzinsuffizienz in China).</w:t>
      </w:r>
    </w:p>
    <w:p>
      <w:r>
        <w:rPr>
          <w:b/>
        </w:rPr>
        <w:t xml:space="preserve">Ergebnis: </w:t>
      </w:r>
      <w:r>
        <w:t>Alle Modelle waren Screening-/Diagnosemodelle für prävalentes kognitives Frailty (nicht prognostisch). Externe Validierung zeigte AUC 0,770–0,852. Häufigste Prädiktoren: Alter, NYHA-Klassifikation, Depression, Ernährungsstatus und Schlaf-Faktoren. Alle Studien mit hohem Bias-Risiko; Modelle nicht reif für klinische Routineentscheidungen. Prospektive Modellentwicklung, Multicenter-Validierung und klinische Effektivitätsanalysen erforderlich.</w:t>
      </w:r>
    </w:p>
    <w:p>
      <w:r>
        <w:rPr>
          <w:b/>
          <w:sz w:val="19"/>
        </w:rPr>
        <w:t xml:space="preserve">Übertragbarkeit: </w:t>
      </w:r>
      <w:r>
        <w:rPr>
          <w:sz w:val="19"/>
        </w:rPr>
        <w:t>China, andere Strukturen; Befund zeigt, welche Faktoren kognitives Frailty bestimmen – relevant für deutsches geriatrisches Assessment.</w:t>
      </w:r>
    </w:p>
    <w:p>
      <w:r>
        <w:rPr>
          <w:color w:val="5A7D3A"/>
          <w:sz w:val="18"/>
        </w:rPr>
        <w:t>https://pubmed.ncbi.nlm.nih.gov/42698449/</w:t>
      </w:r>
    </w:p>
    <w:p>
      <w:pPr>
        <w:pStyle w:val="Heading2"/>
      </w:pPr>
      <w:r>
        <w:t>SFRP2 und FSTL1 regulieren DHT-induzierte Seneszenz in Haarfollikeln</w:t>
      </w:r>
    </w:p>
    <w:p>
      <w:r>
        <w:rPr>
          <w:i/>
          <w:color w:val="666666"/>
          <w:sz w:val="18"/>
        </w:rPr>
        <w:t>Huang Y et al.  ·  Aging Cell  ·  Sept. 2026  ·  PMID 42698274</w:t>
      </w:r>
    </w:p>
    <w:p>
      <w:r>
        <w:t>Mechanistische Studie zu androgenetischer Alopezie (AGA): Knock-down-Experimente und Mausmodell zur Rolle der SFRP2-FSTL1-Achse bei DHT-induzierten mitochondrialen Dysfunktionen und Seneszenz von Dermalapilla-Zellen.</w:t>
      </w:r>
    </w:p>
    <w:p>
      <w:r>
        <w:rPr>
          <w:b/>
        </w:rPr>
        <w:t xml:space="preserve">Ergebnis: </w:t>
      </w:r>
      <w:r>
        <w:t>SFRP2 hochexprimiert in AGA-Dermalapilla-Zellen. SFRP2-Knockdown verbesserte Haaregeneration und Follikel-Morphologie in vivo, förderte DPC-Proliferation/Migration in vitro. SFRP2 beeinflusst FSTL1-Proteinstabilität. Knockdown von FSTL1 hob negative Effekte von SFRP2-Überexpression auf. SFRP2-FSTL1-Achse als neuer therapeutischer Ansatzpunkt für AGA-Verlangsamung identifiziert.</w:t>
      </w:r>
    </w:p>
    <w:p>
      <w:r>
        <w:rPr>
          <w:b/>
          <w:sz w:val="19"/>
        </w:rPr>
        <w:t xml:space="preserve">Übertragbarkeit: </w:t>
      </w:r>
      <w:r>
        <w:rPr>
          <w:sz w:val="19"/>
        </w:rPr>
        <w:t>Grundlagenforschung mit klinischem Ansatz (AGA-Behandlung); zelluläre Seneszenz-Mechanismen relevant für Aging-Verständnis.</w:t>
      </w:r>
    </w:p>
    <w:p>
      <w:r>
        <w:rPr>
          <w:color w:val="5A7D3A"/>
          <w:sz w:val="18"/>
        </w:rPr>
        <w:t>https://pubmed.ncbi.nlm.nih.gov/42698274/</w:t>
      </w:r>
    </w:p>
    <w:p>
      <w:pPr>
        <w:pStyle w:val="Heading2"/>
      </w:pPr>
      <w:r>
        <w:t>Körperliche Aktivität moderiert psychische Belastung im Alter unterschiedlich</w:t>
      </w:r>
    </w:p>
    <w:p>
      <w:r>
        <w:rPr>
          <w:i/>
          <w:color w:val="666666"/>
          <w:sz w:val="18"/>
        </w:rPr>
        <w:t>Järvensivu L et al.  ·  J Psychiatr Res  ·  07.08.2026  ·  PMID 42585821</w:t>
      </w:r>
    </w:p>
    <w:p>
      <w:r>
        <w:t>Finnische Kohortenstudie (Helsinki Health Study 2017–2022): Zwei Altersgruppen (19–39 Jahre und 55–75 Jahre) zur Assoziation zwischen Intensität der Freizeit-Bewegungsaktivität und psychischer Belastung nach 5 Jahren.</w:t>
      </w:r>
    </w:p>
    <w:p>
      <w:r>
        <w:rPr>
          <w:b/>
        </w:rPr>
        <w:t xml:space="preserve">Ergebnis: </w:t>
      </w:r>
      <w:r>
        <w:t>Höhere moderate Aktivität assoziiert mit weniger psychischer Belastung nur in der älteren Kohorte (β = −0,163; p &lt; 0,001). Vigorous Activity zeigte altersunabhängig protektive Wirkung (β = −0,053 für beide; p &lt; 0,001). Effekt blieb nach Anpassung für Soziodemografika und Gesundheitsfaktoren signifikant.</w:t>
      </w:r>
    </w:p>
    <w:p>
      <w:r>
        <w:rPr>
          <w:b/>
          <w:sz w:val="19"/>
        </w:rPr>
        <w:t xml:space="preserve">Übertragbarkeit: </w:t>
      </w:r>
      <w:r>
        <w:rPr>
          <w:sz w:val="19"/>
        </w:rPr>
        <w:t>Finnland, skandinavisches Versicherungssystem, vergleichbare Erfassungsstandards.</w:t>
      </w:r>
    </w:p>
    <w:p>
      <w:r>
        <w:rPr>
          <w:color w:val="5A7D3A"/>
          <w:sz w:val="18"/>
        </w:rPr>
        <w:t>https://pubmed.ncbi.nlm.nih.gov/42585821/</w:t>
      </w:r>
    </w:p>
    <w:p>
      <w:pPr>
        <w:pStyle w:val="Heading1"/>
      </w:pPr>
      <w:r>
        <w:t>Aufgenommen am 08.09.2026</w:t>
      </w:r>
    </w:p>
    <w:p>
      <w:pPr>
        <w:pStyle w:val="Heading2"/>
      </w:pPr>
      <w:r>
        <w:t>Langzeitpflege für Ältere in Südostasien: Verfügbarkeit, Qualität und Lücken</w:t>
      </w:r>
    </w:p>
    <w:p>
      <w:r>
        <w:rPr>
          <w:i/>
          <w:color w:val="666666"/>
          <w:sz w:val="18"/>
        </w:rPr>
        <w:t>Sasaki Y et al.  ·  Geriatr Gerontol Int  ·  Sept. 2026  ·  PMID 42705630</w:t>
      </w:r>
    </w:p>
    <w:p>
      <w:r>
        <w:t>Mixed-Methods-Studie (Sekundärdaten zu UHC, demografische Trends, Expertinneninterviews, 7 Evaluationsdomänen) zur Organisation und Qualität der Langzeitpflege in Kambodscha, Thailand, Philippinen, Malaysia und Myanmar während des demographischen Wandels.</w:t>
      </w:r>
    </w:p>
    <w:p>
      <w:r>
        <w:rPr>
          <w:b/>
        </w:rPr>
        <w:t xml:space="preserve">Ergebnis: </w:t>
      </w:r>
      <w:r>
        <w:t>Positive Assoziation zwischen UHC-Fortschritt und Altersstruktur. Langzeitpflege-Organisation und -Versorgung variieren stark; Heimbasierte Pflege dominiert, Verfügbarkeit und Integration öffentlicher Dienste inkonsistent. Demenzbetreuung weitgehend unerkannt, haushaltszentriert. Informations- und Kommunikationstechnologien minimal/absent. Thailand zeigt Fortschritt bei Rehabilitations-UHC-Verknüpfung, aber Personalengpässe und Zugangsbarrieren. Präventivversorgung, einschließlich Frailty-Prävention, unterentwickelt.</w:t>
      </w:r>
    </w:p>
    <w:p>
      <w:r>
        <w:rPr>
          <w:b/>
          <w:sz w:val="19"/>
        </w:rPr>
        <w:t xml:space="preserve">Übertragbarkeit: </w:t>
      </w:r>
      <w:r>
        <w:rPr>
          <w:sz w:val="19"/>
        </w:rPr>
        <w:t>Südostasien, unterschiedliche Finanzierungssysteme und Entwicklungslagen; Befunde zeigen regionale Unterschiede, Übertragung auf Deutschland begrenzt, aber Policy-Implikationen relevant</w:t>
      </w:r>
    </w:p>
    <w:p>
      <w:r>
        <w:rPr>
          <w:color w:val="5A7D3A"/>
          <w:sz w:val="18"/>
        </w:rPr>
        <w:t>https://pubmed.ncbi.nlm.nih.gov/42705630/</w:t>
      </w:r>
    </w:p>
    <w:p>
      <w:pPr>
        <w:pStyle w:val="Heading2"/>
      </w:pPr>
      <w:r>
        <w:t>Gezieltes Kraft- und Balancetraining verbessert Mobilität älterer Aboriginal-Menschen</w:t>
      </w:r>
    </w:p>
    <w:p>
      <w:r>
        <w:rPr>
          <w:i/>
          <w:color w:val="666666"/>
          <w:sz w:val="18"/>
        </w:rPr>
        <w:t>Ivers R et al.  ·  Age Ageing  ·  04.09.2026  ·  PMID 42704260</w:t>
      </w:r>
    </w:p>
    <w:p>
      <w:r>
        <w:t>Kontrollierte Vorher-nachher-Studie (n=19 Standorte Australien, Ironbark-Programm) zum Effekt eines Co-Design-Sturzvorsorgeprogramms mit Übungen und Yarning Circles auf funktionelle Mobilität und Stürze bei Aboriginal-Älteren (≥45 Jahre, n=vor allem Intervention).</w:t>
      </w:r>
    </w:p>
    <w:p>
      <w:r>
        <w:rPr>
          <w:b/>
        </w:rPr>
        <w:t xml:space="preserve">Ergebnis: </w:t>
      </w:r>
      <w:r>
        <w:t>Signifikante Verbesserung der primären Outcome funktionelle Mobilität (SPPB-Veränderung +0,8 Punkte, 95 % CI 0,4–1,1), kürzere Schrittzeiten, bessere Beinstabilität, mehr geplante und beiläufige Bewegung. Keine signifikanten Änderungen bei Stürzen, Lebensqualität oder psychischer Belastung. Kontrollgruppe (Healthy Community) zeigte Verschlechterungen.</w:t>
      </w:r>
    </w:p>
    <w:p>
      <w:r>
        <w:rPr>
          <w:b/>
          <w:sz w:val="19"/>
        </w:rPr>
        <w:t xml:space="preserve">Übertragbarkeit: </w:t>
      </w:r>
      <w:r>
        <w:rPr>
          <w:sz w:val="19"/>
        </w:rPr>
        <w:t>Australien, Kontrollstudie mit funktionellem Endpunkt, Design übertragbar auf andere First-Nations-Settings</w:t>
      </w:r>
    </w:p>
    <w:p>
      <w:r>
        <w:rPr>
          <w:color w:val="5A7D3A"/>
          <w:sz w:val="18"/>
        </w:rPr>
        <w:t>https://pubmed.ncbi.nlm.nih.gov/42704260/</w:t>
      </w:r>
    </w:p>
    <w:p>
      <w:pPr>
        <w:pStyle w:val="Heading2"/>
      </w:pPr>
      <w:r>
        <w:t>Individuelle Ernährungsintervention mit Krafttraining verbessert Frailty bei hospitalisierten Älteren</w:t>
      </w:r>
    </w:p>
    <w:p>
      <w:r>
        <w:rPr>
          <w:i/>
          <w:color w:val="666666"/>
          <w:sz w:val="18"/>
        </w:rPr>
        <w:t>Chen L et al.  ·  J Int Med Res  ·  07.09.2026  ·  PMID 42704222</w:t>
      </w:r>
    </w:p>
    <w:p>
      <w:r>
        <w:t>Prospektive Pilotkohorte ohne Kontrolle (n=120, Durchschnittsalter 87 Jahre) zur Wirkung von Screening-gesteuerter individualisierter Ernährungsunterstützung (bei MNA-SF ≤11) kombiniert mit dosiertem Theraband-Krafttraining 3x wöchentlich über 12 Wochen.</w:t>
      </w:r>
    </w:p>
    <w:p>
      <w:r>
        <w:rPr>
          <w:b/>
        </w:rPr>
        <w:t xml:space="preserve">Ergebnis: </w:t>
      </w:r>
      <w:r>
        <w:t>Signifikante Verbesserungen: Serum-Transferrin, Präalbumin und Albumin (alle p&lt;0,05), MNA-SF-Scores, SPPB-Scores, Mobilität, ADL/IADL-Funktionen, Griffstärke und Gehgeschwindigkeit (alle p&lt;0,05). SPPB-Mindesteffekt erreicht bei höherem Bildungsniveau (aOR=1,96) und niedrigerem Ausgangs-Mobilitätswert (aOR=1,81). Ohne externe Validierung; Ergebnisse vorläufig.</w:t>
      </w:r>
    </w:p>
    <w:p>
      <w:r>
        <w:rPr>
          <w:b/>
          <w:sz w:val="19"/>
        </w:rPr>
        <w:t xml:space="preserve">Übertragbarkeit: </w:t>
      </w:r>
      <w:r>
        <w:rPr>
          <w:sz w:val="19"/>
        </w:rPr>
        <w:t>China (Klinikdaten), Struktur auf deutsche Geriatrie übertragbar (Assessment, Ernährung, Rehabilitation), klinische Dosierung dokumentiert</w:t>
      </w:r>
    </w:p>
    <w:p>
      <w:r>
        <w:rPr>
          <w:color w:val="5A7D3A"/>
          <w:sz w:val="18"/>
        </w:rPr>
        <w:t>https://pubmed.ncbi.nlm.nih.gov/42704222/</w:t>
      </w:r>
    </w:p>
    <w:p>
      <w:pPr>
        <w:pStyle w:val="Heading2"/>
      </w:pPr>
      <w:r>
        <w:t>Gestaffelte Auswahl von Frailty-Assessment-Instrumenten für die klinische Praxis</w:t>
      </w:r>
    </w:p>
    <w:p>
      <w:r>
        <w:rPr>
          <w:i/>
          <w:color w:val="666666"/>
          <w:sz w:val="18"/>
        </w:rPr>
        <w:t>Sládeček S et al.  ·  Clin Interv Aging  ·  02.09.2026  ·  PMID 42703386</w:t>
      </w:r>
    </w:p>
    <w:p>
      <w:r>
        <w:t>Narrative Übersicht über zehn validierte Frailty-Assessments (FRAIL, SOF, CFS, PRISMA-7, VES-13, Fried phenotype, TFI, GFI, EFS, FI-CGA) mit Analyse ihrer konzeptionellen Grundlagen, Einsatzdomänen und praktischen Anforderungen.</w:t>
      </w:r>
    </w:p>
    <w:p>
      <w:r>
        <w:rPr>
          <w:b/>
        </w:rPr>
        <w:t xml:space="preserve">Ergebnis: </w:t>
      </w:r>
      <w:r>
        <w:t>Gegenüberstellung zeigt: Kurze Screening-Tools (PRISMA-7, FRAIL) für erste Kontakte in Ambulanz/Gemeinde; CFS für schnelle klinische Stratifizierung in Akutaufnahme/Notfall; mehrdimensionale Instrumente (EFS) wenn breiterer Überblick nötig, aber keine vollständige geriatrische Diagnostik; CGA+FI-CGA für spezialisierte geriatrische Versorgung. Instrumentwahl hängt von Versorgungskontext, Zweck und Kapazität ab – keine Austauschbarkeit.</w:t>
      </w:r>
    </w:p>
    <w:p>
      <w:r>
        <w:rPr>
          <w:b/>
          <w:sz w:val="19"/>
        </w:rPr>
        <w:t xml:space="preserve">Übertragbarkeit: </w:t>
      </w:r>
      <w:r>
        <w:rPr>
          <w:sz w:val="19"/>
        </w:rPr>
        <w:t>Mehrsprachig validiert (europäischer und nordamerikanischer Raum), klinische Empfehlungen universell anwendbar, deutschsprachige Literatur einbezogen</w:t>
      </w:r>
    </w:p>
    <w:p>
      <w:r>
        <w:rPr>
          <w:color w:val="5A7D3A"/>
          <w:sz w:val="18"/>
        </w:rPr>
        <w:t>https://pubmed.ncbi.nlm.nih.gov/42703386/</w:t>
      </w:r>
    </w:p>
    <w:p>
      <w:pPr>
        <w:pStyle w:val="Heading2"/>
      </w:pPr>
      <w:r>
        <w:t>Digitale Technologien für aktives Altern: Bibliometrie und Forschungslandkarte</w:t>
      </w:r>
    </w:p>
    <w:p>
      <w:r>
        <w:rPr>
          <w:i/>
          <w:color w:val="666666"/>
          <w:sz w:val="18"/>
        </w:rPr>
        <w:t>Wang Y et al.  ·  Inquiry  ·  04.09.2026  ·  PMID 42695810</w:t>
      </w:r>
    </w:p>
    <w:p>
      <w:r>
        <w:t>Bibliometrische Analyse (n=837 Publikationen 2006–2025, Web of Science) zur Kartierung der Forschungslandschaft digitaler Technologien für aktives Altern, Identifikation von Clustern, Trends und thematischen Strukturen.</w:t>
      </w:r>
    </w:p>
    <w:p>
      <w:r>
        <w:rPr>
          <w:b/>
        </w:rPr>
        <w:t xml:space="preserve">Ergebnis: </w:t>
      </w:r>
      <w:r>
        <w:t>Publikationen steigen ab 2018 deutlich an. Fünf Forschungscluster: Technologieakzeptanz und Befähigung, digitale Lifestyle-Interventionen, digitale Partizipation und Smart Environments, eHealth-gestützte Verhaltensänderung, Machine-Learning-basierte Altersassessments. Schlüsselthemen: digitale Inklusion, körperliche Aktivität, Gesundheitsrisiko-Analytik, Lebensqualität. Verschiebung hin zu Funktionsfähigkeit und personalisierter Unterstützung; KI-basierte Assessments noch früh, sollten vorsichtig interpretiert werden.</w:t>
      </w:r>
    </w:p>
    <w:p>
      <w:r>
        <w:rPr>
          <w:b/>
          <w:sz w:val="19"/>
        </w:rPr>
        <w:t xml:space="preserve">Übertragbarkeit: </w:t>
      </w:r>
      <w:r>
        <w:rPr>
          <w:sz w:val="19"/>
        </w:rPr>
        <w:t>Globale Analyse, beschreibend (keine Wirksamkeitsdaten), Anwendbarkeit hängt von lokalen Systemen ab</w:t>
      </w:r>
    </w:p>
    <w:p>
      <w:r>
        <w:rPr>
          <w:color w:val="5A7D3A"/>
          <w:sz w:val="18"/>
        </w:rPr>
        <w:t>https://pubmed.ncbi.nlm.nih.gov/42695810/</w:t>
      </w:r>
    </w:p>
    <w:p>
      <w:pPr>
        <w:pStyle w:val="Heading2"/>
      </w:pPr>
      <w:r>
        <w:t>Körperliche Aktivität mindert Frailty-Risiko trotz belastender Kindheitserfahrungen</w:t>
      </w:r>
    </w:p>
    <w:p>
      <w:r>
        <w:rPr>
          <w:i/>
          <w:color w:val="666666"/>
          <w:sz w:val="18"/>
        </w:rPr>
        <w:t>Dong X et al.  ·  Gen Hosp Psychiatry  ·  15.08.2026  ·  PMID 42660041</w:t>
      </w:r>
    </w:p>
    <w:p>
      <w:r>
        <w:t>Prospektive Kohortenstudie (SHARE-Daten, n=23.385) zur Frage, ob ausreichende körperliche Aktivität die negativen Auswirkungen ungünstiger Kindheitserfahrungen (Adverse Childhood Experiences) auf kognitives Frailty im mittleren und höheren Alter abpuffert.</w:t>
      </w:r>
    </w:p>
    <w:p>
      <w:r>
        <w:rPr>
          <w:b/>
        </w:rPr>
        <w:t xml:space="preserve">Ergebnis: </w:t>
      </w:r>
      <w:r>
        <w:t>Jede zusätzliche ungünstige Kindheitserfahrung erhöhte das Frailty-Risiko um 9 % (HR=1,09). Ein Jahr ausreichende körperliche Aktivität senkte das Risiko um 25 % (HR=0,75). Langfristige Aufrechterhaltung (≥6 Jahre) reduzierte das Frailty-Risiko bei ungünstigen Erfahrungen um 54 % (HR=0,46); die Assoziation wurde zu 23 % durch erhaltene körperliche Aktivität vermittelt. Effekt war stärksten bei schlechtem Kindheitseinkommen (HR=0,59) und schlechter Nachbarschaftsqualität (HR=0,45).</w:t>
      </w:r>
    </w:p>
    <w:p>
      <w:r>
        <w:rPr>
          <w:b/>
          <w:sz w:val="19"/>
        </w:rPr>
        <w:t xml:space="preserve">Übertragbarkeit: </w:t>
      </w:r>
      <w:r>
        <w:rPr>
          <w:sz w:val="19"/>
        </w:rPr>
        <w:t>Europa (SHARE-Daten, deutschsprachige Länder einbezogen), sozialversicherungsbasierte Systeme vergleichbar</w:t>
      </w:r>
    </w:p>
    <w:p>
      <w:r>
        <w:rPr>
          <w:color w:val="5A7D3A"/>
          <w:sz w:val="18"/>
        </w:rPr>
        <w:t>https://pubmed.ncbi.nlm.nih.gov/42660041/</w:t>
      </w:r>
    </w:p>
    <w:p>
      <w:pPr>
        <w:pStyle w:val="Heading1"/>
      </w:pPr>
      <w:r>
        <w:t>Aufgenommen am 07.09.2026</w:t>
      </w:r>
    </w:p>
    <w:p>
      <w:pPr>
        <w:pStyle w:val="Heading2"/>
      </w:pPr>
      <w:r>
        <w:t>Kardiovaskuläre Gesundheit und Gehirngesundheit: Lebenserwartung ohne Schlaganfall und Demenz</w:t>
      </w:r>
    </w:p>
    <w:p>
      <w:r>
        <w:rPr>
          <w:i/>
          <w:color w:val="666666"/>
          <w:sz w:val="18"/>
        </w:rPr>
        <w:t>DU Y et al.  ·  Zhong Nan Da Xue Xue Bao Yi Xue Ban  ·  28.06.2026  ·  PMID 42702379</w:t>
      </w:r>
    </w:p>
    <w:p>
      <w:r>
        <w:t>Prospektive Kohortenstudie mit 122 953 Erwachsenen (37–73 Jahre) aus der UK Biobank untersuchte, wie ein Life's Essential 10-Framework (CVH-Bewertung mit 10 Komponenten) die Lebenserwartung ohne Schlaganfall und Demenz beeinflusst.</w:t>
      </w:r>
    </w:p>
    <w:p>
      <w:r>
        <w:rPr>
          <w:b/>
        </w:rPr>
        <w:t xml:space="preserve">Ergebnis: </w:t>
      </w:r>
      <w:r>
        <w:t>Bei hoher kardiovaskulärer Gesundheit (CVH) betrug die Lebenserwartung ohne Schlaganfall/Demenz im Alter 50 Jahren für Männer 31,8 Jahre (95%-KI 31,1–32,5) vs. 24,9 Jahre bei niedriger CVH; für Frauen 35,5 Jahre (95%-KI 34,7–36,2) vs. 28,4 Jahre. Hochrisiko-HRs: Männer HR=0,59 (95%-KI 0,52–0,67), Frauen HR=0,50 (95%-KI 0,42–0,59) für Schlaganfall/Demenz.</w:t>
      </w:r>
    </w:p>
    <w:p>
      <w:r>
        <w:rPr>
          <w:b/>
          <w:sz w:val="19"/>
        </w:rPr>
        <w:t xml:space="preserve">Übertragbarkeit: </w:t>
      </w:r>
      <w:r>
        <w:rPr>
          <w:sz w:val="19"/>
        </w:rPr>
        <w:t>UK Biobank, vergleichbare Sozialversicherungssysteme in Europa</w:t>
      </w:r>
    </w:p>
    <w:p>
      <w:r>
        <w:rPr>
          <w:color w:val="5A7D3A"/>
          <w:sz w:val="18"/>
        </w:rPr>
        <w:t>https://pubmed.ncbi.nlm.nih.gov/42702379/</w:t>
      </w:r>
    </w:p>
    <w:p>
      <w:pPr>
        <w:pStyle w:val="Heading2"/>
      </w:pPr>
      <w:r>
        <w:t>Wachstumshormonenantagenismus verlängert Lebensspanne bei Mäusen</w:t>
      </w:r>
    </w:p>
    <w:p>
      <w:r>
        <w:rPr>
          <w:i/>
          <w:color w:val="666666"/>
          <w:sz w:val="18"/>
        </w:rPr>
        <w:t>List EO et al.  ·  Aging Cell  ·  Sept. 2026  ·  PMID 42701998</w:t>
      </w:r>
    </w:p>
    <w:p>
      <w:r>
        <w:t>Studie an Transgenic-Mäusen untersuchte, ob Blockade der Wachstumshormonaktivität (mittels Pegvisomant-äquivalenter Substanz) die Lebensdauer und Gesundheit im Alter verbessert.</w:t>
      </w:r>
    </w:p>
    <w:p>
      <w:r>
        <w:rPr>
          <w:b/>
        </w:rPr>
        <w:t xml:space="preserve">Ergebnis: </w:t>
      </w:r>
      <w:r>
        <w:t>GH-Antagonismus-Mäuse zeigten signifikante Lebensverlängerung: Mediane Lebensspanne bei Männchen p=0,044, bei Weibchen p=2×10−8; maximale Lebensspanne um 186 Tage (Männchen) bzw. 265 Tage (Weibchen) verlängert. 2-jährige GHA-Mäuse zeigten geringere Frailty mit erhöhter Griffstärke trotz erhöhter Adiposität.</w:t>
      </w:r>
    </w:p>
    <w:p>
      <w:r>
        <w:rPr>
          <w:b/>
          <w:sz w:val="19"/>
        </w:rPr>
        <w:t xml:space="preserve">Übertragbarkeit: </w:t>
      </w:r>
      <w:r>
        <w:rPr>
          <w:sz w:val="19"/>
        </w:rPr>
        <w:t>Präklinisches Mausmodell; klinische Übertragbarkeit begrenzt, aber Pegvisomant FDA-zugelassen für Akromegalie beim Menschen</w:t>
      </w:r>
    </w:p>
    <w:p>
      <w:r>
        <w:rPr>
          <w:color w:val="5A7D3A"/>
          <w:sz w:val="18"/>
        </w:rPr>
        <w:t>https://pubmed.ncbi.nlm.nih.gov/42701998/</w:t>
      </w:r>
    </w:p>
    <w:p>
      <w:pPr>
        <w:pStyle w:val="Heading2"/>
      </w:pPr>
      <w:r>
        <w:t>Frailty als unabhängiger Mortalitätsprediktor bei Brustkrebsüberlebenden</w:t>
      </w:r>
    </w:p>
    <w:p>
      <w:r>
        <w:rPr>
          <w:i/>
          <w:color w:val="666666"/>
          <w:sz w:val="18"/>
        </w:rPr>
        <w:t>Wu C et al.  ·  Medicine (Baltimore)  ·  04.09.2026  ·  PMID 42700073</w:t>
      </w:r>
    </w:p>
    <w:p>
      <w:r>
        <w:t>Analyse von 625 128 Teilnehmern (9 941 Brustkrebsüberlebende) aus dem National Health Interview Survey 1997–2018 mit Mortalitätsfolgeup bis 2019 untersuchte Frailty als Mortalitätsprädikator.</w:t>
      </w:r>
    </w:p>
    <w:p>
      <w:r>
        <w:rPr>
          <w:b/>
        </w:rPr>
        <w:t xml:space="preserve">Ergebnis: </w:t>
      </w:r>
      <w:r>
        <w:t>Bei Brustkrebsüberlebenden zeigten Pre-Frailty (HR=1,44; 95%-KI 1,39–1,51) und Frailty (HR=1,70; 95%-KI 1,49–1,94) unabhängig erhöhte Mortalität. Unter 60-Jährigen: Frailty stark prädiktiv (HR=2,46; 95%-KI 1,52–4,00), Pre-Frailty nicht signifikant. Systematisches Frailty-Screening empfohlen.</w:t>
      </w:r>
    </w:p>
    <w:p>
      <w:r>
        <w:rPr>
          <w:b/>
          <w:sz w:val="19"/>
        </w:rPr>
        <w:t xml:space="preserve">Übertragbarkeit: </w:t>
      </w:r>
      <w:r>
        <w:rPr>
          <w:sz w:val="19"/>
        </w:rPr>
        <w:t>USA-Studie, nationale Versorgungsdaten; Frailty-Definition auf andere Systeme übertragbar</w:t>
      </w:r>
    </w:p>
    <w:p>
      <w:r>
        <w:rPr>
          <w:color w:val="5A7D3A"/>
          <w:sz w:val="18"/>
        </w:rPr>
        <w:t>https://pubmed.ncbi.nlm.nih.gov/42700073/</w:t>
      </w:r>
    </w:p>
    <w:p>
      <w:pPr>
        <w:pStyle w:val="Heading2"/>
      </w:pPr>
      <w:r>
        <w:t>Frailty-Verbesserung senkt Demenzrisiko bei älteren Erwachsenen</w:t>
      </w:r>
    </w:p>
    <w:p>
      <w:r>
        <w:rPr>
          <w:i/>
          <w:color w:val="666666"/>
          <w:sz w:val="18"/>
        </w:rPr>
        <w:t>Fang J et al.  ·  J Affect Disord  ·  01.12.2026  ·  PMID 42600788</w:t>
      </w:r>
    </w:p>
    <w:p>
      <w:r>
        <w:t>Longitudinale Kohortenanalyse von 59 331 Erwachsenen (≥50 Jahre) aus vier internationalen Studien (HRS, CHARLS, SHARE, ELSA) untersuchte, ob Frailty-Umkehr das Demenzrisiko reduziert und welche Rolle depressive Symptome spielen.</w:t>
      </w:r>
    </w:p>
    <w:p>
      <w:r>
        <w:rPr>
          <w:b/>
        </w:rPr>
        <w:t xml:space="preserve">Ergebnis: </w:t>
      </w:r>
      <w:r>
        <w:t>Über 7,51±2,09 Jahre entwickelten 9,49 % Demenz. Frailty-Verschlechterung erhöhte das Risiko (HR 1,43–2,53), während Frailty-Verbesserung in SHARE (HR=0,55) und CHARLS (HR=0,70) mit geringerem Risiko assoziiert war. Depressive Symptome mediieren 29,29–44,78 % der Assoziation zwischen Frailty und Demenz.</w:t>
      </w:r>
    </w:p>
    <w:p>
      <w:r>
        <w:rPr>
          <w:b/>
          <w:sz w:val="19"/>
        </w:rPr>
        <w:t xml:space="preserve">Übertragbarkeit: </w:t>
      </w:r>
      <w:r>
        <w:rPr>
          <w:sz w:val="19"/>
        </w:rPr>
        <w:t>Europäische Studien (SHARE, ELSA) einbezogen; vergleichbare Versorgungssysteme</w:t>
      </w:r>
    </w:p>
    <w:p>
      <w:r>
        <w:rPr>
          <w:color w:val="5A7D3A"/>
          <w:sz w:val="18"/>
        </w:rPr>
        <w:t>https://pubmed.ncbi.nlm.nih.gov/42600788/</w:t>
      </w:r>
    </w:p>
    <w:p>
      <w:pPr>
        <w:pStyle w:val="Heading2"/>
      </w:pPr>
      <w:r>
        <w:t>Maschinelles Lernen vorhersagt depressive Symptome bei älteren Erwachsenen in Großbritannien</w:t>
      </w:r>
    </w:p>
    <w:p>
      <w:r>
        <w:rPr>
          <w:i/>
          <w:color w:val="666666"/>
          <w:sz w:val="18"/>
        </w:rPr>
        <w:t>Khorram B et al.  ·  JMIR Form Res  ·  02.07.2026  ·  PMID 42390822</w:t>
      </w:r>
    </w:p>
    <w:p>
      <w:r>
        <w:t>Machine-Learning-Studie mit Daten aus vier Wellen der English Longitudinal Study of Ageing (ELSA) zur Vorhersage klinisch bedeutsamer depressiver Symptome (CES-D 8≥4) im 2-Jahres-Follow-up bei über 50-Jährigen.</w:t>
      </w:r>
    </w:p>
    <w:p>
      <w:r>
        <w:rPr>
          <w:b/>
        </w:rPr>
        <w:t xml:space="preserve">Ergebnis: </w:t>
      </w:r>
      <w:r>
        <w:t>Beste Modelle erreichten mittlere AUROC von 0,72–0,73 (Peak 0,75). Ordinale Codierung übertraf One-Hot-Codierung. Konsistente Prädiktoren: Einsamkeit, Schlafstörungen, geringe soziale Bindung. Sensitivitätsanalysen über CES-D-Schwellwerte robust (AUROC 0,67–0,82).</w:t>
      </w:r>
    </w:p>
    <w:p>
      <w:r>
        <w:rPr>
          <w:b/>
          <w:sz w:val="19"/>
        </w:rPr>
        <w:t xml:space="preserve">Übertragbarkeit: </w:t>
      </w:r>
      <w:r>
        <w:rPr>
          <w:sz w:val="19"/>
        </w:rPr>
        <w:t>Britische Studie mit europäischem Sozialversicherungssystem; Prädiktoren für Screeningtools übertragbar</w:t>
      </w:r>
    </w:p>
    <w:p>
      <w:r>
        <w:rPr>
          <w:color w:val="5A7D3A"/>
          <w:sz w:val="18"/>
        </w:rPr>
        <w:t>https://pubmed.ncbi.nlm.nih.gov/42390822/</w:t>
      </w:r>
    </w:p>
    <w:p>
      <w:pPr>
        <w:pStyle w:val="Heading2"/>
      </w:pPr>
      <w:r>
        <w:t>Biologische Alterungsbeschleunigung als Risikofaktor für Lebererkrankung im UK Biobank</w:t>
      </w:r>
    </w:p>
    <w:p>
      <w:r>
        <w:rPr>
          <w:i/>
          <w:color w:val="666666"/>
          <w:sz w:val="18"/>
        </w:rPr>
        <w:t>Yang X et al.  ·  Front Endocrinol (Lausanne)  ·  17.06.2026  ·  PMID 42388879</w:t>
      </w:r>
    </w:p>
    <w:p>
      <w:r>
        <w:t>Studie untersuchte die Assoziation zwischen beschleunigtem biologischem Alter und hospitalisierten Fällen von Stoffwechsel-assoziierter Steatose-Lebererkrankung (MASLD) an 247 444 Personen über 13,7 Jahre Nachbeobachtung.</w:t>
      </w:r>
    </w:p>
    <w:p>
      <w:r>
        <w:rPr>
          <w:b/>
        </w:rPr>
        <w:t xml:space="preserve">Ergebnis: </w:t>
      </w:r>
      <w:r>
        <w:t>Beschleunigtes biologisches Alter (PhenoAge-Beschleunigung) war mit erhöhtem MASLD-Risiko assoziiert (HR=1,46; 95%-KI 1,35–1,57). PhenoAge-Beschleunigung erklärte 11,4–25,5 % der Assoziation zwischen ungesundem Lebensstil (Rauchen, Alkohol, schlechte Ernährung, Bewegungsmangel) und MASLD, mit stärkstem Effekt beim Rauchen (25,5 %).</w:t>
      </w:r>
    </w:p>
    <w:p>
      <w:r>
        <w:rPr>
          <w:b/>
          <w:sz w:val="19"/>
        </w:rPr>
        <w:t xml:space="preserve">Übertragbarkeit: </w:t>
      </w:r>
      <w:r>
        <w:rPr>
          <w:sz w:val="19"/>
        </w:rPr>
        <w:t>UK Biobank, übertragbar für europäische Sozialversicherungssysteme</w:t>
      </w:r>
    </w:p>
    <w:p>
      <w:r>
        <w:rPr>
          <w:color w:val="5A7D3A"/>
          <w:sz w:val="18"/>
        </w:rPr>
        <w:t>https://pubmed.ncbi.nlm.nih.gov/42388879/</w:t>
      </w:r>
    </w:p>
    <w:p>
      <w:pPr>
        <w:pStyle w:val="Heading1"/>
      </w:pPr>
      <w:r>
        <w:t>Aufgenommen am 06.09.2026</w:t>
      </w:r>
    </w:p>
    <w:p>
      <w:pPr>
        <w:pStyle w:val="Heading2"/>
      </w:pPr>
      <w:r>
        <w:t>Orale Gesundheit und orale Gebrechlichkeit bei älteren hospitalisierten Patienten</w:t>
      </w:r>
    </w:p>
    <w:p>
      <w:r>
        <w:rPr>
          <w:i/>
          <w:color w:val="666666"/>
          <w:sz w:val="18"/>
        </w:rPr>
        <w:t>Ren Q et al.  ·  J Coll Physicians Surg Pak  ·  Sept. 2026  ·  PMID 42698252</w:t>
      </w:r>
    </w:p>
    <w:p>
      <w:r>
        <w:t>Querschnittsstudie mit 200 älteren Patienten: Beziehung zwischen Mundgesundheitsstatus (GOHAI, Wasserschluck-Test) und Oral Frailty Index-8 (OFI-8).</w:t>
      </w:r>
    </w:p>
    <w:p>
      <w:r>
        <w:rPr>
          <w:b/>
        </w:rPr>
        <w:t xml:space="preserve">Ergebnis: </w:t>
      </w:r>
      <w:r>
        <w:t>Signifikante Unterschiede in Alter, Mundgesundheitsindikatoren und Zahnfunktion zwischen Frailty- (n=55) und Non-Frailty-Gruppe (n=145). OFI-8 zeigt praktische Relevanz für Früherkennung oraler Gebrechlichkeit im klinischen Setting.</w:t>
      </w:r>
    </w:p>
    <w:p>
      <w:r>
        <w:rPr>
          <w:b/>
          <w:sz w:val="19"/>
        </w:rPr>
        <w:t xml:space="preserve">Übertragbarkeit: </w:t>
      </w:r>
      <w:r>
        <w:rPr>
          <w:sz w:val="19"/>
        </w:rPr>
        <w:t>China, geriatrische Versorgung; Screening-Wert für deutsches Gesundheitswesen nutzbar</w:t>
      </w:r>
    </w:p>
    <w:p>
      <w:r>
        <w:rPr>
          <w:color w:val="5A7D3A"/>
          <w:sz w:val="18"/>
        </w:rPr>
        <w:t>https://pubmed.ncbi.nlm.nih.gov/42698252/</w:t>
      </w:r>
    </w:p>
    <w:p>
      <w:pPr>
        <w:pStyle w:val="Heading2"/>
      </w:pPr>
      <w:r>
        <w:t>FRAIL- und SARC-CalF-Skalen vorhersagen HFpEF-Risiko bei älteren Patienten</w:t>
      </w:r>
    </w:p>
    <w:p>
      <w:r>
        <w:rPr>
          <w:i/>
          <w:color w:val="666666"/>
          <w:sz w:val="18"/>
        </w:rPr>
        <w:t>Yu Y et al.  ·  J Coll Physicians Surg Pak  ·  Sept. 2026  ·  PMID 42698238</w:t>
      </w:r>
    </w:p>
    <w:p>
      <w:r>
        <w:t>Querschnittsstudie mit 134 hospitalisierten Patienten ≥60 Jahren: Umfassendes geriatrisches Assessment (CGA) mit Evaluierung von Gebrechlichkeit, Sarkopenie und Ernährung; Vorhersage von Herzinsuffizienz mit erhaltener Ejektionsfraktion (HFpEF).</w:t>
      </w:r>
    </w:p>
    <w:p>
      <w:r>
        <w:rPr>
          <w:b/>
        </w:rPr>
        <w:t xml:space="preserve">Ergebnis: </w:t>
      </w:r>
      <w:r>
        <w:t>FRAIL-Score OR 3,68 (95%KI 1,83–8,39), SARC-CalF-Score OR 1,47 (95%KI 1,21–1,86) unabhängig mit HFpEF assoziiert; AUC FRAIL 0,88, AUC SARC-CalF 0,89; optimale Schwellen 1,5 Punkte (Vor-Frailty) bzw. 11 Punkte.</w:t>
      </w:r>
    </w:p>
    <w:p>
      <w:r>
        <w:rPr>
          <w:b/>
          <w:sz w:val="19"/>
        </w:rPr>
        <w:t xml:space="preserve">Übertragbarkeit: </w:t>
      </w:r>
      <w:r>
        <w:rPr>
          <w:sz w:val="19"/>
        </w:rPr>
        <w:t>China, aber FRAIL und SARC-CalF sind validiert international</w:t>
      </w:r>
    </w:p>
    <w:p>
      <w:r>
        <w:rPr>
          <w:color w:val="5A7D3A"/>
          <w:sz w:val="18"/>
        </w:rPr>
        <w:t>https://pubmed.ncbi.nlm.nih.gov/42698238/</w:t>
      </w:r>
    </w:p>
    <w:p>
      <w:pPr>
        <w:pStyle w:val="Heading2"/>
      </w:pPr>
      <w:r>
        <w:t>Depressive Symptome bei älteren Indonesiern: Prävalenz und Risikofaktoren</w:t>
      </w:r>
    </w:p>
    <w:p>
      <w:r>
        <w:rPr>
          <w:i/>
          <w:color w:val="666666"/>
          <w:sz w:val="18"/>
        </w:rPr>
        <w:t>Pengpid S et al.  ·  Psychogeriatrics  ·  Sept. 2026  ·  PMID 42698196</w:t>
      </w:r>
    </w:p>
    <w:p>
      <w:r>
        <w:t>Querschnittsanalyse von 3.808 Personen ≥45 Jahren aus indonesischer Longitudinal-Studie (ILAS 2023): Depressive Symptome (CES-D-10 ≥10) in Zusammenhang mit Hospitalisierung, Selbsteinschätzung der Gesundheit, Multisite-Schmerz, Übergewicht, Behinderung und religiöser Aktivität.</w:t>
      </w:r>
    </w:p>
    <w:p>
      <w:r>
        <w:rPr>
          <w:b/>
        </w:rPr>
        <w:t xml:space="preserve">Ergebnis: </w:t>
      </w:r>
      <w:r>
        <w:t>Depressive-Symptom-Prävalenz 9,3% (9,0% Männer, 9,6% Frauen). Hospitalisierung im vergangenen Jahr, schlechte Selbsteinschätzung, Multisite-Schmerz, Übergewicht und Behinderung positiv assoziiert; religiöse Aktivität protektiv (unadjustiert); bei Männern Rauchen zusätzlicher Risikofaktor.</w:t>
      </w:r>
    </w:p>
    <w:p>
      <w:r>
        <w:rPr>
          <w:b/>
          <w:sz w:val="19"/>
        </w:rPr>
        <w:t xml:space="preserve">Übertragbarkeit: </w:t>
      </w:r>
      <w:r>
        <w:rPr>
          <w:sz w:val="19"/>
        </w:rPr>
        <w:t>Indonesien; kulturelle/epidemiologische Unterschiede, aber psychosoziale Prädiktoren universal</w:t>
      </w:r>
    </w:p>
    <w:p>
      <w:r>
        <w:rPr>
          <w:color w:val="5A7D3A"/>
          <w:sz w:val="18"/>
        </w:rPr>
        <w:t>https://pubmed.ncbi.nlm.nih.gov/42698196/</w:t>
      </w:r>
    </w:p>
    <w:p>
      <w:pPr>
        <w:pStyle w:val="Heading2"/>
      </w:pPr>
      <w:r>
        <w:t>Geriatrisches Assessment mit Frailty Index optimiert Vorhersage von Sterblichkeit im Alter</w:t>
      </w:r>
    </w:p>
    <w:p>
      <w:r>
        <w:rPr>
          <w:i/>
          <w:color w:val="666666"/>
          <w:sz w:val="18"/>
        </w:rPr>
        <w:t>Quach J et al.  ·  Age Ageing  ·  04.09.2026  ·  PMID 42696642</w:t>
      </w:r>
    </w:p>
    <w:p>
      <w:r>
        <w:t>Analyse von 3.669 Patienten mit kardiovaskulärer Erkrankung: Bei einzelnen Deficit-Items war die Vorhersagekraft für Mortalität besser als bei zusammengefassten Frailty-Index-Scores; 10 Defizite reichten aus, um Vorhersagekraft zu optimieren.</w:t>
      </w:r>
    </w:p>
    <w:p>
      <w:r>
        <w:rPr>
          <w:b/>
        </w:rPr>
        <w:t xml:space="preserve">Ergebnis: </w:t>
      </w:r>
      <w:r>
        <w:t>Mit 46 Einzelitems C-Index 0,71 (95%KI 0,69–0,74) vs. composite FI 0,64–0,67; mit ~10 Items konvergierte Performance der Importance-ranked FI mit zufällig gewählten FI. Die Deficit-Interchangeability-Annahme des FI hält nur bei ausreichender Itemanzahl.</w:t>
      </w:r>
    </w:p>
    <w:p>
      <w:r>
        <w:rPr>
          <w:b/>
          <w:sz w:val="19"/>
        </w:rPr>
        <w:t xml:space="preserve">Übertragbarkeit: </w:t>
      </w:r>
      <w:r>
        <w:rPr>
          <w:sz w:val="19"/>
        </w:rPr>
        <w:t>USA-Daten, aber Frailty-Index-Methodik international anerkannt</w:t>
      </w:r>
    </w:p>
    <w:p>
      <w:r>
        <w:rPr>
          <w:color w:val="5A7D3A"/>
          <w:sz w:val="18"/>
        </w:rPr>
        <w:t>https://pubmed.ncbi.nlm.nih.gov/42696642/</w:t>
      </w:r>
    </w:p>
    <w:p>
      <w:pPr>
        <w:pStyle w:val="Heading2"/>
      </w:pPr>
      <w:r>
        <w:t>Benachteiligte Kindheit verschlechtert kognitive Funktion im Alter unabhängig von Erwachsenen-Erkrankungen</w:t>
      </w:r>
    </w:p>
    <w:p>
      <w:r>
        <w:rPr>
          <w:i/>
          <w:color w:val="666666"/>
          <w:sz w:val="18"/>
        </w:rPr>
        <w:t>Ripamonti E et al.  ·  J Clin Exp Neuropsychol  ·  06.07.2026  ·  PMID 42403102</w:t>
      </w:r>
    </w:p>
    <w:p>
      <w:r>
        <w:t>Longitudinale Studie: 508 schwedische Ältere verfolgt über mehrere Jahre; Analyse der Assoziation zwischen Kindheitsbenachteiligung und kognitiver Funktion (MMSE) bzw. Behinderung (ADL/iADL) im Alter mit Mediationsanalyse durch Krankheitszahl und chronische Schmerzen.</w:t>
      </w:r>
    </w:p>
    <w:p>
      <w:r>
        <w:rPr>
          <w:b/>
        </w:rPr>
        <w:t xml:space="preserve">Ergebnis: </w:t>
      </w:r>
      <w:r>
        <w:t>Benachteiligte Kindheit mit niedrigeren MMSE-Werten bei Baseline assoziiert (β=-0,14 [95%KI -0,27,-0,02]), aber nicht mit zeitlichem Verlauf (β=-0,01 [95%KI -0,03,0,01]); Mediationsanalyse: Krankheitszahl/Schmerz erklären nur minimalen Teil; keine Assoziation mit ADL/iADL. Unterstützt Sensitive-Period-Hypothese.</w:t>
      </w:r>
    </w:p>
    <w:p>
      <w:r>
        <w:rPr>
          <w:b/>
          <w:sz w:val="19"/>
        </w:rPr>
        <w:t xml:space="preserve">Übertragbarkeit: </w:t>
      </w:r>
      <w:r>
        <w:rPr>
          <w:sz w:val="19"/>
        </w:rPr>
        <w:t>Schweden (skandinavisches Sozialversicherungssystem), hochgradig übertragbar auf Deutschland</w:t>
      </w:r>
    </w:p>
    <w:p>
      <w:r>
        <w:rPr>
          <w:color w:val="5A7D3A"/>
          <w:sz w:val="18"/>
        </w:rPr>
        <w:t>https://pubmed.ncbi.nlm.nih.gov/42403102/</w:t>
      </w:r>
    </w:p>
    <w:p>
      <w:pPr>
        <w:pStyle w:val="Heading2"/>
      </w:pPr>
      <w:r>
        <w:t>Muskelleistung aus Sit-to-Stand-Test identifiziert Frailty bei älteren Community-Bewohnern</w:t>
      </w:r>
    </w:p>
    <w:p>
      <w:r>
        <w:rPr>
          <w:i/>
          <w:color w:val="666666"/>
          <w:sz w:val="18"/>
        </w:rPr>
        <w:t>Condon C et al.  ·  PLoS One  ·  02.07.2026  ·  PMID 42391194</w:t>
      </w:r>
    </w:p>
    <w:p>
      <w:r>
        <w:t>Querschnittsstudie mit 2.959 irischen Teilnehmern ≥50 Jahren: Geschätzte Muskelleistung aus 5×STS-Test verglichen mit Frailty-Index und etablierten Tests.</w:t>
      </w:r>
    </w:p>
    <w:p>
      <w:r>
        <w:rPr>
          <w:b/>
        </w:rPr>
        <w:t xml:space="preserve">Ergebnis: </w:t>
      </w:r>
      <w:r>
        <w:t>Schwellenwert &lt;2,5 Watt·kg⁻¹ Männer, &lt;2,08 Watt·kg⁻¹ Frauen mit erhöhtem Frailty-Risiko assoziiert; Sensitivität und Spezifität vergleichbar mit Timed Up and Go; praktisches Screening-Tool mit moderater Vorhersagekraft.</w:t>
      </w:r>
    </w:p>
    <w:p>
      <w:r>
        <w:rPr>
          <w:b/>
          <w:sz w:val="19"/>
        </w:rPr>
        <w:t xml:space="preserve">Übertragbarkeit: </w:t>
      </w:r>
      <w:r>
        <w:rPr>
          <w:sz w:val="19"/>
        </w:rPr>
        <w:t>Irland (vergleichbares Sozialversicherungssystem), einfach durchführbar in Praxen</w:t>
      </w:r>
    </w:p>
    <w:p>
      <w:r>
        <w:rPr>
          <w:color w:val="5A7D3A"/>
          <w:sz w:val="18"/>
        </w:rPr>
        <w:t>https://pubmed.ncbi.nlm.nih.gov/42391194/</w:t>
      </w:r>
    </w:p>
    <w:p>
      <w:pPr>
        <w:pStyle w:val="Heading1"/>
      </w:pPr>
      <w:r>
        <w:t>Aufgenommen am 05.09.2026</w:t>
      </w:r>
    </w:p>
    <w:p>
      <w:pPr>
        <w:pStyle w:val="Heading2"/>
      </w:pPr>
      <w:r>
        <w:t>Reaktive Balanceschulung senkt Sturzrisikofaktoren, nicht aber Stürze im Alltag</w:t>
      </w:r>
    </w:p>
    <w:p>
      <w:r>
        <w:rPr>
          <w:i/>
          <w:color w:val="666666"/>
          <w:sz w:val="18"/>
        </w:rPr>
        <w:t>Sharma S et al.  ·  Age Ageing  ·  04.09.2026  ·  PMID 42696641</w:t>
      </w:r>
    </w:p>
    <w:p>
      <w:r>
        <w:t>Randomisierte kontrollierte Studie mit 88 älteren Menschen: 43 erhielten wöchentliches ReacStep-Training (Reaktives Stepping, bewusste Ausrutscher) über 6 Wochen plus Heimkrafttraining, 45 nur Heimkrafttraining über 8 Wochen; Erhebung von reaktiver Balance, körperlichen Funktionen und Stürzen im Alltag über 12 Monate.</w:t>
      </w:r>
    </w:p>
    <w:p>
      <w:r>
        <w:rPr>
          <w:b/>
        </w:rPr>
        <w:t xml:space="preserve">Ergebnis: </w:t>
      </w:r>
      <w:r>
        <w:t>Adhärenz zum ReacStep-Programm 90 %, Interventionsgruppe zeigte signifikante Verbesserungen in maximaler Schrittlänge und Reaktionszeit beim Stepping (p&lt;0,05), aber keine Unterschiede in laborgestützten Sturzversuchen oder Häuslichkeitsstürzen über 12 Monate (p=0,19).</w:t>
      </w:r>
    </w:p>
    <w:p>
      <w:r>
        <w:rPr>
          <w:b/>
          <w:sz w:val="19"/>
        </w:rPr>
        <w:t xml:space="preserve">Übertragbarkeit: </w:t>
      </w:r>
      <w:r>
        <w:rPr>
          <w:sz w:val="19"/>
        </w:rPr>
        <w:t>Australien, vergleichbares Gesundheitssystem, aber begrenzte Übertragung zur Sturzprävention</w:t>
      </w:r>
    </w:p>
    <w:p>
      <w:r>
        <w:rPr>
          <w:color w:val="5A7D3A"/>
          <w:sz w:val="18"/>
        </w:rPr>
        <w:t>https://pubmed.ncbi.nlm.nih.gov/42696641/</w:t>
      </w:r>
    </w:p>
    <w:p>
      <w:pPr>
        <w:pStyle w:val="Heading2"/>
      </w:pPr>
      <w:r>
        <w:t>Urat-senkende Therapie und Frailty-Risiko bei Nierenpatienten</w:t>
      </w:r>
    </w:p>
    <w:p>
      <w:r>
        <w:rPr>
          <w:i/>
          <w:color w:val="666666"/>
          <w:sz w:val="18"/>
        </w:rPr>
        <w:t>Lee SY et al.  ·  Int J Med Sci  ·  04.08.2026  ·  PMID 42694867</w:t>
      </w:r>
    </w:p>
    <w:p>
      <w:r>
        <w:t>Retrospektive Kohortenstudie mit 19.389 Nephrologiepatienten: Untersuchung der Assoziation zwischen Febuxostat, Allopurinol und keiner Therapie mit neuaufgetretener und verschlimmerter Frailty über medianen Nachbeobachtungszeitraum von 3 Jahren.</w:t>
      </w:r>
    </w:p>
    <w:p>
      <w:r>
        <w:rPr>
          <w:b/>
        </w:rPr>
        <w:t xml:space="preserve">Ergebnis: </w:t>
      </w:r>
      <w:r>
        <w:t>892 (4,6 %) entwickelten neuaufgetretene Frailty, 5.253 (27,1 %) zeigten Verschlimmerung. Febuxostat war mit höherem Frailty-Risiko verbunden (HR 1,22; 95%-KI 1,01–1,48), Allopurinol mit geringerem Risiko (HR 0,65; 95%-KI 0,46–0,93); beide gemeinsam ohne signifikante Assoziation. Keine Effekte auf Frailty-Verschlimmerung.</w:t>
      </w:r>
    </w:p>
    <w:p>
      <w:r>
        <w:rPr>
          <w:b/>
          <w:sz w:val="19"/>
        </w:rPr>
        <w:t xml:space="preserve">Übertragbarkeit: </w:t>
      </w:r>
      <w:r>
        <w:rPr>
          <w:sz w:val="19"/>
        </w:rPr>
        <w:t>Taiwan, Nephrologiedaten vergleichbar, aber begrenzte Generalisierbarkeit</w:t>
      </w:r>
    </w:p>
    <w:p>
      <w:r>
        <w:rPr>
          <w:color w:val="5A7D3A"/>
          <w:sz w:val="18"/>
        </w:rPr>
        <w:t>https://pubmed.ncbi.nlm.nih.gov/42694867/</w:t>
      </w:r>
    </w:p>
    <w:p>
      <w:pPr>
        <w:pStyle w:val="Heading2"/>
      </w:pPr>
      <w:r>
        <w:t>Funkionsstatus und Pflegebedarf bei Eintritt in öffentlich finanzierte Altenhilfe</w:t>
      </w:r>
    </w:p>
    <w:p>
      <w:r>
        <w:rPr>
          <w:i/>
          <w:color w:val="666666"/>
          <w:sz w:val="18"/>
        </w:rPr>
        <w:t>Siljehag PA et al.  ·  BMC Health Serv Res  ·  02.09.2026  ·  PMID 42693458</w:t>
      </w:r>
    </w:p>
    <w:p>
      <w:r>
        <w:t>Schwedische Registeranalyse von 3.649 älteren Menschen (durchschnittlich 80 Jahre), die erstmals Altenhilfe in Anspruch nahmen, mit Erhebung von Komorbiditäten, funktionalen Einschränkungen und Vorbehandlung im Gesundheitswesen.</w:t>
      </w:r>
    </w:p>
    <w:p>
      <w:r>
        <w:rPr>
          <w:b/>
        </w:rPr>
        <w:t xml:space="preserve">Ergebnis: </w:t>
      </w:r>
      <w:r>
        <w:t>92 % hatten Multimorbidität, 25 % umfangreiche funktionale Einschränkungen, 95 % erhielten Pflege zu Hause, bei 50 % folgte die Altenhilfe unmittelbar nach stationärer Behandlung. Primärversorgung war bei 80 % der dominante ambulante Kontakt vor Heimaufnahme.</w:t>
      </w:r>
    </w:p>
    <w:p>
      <w:r>
        <w:rPr>
          <w:b/>
          <w:sz w:val="19"/>
        </w:rPr>
        <w:t xml:space="preserve">Übertragbarkeit: </w:t>
      </w:r>
      <w:r>
        <w:rPr>
          <w:sz w:val="19"/>
        </w:rPr>
        <w:t>Schweden, vergleichbare Sozialversicherung und Pflegefinanzierung</w:t>
      </w:r>
    </w:p>
    <w:p>
      <w:r>
        <w:rPr>
          <w:color w:val="5A7D3A"/>
          <w:sz w:val="18"/>
        </w:rPr>
        <w:t>https://pubmed.ncbi.nlm.nih.gov/42693458/</w:t>
      </w:r>
    </w:p>
    <w:p>
      <w:pPr>
        <w:pStyle w:val="Heading2"/>
      </w:pPr>
      <w:r>
        <w:t>Triglyzerid-Glukose-Frailty-Index zeigt stärkere Mortalitätsvorhersage als Insulinresistanzmarker</w:t>
      </w:r>
    </w:p>
    <w:p>
      <w:r>
        <w:rPr>
          <w:i/>
          <w:color w:val="666666"/>
          <w:sz w:val="18"/>
        </w:rPr>
        <w:t>Liu K et al.  ·  Cardiovasc Diabetol  ·  03.09.2026  ·  PMID 42693435</w:t>
      </w:r>
    </w:p>
    <w:p>
      <w:r>
        <w:t>Sekundäranalyse von 11.228 US-amerikanischen Erwachsenen (20–79 Jahre) aus NHANES 2001–2018: Vergleich des TyG-Frailty-Indexes (TyG-Index × Frailty-Index) mit konventionellen Insulinresistanzmarkern für kardiovaskuläre und Stoffwechselsyndrome sowie Mortalität über medianen Nachbeobachtungszeitraum von 90 Monaten.</w:t>
      </w:r>
    </w:p>
    <w:p>
      <w:r>
        <w:rPr>
          <w:b/>
        </w:rPr>
        <w:t xml:space="preserve">Ergebnis: </w:t>
      </w:r>
      <w:r>
        <w:t>TyG-FI-Quartil 4 vs. 1: fortgeschrittenes kardiovaskuläres-Nierenstoffwechsel-Syndrom OR=4,57 (95%-KI 3,50–5,99), kardiometabolische Multimorbidität OR=5,09 (95%-KI 2,83–9,16), Gesamtmortalität HR=3,90 (95%-KI 2,96–5,13), kardiovaskulär HR=5,82 (95%-KI 3,38–10,03). TyG-FI diskriminierte stärker als Vergleichsindizes, tiefere eGFR erklärte 16–27 % der Mortalitätsassoziation.</w:t>
      </w:r>
    </w:p>
    <w:p>
      <w:r>
        <w:rPr>
          <w:b/>
          <w:sz w:val="19"/>
        </w:rPr>
        <w:t xml:space="preserve">Übertragbarkeit: </w:t>
      </w:r>
      <w:r>
        <w:rPr>
          <w:sz w:val="19"/>
        </w:rPr>
        <w:t>USA-NHANES-Daten, begrenzte Übertragbarkeit auf deutsches System, aber Validierungsfrage ist altersunabhängig</w:t>
      </w:r>
    </w:p>
    <w:p>
      <w:r>
        <w:rPr>
          <w:color w:val="5A7D3A"/>
          <w:sz w:val="18"/>
        </w:rPr>
        <w:t>https://pubmed.ncbi.nlm.nih.gov/42693435/</w:t>
      </w:r>
    </w:p>
    <w:p>
      <w:pPr>
        <w:pStyle w:val="Heading2"/>
      </w:pPr>
      <w:r>
        <w:t>Muskelarchitektur und Kraft: Altern beeinträchtigt Faszickelkinetik trotz lebenslangem Training</w:t>
      </w:r>
    </w:p>
    <w:p>
      <w:r>
        <w:rPr>
          <w:i/>
          <w:color w:val="666666"/>
          <w:sz w:val="18"/>
        </w:rPr>
        <w:t>Michely S et al.  ·  J Appl Physiol (1985)  ·  01.09.2026  ·  PMID 42518311</w:t>
      </w:r>
    </w:p>
    <w:p>
      <w:r>
        <w:t>Querschnittsstudie mit 172 Leistungssportlern im Alter 35–90 Jahren (68 % männlich): Ultraschallmessung der Wadenmuskulatur bei willkürlicher Maximalkontraktion; Analyse von Faszickellänge, Pennationswinkel, -rotation und -verlängerung.</w:t>
      </w:r>
    </w:p>
    <w:p>
      <w:r>
        <w:rPr>
          <w:b/>
        </w:rPr>
        <w:t xml:space="preserve">Ergebnis: </w:t>
      </w:r>
      <w:r>
        <w:t>Oberflächliche Faszickelrotation (Pennationswinkelveränderung) sank um 6,6±51,3 % pro Jahrzehnt (p=0,003), tiefe Rotation blieb stabil (p=0,27). Ruhefaszickellänge sank um 1,8±13,7 % pro Jahrzehnt (p=0,002). Achillessehnen-kraft fiel um 4,3±16,3 % pro Jahrzehnt (p&lt;0,001), unabhängig vom Geschlecht. Eliteathleten (&gt;85 % age grade) erhielten größere oberflächliche Rotation.</w:t>
      </w:r>
    </w:p>
    <w:p>
      <w:r>
        <w:rPr>
          <w:b/>
          <w:sz w:val="19"/>
        </w:rPr>
        <w:t xml:space="preserve">Übertragbarkeit: </w:t>
      </w:r>
      <w:r>
        <w:rPr>
          <w:sz w:val="19"/>
        </w:rPr>
        <w:t>Deutschland, Deutsche Luft- und Raumfahrtforschung, vergleichbare Trainingsmethoden</w:t>
      </w:r>
    </w:p>
    <w:p>
      <w:r>
        <w:rPr>
          <w:color w:val="5A7D3A"/>
          <w:sz w:val="18"/>
        </w:rPr>
        <w:t>https://pubmed.ncbi.nlm.nih.gov/42518311/</w:t>
      </w:r>
    </w:p>
    <w:p>
      <w:pPr>
        <w:pStyle w:val="Heading2"/>
      </w:pPr>
      <w:r>
        <w:t>Soziale Frailty und Bildungsungleichheit: Sechs Ländervergleich mit 83.869 älteren Erwachsenen</w:t>
      </w:r>
    </w:p>
    <w:p>
      <w:r>
        <w:rPr>
          <w:i/>
          <w:color w:val="666666"/>
          <w:sz w:val="18"/>
        </w:rPr>
        <w:t>Xiang X et al.  ·  J Am Med Dir Assoc  ·  14.07.2026  ·  PMID 42447552</w:t>
      </w:r>
    </w:p>
    <w:p>
      <w:r>
        <w:t>Querschnittsanalyse aus sechs Längsschnittstudien in USA, England, Europa, Südkorea, Mexico und China mit 83.869 Personen ≥50 Jahren: Alter- und geschlechtsstandardisierte Prävalenz von sozialer Prefrailty und Frailty sowie Assoziation mit Bildungsabschlüssen.</w:t>
      </w:r>
    </w:p>
    <w:p>
      <w:r>
        <w:rPr>
          <w:b/>
        </w:rPr>
        <w:t xml:space="preserve">Ergebnis: </w:t>
      </w:r>
      <w:r>
        <w:t>Soziale Prefrailty 54,0–74,1 %, soziale Frailty 5,9–14,4 % je nach Land. Klare Bildungsstratifikation: mittlere vs. niedrige Bildung OR=0,72 (95%-KI 0,60–0,86) für Prefrailty und OR=0,54 (95%-KI 0,44–0,67) für Frailty; hohe Bildung OR=0,53 (95%-KI 0,36–0,78) bzw. OR=0,29 (95%-KI 0,17–0,51).</w:t>
      </w:r>
    </w:p>
    <w:p>
      <w:r>
        <w:rPr>
          <w:b/>
          <w:sz w:val="19"/>
        </w:rPr>
        <w:t xml:space="preserve">Übertragbarkeit: </w:t>
      </w:r>
      <w:r>
        <w:rPr>
          <w:sz w:val="19"/>
        </w:rPr>
        <w:t>Mehrländer-Poolanalyse, europäische Länder dabei, aber heterogene Systeme</w:t>
      </w:r>
    </w:p>
    <w:p>
      <w:r>
        <w:rPr>
          <w:color w:val="5A7D3A"/>
          <w:sz w:val="18"/>
        </w:rPr>
        <w:t>https://pubmed.ncbi.nlm.nih.gov/42447552/</w:t>
      </w:r>
    </w:p>
    <w:p>
      <w:pPr>
        <w:pStyle w:val="Heading1"/>
      </w:pPr>
      <w:r>
        <w:t>Aufgenommen am 04.09.2026</w:t>
      </w:r>
    </w:p>
    <w:p>
      <w:pPr>
        <w:pStyle w:val="Heading2"/>
      </w:pPr>
      <w:r>
        <w:t>Feinstaubexposition (PM2,5) erhöht Frailty-Risiko im Alter signifikant</w:t>
      </w:r>
    </w:p>
    <w:p>
      <w:r>
        <w:rPr>
          <w:i/>
          <w:color w:val="666666"/>
          <w:sz w:val="18"/>
        </w:rPr>
        <w:t>Chen K et al.  ·  Sichuan Da Xue Xue Bao Yi Xue Ban  ·  20.07.2026  ·  PMID 42688627</w:t>
      </w:r>
    </w:p>
    <w:p>
      <w:r>
        <w:t>Prospektive Kohortenstudie: 9603 Teilnehmende aus China Health and Retirement Longitudinal Study 2011–2020, Langzeit-PM2,5-Exposition und chemische Komponenten, Outcome Frailty nach Frailty-Index.</w:t>
      </w:r>
    </w:p>
    <w:p>
      <w:r>
        <w:rPr>
          <w:b/>
        </w:rPr>
        <w:t xml:space="preserve">Ergebnis: </w:t>
      </w:r>
      <w:r>
        <w:t>Jede Viertelbereichs-Zunahme der durchschnittlichen PM2,5-Konzentration des Vorjahres war mit 10,0% erhöhtem Frailty-Risiko assoziiert (HR 1,100, 95% KI 1,015–1,193). Organische Substanzen: HR 1,142 (14,2%); schwarzer Kohlenstoff: HR 1,131 (13,1%); Ammonium: HR 1,098 (9,8%). Luftschadstoffe, besonders Ruß und organische Aerosole, sind Risikofaktoren für Gebrechlichkeit bei älteren Menschen.</w:t>
      </w:r>
    </w:p>
    <w:p>
      <w:r>
        <w:rPr>
          <w:b/>
          <w:sz w:val="19"/>
        </w:rPr>
        <w:t xml:space="preserve">Übertragbarkeit: </w:t>
      </w:r>
      <w:r>
        <w:rPr>
          <w:sz w:val="19"/>
        </w:rPr>
        <w:t>China, aber Feinstaubbelastung und Expositionsmessung auch in Deutschland relevant</w:t>
      </w:r>
    </w:p>
    <w:p>
      <w:r>
        <w:rPr>
          <w:color w:val="5A7D3A"/>
          <w:sz w:val="18"/>
        </w:rPr>
        <w:t>https://pubmed.ncbi.nlm.nih.gov/42688627/</w:t>
      </w:r>
    </w:p>
    <w:p>
      <w:pPr>
        <w:pStyle w:val="Heading2"/>
      </w:pPr>
      <w:r>
        <w:t>Multikomponenten-Training und HMB-Supplementierung verbessern Gebrechlichkeit</w:t>
      </w:r>
    </w:p>
    <w:p>
      <w:r>
        <w:rPr>
          <w:i/>
          <w:color w:val="666666"/>
          <w:sz w:val="18"/>
        </w:rPr>
        <w:t>Jiang Y et al.  ·  Sichuan Da Xue Xue Bao Yi Xue Ban  ·  20.07.2026  ·  PMID 42688609</w:t>
      </w:r>
    </w:p>
    <w:p>
      <w:r>
        <w:t>Randomisierte Studie: 136 ältere Patienten mit Frailty erhielten 12 Wochen lang Übungstraining plus 3 g/d HMB oder Placebo; gemessen wurden physische Funktion (SPPB), Gangfähigkeit, Griffstärke, Muskelquerschnitt und Serumalbumin.</w:t>
      </w:r>
    </w:p>
    <w:p>
      <w:r>
        <w:rPr>
          <w:b/>
        </w:rPr>
        <w:t xml:space="preserve">Ergebnis: </w:t>
      </w:r>
      <w:r>
        <w:t>SPPB-Gesamtscore besserte sich in der HMB-Gruppe über 12 Wochen signifikant mehr als in der Kontrolle (Interaktionseffekt p&lt;0,001). HMB-Gruppe zeigte nach 4 Wochen bessere Bilanz (p&lt;0,05) und nach 12 Wochen auch bessere Gangscores und ASMI (p&lt;0,05). Serumalbumin war in der Interventionsgruppe erhöht (p&lt;0,05). HMB 3 g/d plus multikomponentales Training verbessert körperliche Funktion und Muskulatur bei älteren Patienten mit Gebrechlichkeit.</w:t>
      </w:r>
    </w:p>
    <w:p>
      <w:r>
        <w:rPr>
          <w:b/>
          <w:sz w:val="19"/>
        </w:rPr>
        <w:t xml:space="preserve">Übertragbarkeit: </w:t>
      </w:r>
      <w:r>
        <w:rPr>
          <w:sz w:val="19"/>
        </w:rPr>
        <w:t>China, Rehabilitation nach westlichem Standard, Frailty-Diagnostik vergleichbar</w:t>
      </w:r>
    </w:p>
    <w:p>
      <w:r>
        <w:rPr>
          <w:color w:val="5A7D3A"/>
          <w:sz w:val="18"/>
        </w:rPr>
        <w:t>https://pubmed.ncbi.nlm.nih.gov/42688609/</w:t>
      </w:r>
    </w:p>
    <w:p>
      <w:pPr>
        <w:pStyle w:val="Heading2"/>
      </w:pPr>
      <w:r>
        <w:t>Benzodiazepine-Induced Resistance: Drug Use Blunts Frailty-Intervention Effect</w:t>
      </w:r>
    </w:p>
    <w:p>
      <w:r>
        <w:rPr>
          <w:i/>
          <w:color w:val="666666"/>
          <w:sz w:val="18"/>
        </w:rPr>
        <w:t>Levati E et al.  ·  Age Ageing  ·  03.08.2026  ·  PMID 42685256</w:t>
      </w:r>
    </w:p>
    <w:p>
      <w:r>
        <w:t>Sekundäranalyse eines Trials zu multikomponentigen Lebensstiländerungen bei Frailty: 1506 ältere Patienten, 14% mit Benzodiazepin-Nutzung, Verfolgung der Mobilitätsbehindertung über Median 3,3 Jahre.</w:t>
      </w:r>
    </w:p>
    <w:p>
      <w:r>
        <w:rPr>
          <w:b/>
        </w:rPr>
        <w:t xml:space="preserve">Ergebnis: </w:t>
      </w:r>
      <w:r>
        <w:t>Bei Frailty-Patienten mit Benzodiazepin-Nutzung war die Effektivität der kombinierten Intervention (körperliche Übungen plus Ernährungsberatung) erheblich reduziert oder aufgehoben. Im Subgroup mit SPPB-Score 3–7 zeigte sich der präventive Effekt (HR 0,80) nur bei Nicht-Nutzern; Nutzer zeigten keinen Schutz (HR 1,06; p=0,035 für Interaktion). Benzodiazepine signifikant mindern die Wirksamkeit von Lebensstiländerungen bei älteren fragilen Menschen.</w:t>
      </w:r>
    </w:p>
    <w:p>
      <w:r>
        <w:rPr>
          <w:b/>
          <w:sz w:val="19"/>
        </w:rPr>
        <w:t xml:space="preserve">Übertragbarkeit: </w:t>
      </w:r>
      <w:r>
        <w:rPr>
          <w:sz w:val="19"/>
        </w:rPr>
        <w:t>Italien und Deutschland, vergleichbare klinische Versorgung und Frailty-Konzepte</w:t>
      </w:r>
    </w:p>
    <w:p>
      <w:r>
        <w:rPr>
          <w:color w:val="5A7D3A"/>
          <w:sz w:val="18"/>
        </w:rPr>
        <w:t>https://pubmed.ncbi.nlm.nih.gov/42685256/</w:t>
      </w:r>
    </w:p>
    <w:p>
      <w:pPr>
        <w:pStyle w:val="Heading2"/>
      </w:pPr>
      <w:r>
        <w:t>Gebrechlichkeit und Alter erhöhen postoperative Komplikationen nach Meningiom-Resektion</w:t>
      </w:r>
    </w:p>
    <w:p>
      <w:r>
        <w:rPr>
          <w:i/>
          <w:color w:val="666666"/>
          <w:sz w:val="18"/>
        </w:rPr>
        <w:t>Eibl T et al.  ·  J Clin Neurosci  ·  06.07.2026  ·  PMID 42407322</w:t>
      </w:r>
    </w:p>
    <w:p>
      <w:r>
        <w:t>Retrospektive Studie: 120 Patienten mit nicht-schädelbasis-Meningiomen (Alter Median 61 Jahre), Frailty (mFI-5, mFI-11), Charlson-Komorbidität, Outcome Heimententlassung, Aufenthaltssdauer, ICU-Tage, Komplikationen.</w:t>
      </w:r>
    </w:p>
    <w:p>
      <w:r>
        <w:rPr>
          <w:b/>
        </w:rPr>
        <w:t xml:space="preserve">Ergebnis: </w:t>
      </w:r>
      <w:r>
        <w:t>82,5% wurden nach Hause entlassen. Risikofaktoren für Nicht-Heimententlassung: höheres Alter (p&lt;0,001), größere Tumorvolumina (p=0,012), höhere Ödemvolumina (p=0,002), höhere Charlson-Score (p&lt;0,001), höhere mFI-5 und mFI-11 (beide p&lt;0,001). Postoperative Aufenthaltssdauer korrelierte mit mFI (rs=0,34 für beide, p&lt;0,001). Gebrechlichkeit und chronologisches Alter beeinflussen operatives Ergebnis erheblich und verlängern postoperativen Aufenthalt.</w:t>
      </w:r>
    </w:p>
    <w:p>
      <w:r>
        <w:rPr>
          <w:b/>
          <w:sz w:val="19"/>
        </w:rPr>
        <w:t xml:space="preserve">Übertragbarkeit: </w:t>
      </w:r>
      <w:r>
        <w:rPr>
          <w:sz w:val="19"/>
        </w:rPr>
        <w:t>Deutschland, vergleichbare Neurochirurgische Versorgung und Frailty-Konzepte</w:t>
      </w:r>
    </w:p>
    <w:p>
      <w:r>
        <w:rPr>
          <w:color w:val="5A7D3A"/>
          <w:sz w:val="18"/>
        </w:rPr>
        <w:t>https://pubmed.ncbi.nlm.nih.gov/42407322/</w:t>
      </w:r>
    </w:p>
    <w:p>
      <w:pPr>
        <w:pStyle w:val="Heading2"/>
      </w:pPr>
      <w:r>
        <w:t>TyG-Index mit BMI/WHtR vorhersagt Herz-Kreislauf-Erkrankung bei älteren Menschen</w:t>
      </w:r>
    </w:p>
    <w:p>
      <w:r>
        <w:rPr>
          <w:i/>
          <w:color w:val="666666"/>
          <w:sz w:val="18"/>
        </w:rPr>
        <w:t>Liu Z et al.  ·  Cardiovasc Diabetol  ·  05.07.2026  ·  PMID 42402573</w:t>
      </w:r>
    </w:p>
    <w:p>
      <w:r>
        <w:t>Prospektive Kohortenstudie: 1808 CVD-freie Personen ≥50 Jahre aus English Longitudinal Study of Ageing, Gruppierungstrajectorie von TyG mit BMI bzw. WHtR über ~8 Jahre, Outcome Herzinfarkt, Schlaganfall, Herzkrankheit.</w:t>
      </w:r>
    </w:p>
    <w:p>
      <w:r>
        <w:rPr>
          <w:b/>
        </w:rPr>
        <w:t xml:space="preserve">Ergebnis: </w:t>
      </w:r>
      <w:r>
        <w:t>Vier Trajektorie-Gruppen identifiziert. Im BMI+TyG-Modell (vs. Normalgewicht-niedriger TyG): Übergewicht-moderater TyG (HR 2,31, 95% KI 1,40–3,83), adipös-hoher TyG (HR 2,72, 1,63–4,52), stark adipös-hoher TyG (HR 5,06, 3,01–8,51). WHtR+TyG ähnliche Dosisantwort. Für Schlaganfall signifikant nur in höchstem Risiko. Robuste Dosis-Antwort-Gradienten unterstützen Monitoring dieser Indizes bei älteren Personen.</w:t>
      </w:r>
    </w:p>
    <w:p>
      <w:r>
        <w:rPr>
          <w:b/>
          <w:sz w:val="19"/>
        </w:rPr>
        <w:t xml:space="preserve">Übertragbarkeit: </w:t>
      </w:r>
      <w:r>
        <w:rPr>
          <w:sz w:val="19"/>
        </w:rPr>
        <w:t>Großbritannien, vergleichbare Epidemiologie und Metabolismus-Diagnostik</w:t>
      </w:r>
    </w:p>
    <w:p>
      <w:r>
        <w:rPr>
          <w:color w:val="5A7D3A"/>
          <w:sz w:val="18"/>
        </w:rPr>
        <w:t>https://pubmed.ncbi.nlm.nih.gov/42402573/</w:t>
      </w:r>
    </w:p>
    <w:p>
      <w:pPr>
        <w:pStyle w:val="Heading2"/>
      </w:pPr>
      <w:r>
        <w:t>Immunseneszenz-Biomarker für klinische Aging-Interventionsstudien</w:t>
      </w:r>
    </w:p>
    <w:p>
      <w:r>
        <w:rPr>
          <w:i/>
          <w:color w:val="666666"/>
          <w:sz w:val="18"/>
        </w:rPr>
        <w:t>Cipriano A et al.  ·  Nat Med  ·  03.07.2026  ·  PMID 42399672</w:t>
      </w:r>
    </w:p>
    <w:p>
      <w:r>
        <w:t>Konsensusrahmen von 26 Gerontologen und Immunologen zur Evaluierung von Immune-Aging-Biomarkern für klinische Trials; fünf Selektionskriterien, Bewertung von Kandidaten-Biomarkern und Empfehlungen für Lücken.</w:t>
      </w:r>
    </w:p>
    <w:p>
      <w:r>
        <w:rPr>
          <w:b/>
        </w:rPr>
        <w:t xml:space="preserve">Ergebnis: </w:t>
      </w:r>
      <w:r>
        <w:t>Metriken mit multidimensionalem Immunfunktionsspektrum, Inflammaging-Scores und funktionelle Assays schnitten gegen Selektionskriterien am besten ab. Vielversprechende aufkommende Maße identifiziert, aber kritische Lücken für zuverlässige, prädiktive Biomarker erkannt. Rahmen bietet kohärenten Weg zu klinisch aussagekräftigen Immunalterungs-Biomarkern für Geroscience-Interventionen.</w:t>
      </w:r>
    </w:p>
    <w:p>
      <w:r>
        <w:rPr>
          <w:b/>
          <w:sz w:val="19"/>
        </w:rPr>
        <w:t xml:space="preserve">Übertragbarkeit: </w:t>
      </w:r>
      <w:r>
        <w:rPr>
          <w:sz w:val="19"/>
        </w:rPr>
        <w:t>International konsensiert; Framework unabhängig von Ländersystem, aber Implementierung in Deutschland möglich</w:t>
      </w:r>
    </w:p>
    <w:p>
      <w:r>
        <w:rPr>
          <w:color w:val="5A7D3A"/>
          <w:sz w:val="18"/>
        </w:rPr>
        <w:t>https://pubmed.ncbi.nlm.nih.gov/42399672/</w:t>
      </w:r>
    </w:p>
    <w:p>
      <w:pPr>
        <w:pStyle w:val="Heading2"/>
      </w:pPr>
      <w:r>
        <w:t>Sexuelle Aktivitätsveränderung beeinträchtigt Lebensqualität im Alter nachweislich</w:t>
      </w:r>
    </w:p>
    <w:p>
      <w:r>
        <w:rPr>
          <w:i/>
          <w:color w:val="666666"/>
          <w:sz w:val="18"/>
        </w:rPr>
        <w:t>Kujawska A et al.  ·  Maturitas  ·  29.06.2026  ·  PMID 42391932</w:t>
      </w:r>
    </w:p>
    <w:p>
      <w:r>
        <w:t>Zweijahrliche Längsschnittstudie: 199 ältere Polen (80% Frauen, Alter 69,7±6 Jahre), Assessment von Sexualität und Lebensqualität nach WHO-QoL, Kovariaten Alter, Basalwerte, Traurigkeit, Gesundheit.</w:t>
      </w:r>
    </w:p>
    <w:p>
      <w:r>
        <w:rPr>
          <w:b/>
        </w:rPr>
        <w:t xml:space="preserve">Ergebnis: </w:t>
      </w:r>
      <w:r>
        <w:t>Keine signifikanten Veränderungen in Gesamt-QoL-Werten über zwei Jahre (p=0,3). Aber: Aufhören von Sexualität war assoziiert mit signifikant niedrigeren Folgepunkten in Sozialbeziehungen (p=0,006) und Umwelt-Domäne (p=0,007). Effekt hielt nach Ausschluß von Gesundheits- und Depressions-Veränderungen. Beendigung der Sexualität im Alter reduziert Sozialbeziehungen und Umwelt-Wohlbefinden nachweislich.</w:t>
      </w:r>
    </w:p>
    <w:p>
      <w:r>
        <w:rPr>
          <w:b/>
          <w:sz w:val="19"/>
        </w:rPr>
        <w:t xml:space="preserve">Übertragbarkeit: </w:t>
      </w:r>
      <w:r>
        <w:rPr>
          <w:sz w:val="19"/>
        </w:rPr>
        <w:t>Polen, ähnliche Altersstruktur, aber Übertragung auf Deutschland kulturabhängig</w:t>
      </w:r>
    </w:p>
    <w:p>
      <w:r>
        <w:rPr>
          <w:color w:val="5A7D3A"/>
          <w:sz w:val="18"/>
        </w:rPr>
        <w:t>https://pubmed.ncbi.nlm.nih.gov/42391932/</w:t>
      </w:r>
    </w:p>
    <w:p>
      <w:pPr>
        <w:pStyle w:val="Heading1"/>
      </w:pPr>
      <w:r>
        <w:t>Aufgenommen am 03.09.2026</w:t>
      </w:r>
    </w:p>
    <w:p>
      <w:pPr>
        <w:pStyle w:val="Heading2"/>
      </w:pPr>
      <w:r>
        <w:t>Hausarzt-Vertragsdienst in China verbessert Gesundheit älterer Erwachsener</w:t>
      </w:r>
    </w:p>
    <w:p>
      <w:r>
        <w:rPr>
          <w:i/>
          <w:color w:val="666666"/>
          <w:sz w:val="18"/>
        </w:rPr>
        <w:t>Jia C et al.  ·  Front Public Health  ·  18.08.2026  ·  PMID 42682531</w:t>
      </w:r>
    </w:p>
    <w:p>
      <w:r>
        <w:t>Nationale chinesische Querschnittsstudie (n = 11.455, ≥ 65 Jahre) aus der China Longitudinal Aging Social Survey 2023 zur Assoziation zwischen Teilnahme am Family Doctor Contract Service (FDCS) und Selbstbewertung, körperlichem Unbehagen und Lebenszufriedenheit, stratifiziert nach Land/Stadt und Bildung.</w:t>
      </w:r>
    </w:p>
    <w:p>
      <w:r>
        <w:rPr>
          <w:b/>
        </w:rPr>
        <w:t xml:space="preserve">Ergebnis: </w:t>
      </w:r>
      <w:r>
        <w:t>FDCS-Teilnahme assoziiert mit besseren Ergebnissen in allen drei Dimensionen. Ländliche und weniger gebildete Ältere zeigten stärkere Assoziationen mit geringerem körperlichem Unbehagen und höherer Lebenszufriedenheit; urbane und höher gebildete mit besserer Selbstbewertung. Heterogene Effekte nach Wohnort und Bildung.</w:t>
      </w:r>
    </w:p>
    <w:p>
      <w:r>
        <w:rPr>
          <w:b/>
          <w:sz w:val="19"/>
        </w:rPr>
        <w:t xml:space="preserve">Übertragbarkeit: </w:t>
      </w:r>
      <w:r>
        <w:rPr>
          <w:sz w:val="19"/>
        </w:rPr>
        <w:t>China, anderes System; Konzept der primärärztlichen Gatekeeping-Funktion teils übertragbar, Effektgrößen jedoch kontextabhängig.</w:t>
      </w:r>
    </w:p>
    <w:p>
      <w:r>
        <w:rPr>
          <w:color w:val="5A7D3A"/>
          <w:sz w:val="18"/>
        </w:rPr>
        <w:t>https://pubmed.ncbi.nlm.nih.gov/42682531/</w:t>
      </w:r>
    </w:p>
    <w:p>
      <w:pPr>
        <w:pStyle w:val="Heading2"/>
      </w:pPr>
      <w:r>
        <w:t>Serum-Periostin als Biomarker für Frailty bei Typ-2-Diabetes</w:t>
      </w:r>
    </w:p>
    <w:p>
      <w:r>
        <w:rPr>
          <w:i/>
          <w:color w:val="666666"/>
          <w:sz w:val="18"/>
        </w:rPr>
        <w:t>González-Salvatierra S et al.  ·  Int J Mol Sci  ·  21.08.2026  ·  PMID 42653500</w:t>
      </w:r>
    </w:p>
    <w:p>
      <w:r>
        <w:t>Spanische Querschnittsstudie (n = 137, Alter 65 ± 8 Jahre) zur Assoziation zwischen serum-Periostin und Frailty-Status (FRAIL-Skala: robust, pre-frail, frail) bei Typ-2-Diabetes.</w:t>
      </w:r>
    </w:p>
    <w:p>
      <w:r>
        <w:rPr>
          <w:b/>
        </w:rPr>
        <w:t xml:space="preserve">Ergebnis: </w:t>
      </w:r>
      <w:r>
        <w:t>Frailty korrelierte positiv mit Alter (p &lt; 0,001), BMI (p = 0,006), Taille (p = 0,01) und Diabetes-Dauer (p = 0,040), negativ mit TBS, HDL und eGFR. Periostin zeigte stärkste Korrelation mit Frailty (p &lt; 0,001). Frail: höhere Periostin als pre-frail (p = 0,006) und robust (p = 0,008). AUC für Frailty-Diskrimination 0,710 (p &lt; 0,001); kombiniert mit klinischen Variablen AUC 0,900 vs. 0,858. Schwellenwert &gt; 1307 pmol/L: 77,8% Sensitivität, 66,7% Spezifität.</w:t>
      </w:r>
    </w:p>
    <w:p>
      <w:r>
        <w:rPr>
          <w:b/>
          <w:sz w:val="19"/>
        </w:rPr>
        <w:t xml:space="preserve">Übertragbarkeit: </w:t>
      </w:r>
      <w:r>
        <w:rPr>
          <w:sz w:val="19"/>
        </w:rPr>
        <w:t>Spanien, europäisches System, vergleichbar; Biomarker-Entwicklung in progress.</w:t>
      </w:r>
    </w:p>
    <w:p>
      <w:r>
        <w:rPr>
          <w:color w:val="5A7D3A"/>
          <w:sz w:val="18"/>
        </w:rPr>
        <w:t>https://pubmed.ncbi.nlm.nih.gov/42653500/</w:t>
      </w:r>
    </w:p>
    <w:p>
      <w:pPr>
        <w:pStyle w:val="Heading2"/>
      </w:pPr>
      <w:r>
        <w:t>Geschlechtsspezifische Determinanten von Frailty bei alternden Menschen mit HIV</w:t>
      </w:r>
    </w:p>
    <w:p>
      <w:r>
        <w:rPr>
          <w:i/>
          <w:color w:val="666666"/>
          <w:sz w:val="18"/>
        </w:rPr>
        <w:t>Echeverría P et al.  ·  Viruses  ·  04.07.2026  ·  PMID 42515594</w:t>
      </w:r>
    </w:p>
    <w:p>
      <w:r>
        <w:t>Querschnittsstudie zu Frailty (Fried-Kriterien) bei 588 älteren Menschen mit HIV in Spanien, untersucht nach Geschlecht stratifiziert mittels geriatrischem Assessment.</w:t>
      </w:r>
    </w:p>
    <w:p>
      <w:r>
        <w:rPr>
          <w:b/>
        </w:rPr>
        <w:t xml:space="preserve">Ergebnis: </w:t>
      </w:r>
      <w:r>
        <w:t>Frauen mit HIV zeigten höhere Frailty-Prävalenz (17% vs. 9%) trotz jüngeren Alters und besserer Immunstatus. Bei Frauen waren muskuloskelettale Erkrankung (OR 3,85), kognitive Beeinträchtigung (OR 3,21), depressive Symptome (OR 2,67) und Mangelernährung (OR 2,14) unabhängig mit Frailty assoziiert; bei Männern alterstypischere Muster. Forderung nach geschlechtsspezifischer, ganzheitlicher geriatrischer Versorgung.</w:t>
      </w:r>
    </w:p>
    <w:p>
      <w:r>
        <w:rPr>
          <w:b/>
          <w:sz w:val="19"/>
        </w:rPr>
        <w:t xml:space="preserve">Übertragbarkeit: </w:t>
      </w:r>
      <w:r>
        <w:rPr>
          <w:sz w:val="19"/>
        </w:rPr>
        <w:t>Spanien, europäisches System, direkt vergleichbare Versorgungsstrukturen.</w:t>
      </w:r>
    </w:p>
    <w:p>
      <w:r>
        <w:rPr>
          <w:color w:val="5A7D3A"/>
          <w:sz w:val="18"/>
        </w:rPr>
        <w:t>https://pubmed.ncbi.nlm.nih.gov/42515594/</w:t>
      </w:r>
    </w:p>
    <w:p>
      <w:pPr>
        <w:pStyle w:val="Heading2"/>
      </w:pPr>
      <w:r>
        <w:t>Express-Screening für Frailty verbessert Versorgung älteren Patienten mit Notfallbedarf</w:t>
      </w:r>
    </w:p>
    <w:p>
      <w:r>
        <w:rPr>
          <w:i/>
          <w:color w:val="666666"/>
          <w:sz w:val="18"/>
        </w:rPr>
        <w:t>Ilnitski AN et al.  ·  Adv Gerontol  ·  2026  ·  PMID 42502931</w:t>
      </w:r>
    </w:p>
    <w:p>
      <w:r>
        <w:t>Russische Studie an 333 älteren Patienten (65–90 Jahre) in Notfallambulanz: Vergleich zwischen 234 Patienten mit Frailty-Screening (Gruppe 1) und 99 ohne Screening (Gruppe 2); Nachverfolgung 1 Monat.</w:t>
      </w:r>
    </w:p>
    <w:p>
      <w:r>
        <w:rPr>
          <w:b/>
        </w:rPr>
        <w:t xml:space="preserve">Ergebnis: </w:t>
      </w:r>
      <w:r>
        <w:t>Gruppe 1: 62,8% unter hausärztlicher Beobachtung, 0% Wiedervorstellungen, 0,4% Mortalität. Gruppe 2: 41,4% beobachtet, 6,1% Wiedervorstellungen, 2% Mortalität (p &lt; 0,001). Express-Screening ermöglichte bessere Nachbeobachtung und senkte Sterblichkeit und Inanspruchnahme.</w:t>
      </w:r>
    </w:p>
    <w:p>
      <w:r>
        <w:rPr>
          <w:b/>
          <w:sz w:val="19"/>
        </w:rPr>
        <w:t xml:space="preserve">Übertragbarkeit: </w:t>
      </w:r>
      <w:r>
        <w:rPr>
          <w:sz w:val="19"/>
        </w:rPr>
        <w:t>Russland, weniger direkt übertragbar; Konzept des Frailty-Screening in Notfallambulanzen adaptierbar.</w:t>
      </w:r>
    </w:p>
    <w:p>
      <w:r>
        <w:rPr>
          <w:color w:val="5A7D3A"/>
          <w:sz w:val="18"/>
        </w:rPr>
        <w:t>https://pubmed.ncbi.nlm.nih.gov/42502931/</w:t>
      </w:r>
    </w:p>
    <w:p>
      <w:pPr>
        <w:pStyle w:val="Heading2"/>
      </w:pPr>
      <w:r>
        <w:t>Geschlechtsspezifische Heterogenität der Handkraftveränderung im Alter: UK Biobank</w:t>
      </w:r>
    </w:p>
    <w:p>
      <w:r>
        <w:rPr>
          <w:i/>
          <w:color w:val="666666"/>
          <w:sz w:val="18"/>
        </w:rPr>
        <w:t>Fortinsky RH et al.  ·  J Gerontol A Biol Sci Med Sci  ·  04.08.2026  ·  PMID 42435411</w:t>
      </w:r>
    </w:p>
    <w:p>
      <w:r>
        <w:t>Longitudinale Kohorte aus UK Biobank (n = 73.134, 52% Frauen, 40–69 Jahre bei Baseline, 4–18 Jahre Nachverfolgung) zur Analyse der Varianz in Handkraft nach Altersgruppen und Geschlecht.</w:t>
      </w:r>
    </w:p>
    <w:p>
      <w:r>
        <w:rPr>
          <w:b/>
        </w:rPr>
        <w:t xml:space="preserve">Ergebnis: </w:t>
      </w:r>
      <w:r>
        <w:t>Frauen zeigten stabile Handkraft-Varianz über alle Altersgruppen querschnittlich und longitudinal; Männer zeigten cross-sectional Varianzabnahme mit Alter, longitudinal aber Varianzanstieg. Kovariaten schwächten Trends ab, eliminierten sie aber nicht. Heterogenität des Alterns operiert bei Männern und Frauen unterschiedlich; longitudinale und querschnittliche Muster divergieren deutlich.</w:t>
      </w:r>
    </w:p>
    <w:p>
      <w:r>
        <w:rPr>
          <w:b/>
          <w:sz w:val="19"/>
        </w:rPr>
        <w:t xml:space="preserve">Übertragbarkeit: </w:t>
      </w:r>
      <w:r>
        <w:rPr>
          <w:sz w:val="19"/>
        </w:rPr>
        <w:t>UK Biobank, vergleichbares englisches System, hohe Übertragbarkeit auf deutsche Bevölkerung.</w:t>
      </w:r>
    </w:p>
    <w:p>
      <w:r>
        <w:rPr>
          <w:color w:val="5A7D3A"/>
          <w:sz w:val="18"/>
        </w:rPr>
        <w:t>https://pubmed.ncbi.nlm.nih.gov/42435411/</w:t>
      </w:r>
    </w:p>
    <w:p>
      <w:pPr>
        <w:pStyle w:val="Heading2"/>
      </w:pPr>
      <w:r>
        <w:t>Gezielte epigenetische Uhr (TaM-Uhr) zeigt Grenzen bei Frailty-Vorhersage</w:t>
      </w:r>
    </w:p>
    <w:p>
      <w:r>
        <w:rPr>
          <w:i/>
          <w:color w:val="666666"/>
          <w:sz w:val="18"/>
        </w:rPr>
        <w:t>Awuah J et al.  ·  Clin Epigenetics  ·  07.07.2026  ·  PMID 42415175</w:t>
      </w:r>
    </w:p>
    <w:p>
      <w:r>
        <w:t>Deutsche Studie (Ulm, Aachen) zur Validierung einer verkürzten epigenetischen Uhr basierend auf drei Sterblichkeits-assoziierten CpG-Stellen gegen Frailty und Mortalität in der ActiFE-Kohorte (n = 446 bzw. 20 Frail/non-Frail).</w:t>
      </w:r>
    </w:p>
    <w:p>
      <w:r>
        <w:rPr>
          <w:b/>
        </w:rPr>
        <w:t xml:space="preserve">Ergebnis: </w:t>
      </w:r>
      <w:r>
        <w:t>In der kleinen Subset (n = 40) war das Delta-Alter mit Frailty assoziiert, jedoch in der größeren Kohorte keine signifikanten Assoziationen mit Frailty oder Mortalität. Ein CpG-Locus (cg20595453) zeigte Assoziation mit beiden Endpunkten, doch insgesamt war die Vorhersagekraft begrenzt. Die Autoren konstatieren, dass epigenetische Uhren in relativ gesunden Populationen nicht sensitiv genug sind.</w:t>
      </w:r>
    </w:p>
    <w:p>
      <w:r>
        <w:rPr>
          <w:b/>
          <w:sz w:val="19"/>
        </w:rPr>
        <w:t xml:space="preserve">Übertragbarkeit: </w:t>
      </w:r>
      <w:r>
        <w:rPr>
          <w:sz w:val="19"/>
        </w:rPr>
        <w:t>Deutschland (Aachen, Ulm), deutsches Studiendesign, hohe Übertragbarkeit; zeigt jedoch auch Grenzen der Methode.</w:t>
      </w:r>
    </w:p>
    <w:p>
      <w:r>
        <w:rPr>
          <w:color w:val="5A7D3A"/>
          <w:sz w:val="18"/>
        </w:rPr>
        <w:t>https://pubmed.ncbi.nlm.nih.gov/42415175/</w:t>
      </w:r>
    </w:p>
    <w:p>
      <w:pPr>
        <w:pStyle w:val="Heading1"/>
      </w:pPr>
      <w:r>
        <w:t>Aufgenommen am 02.09.2026</w:t>
      </w:r>
    </w:p>
    <w:p>
      <w:pPr>
        <w:pStyle w:val="Heading2"/>
      </w:pPr>
      <w:r>
        <w:t>Psychische Gesundheit älteren Menschen: Evidenzbasierte Prävention mit moderater körperlicher Aktivität</w:t>
      </w:r>
    </w:p>
    <w:p>
      <w:r>
        <w:rPr>
          <w:i/>
          <w:color w:val="666666"/>
          <w:sz w:val="18"/>
        </w:rPr>
        <w:t>Acoulon G et al.  ·  Sante Publique  ·  2026  ·  PMID 42674988</w:t>
      </w:r>
    </w:p>
    <w:p>
      <w:r>
        <w:t>Systematische Übersicht von Primärprävention psychischer Erkrankungen bei selbstständig lebenden älteren Menschen ab 60 Jahren.</w:t>
      </w:r>
    </w:p>
    <w:p>
      <w:r>
        <w:rPr>
          <w:b/>
        </w:rPr>
        <w:t xml:space="preserve">Ergebnis: </w:t>
      </w:r>
      <w:r>
        <w:t>Sieben Interventionskategorien identifiziert; moderate körperliche Aktivität (2–3 Sitzungen/Woche, ≥12 Wochen) reduzierte depressive und Angstsymptome am stärksten. Multimodale und in Gemeinderessourcen verankerte Programme zeigten beste Effektivität. Hauptchallenge: Dissemination und Anpassung an vulnerable Bevölkerungsgruppen, nicht die Identifikation wirksamer Interventionen.</w:t>
      </w:r>
    </w:p>
    <w:p>
      <w:r>
        <w:rPr>
          <w:b/>
          <w:sz w:val="19"/>
        </w:rPr>
        <w:t xml:space="preserve">Übertragbarkeit: </w:t>
      </w:r>
      <w:r>
        <w:rPr>
          <w:sz w:val="19"/>
        </w:rPr>
        <w:t>Frankreich, vergleichbare Sozialversicherung; Empfehlungen auf deutsches System übertragbar</w:t>
      </w:r>
    </w:p>
    <w:p>
      <w:r>
        <w:rPr>
          <w:color w:val="5A7D3A"/>
          <w:sz w:val="18"/>
        </w:rPr>
        <w:t>https://pubmed.ncbi.nlm.nih.gov/42674988/</w:t>
      </w:r>
    </w:p>
    <w:p>
      <w:pPr>
        <w:pStyle w:val="Heading2"/>
      </w:pPr>
      <w:r>
        <w:t>Sozial assistive Roboter in der Altenpflege: Phasen-orientierte Implementierung statt Technologie-Fokus</w:t>
      </w:r>
    </w:p>
    <w:p>
      <w:r>
        <w:rPr>
          <w:i/>
          <w:color w:val="666666"/>
          <w:sz w:val="18"/>
        </w:rPr>
        <w:t>Bubeck M et al.  ·  Arch Gerontol Geriatr  ·  28.07.2026  ·  PMID 42603460</w:t>
      </w:r>
    </w:p>
    <w:p>
      <w:r>
        <w:t>Qualitative Studie mit 14 professionellen Pflegekräften in deutschen Einrichtungen zur Erfahrung mit Robotern am Krankenbett.</w:t>
      </w:r>
    </w:p>
    <w:p>
      <w:r>
        <w:rPr>
          <w:b/>
        </w:rPr>
        <w:t xml:space="preserve">Ergebnis: </w:t>
      </w:r>
      <w:r>
        <w:t>Vier analytische Phasen der Implementierung identifiziert: Orientierung, Einführung, Routinenutzung, Neubewertung. Praktische und moralische Anforderungen verschoben sich systematisch. Zentrale Erkenntnisse: Nachhaltige, ethisch verantwortungsvolle Nutzung erfordert Unterstützung des professionellen Urteils und kontextuelle Sensibilität – nicht technisches Rollout ohne Reflexion.</w:t>
      </w:r>
    </w:p>
    <w:p>
      <w:r>
        <w:rPr>
          <w:b/>
          <w:sz w:val="19"/>
        </w:rPr>
        <w:t xml:space="preserve">Übertragbarkeit: </w:t>
      </w:r>
      <w:r>
        <w:rPr>
          <w:sz w:val="19"/>
        </w:rPr>
        <w:t>Deutschland, direkt auf deutsches Versorgungssystem anwendbar</w:t>
      </w:r>
    </w:p>
    <w:p>
      <w:r>
        <w:rPr>
          <w:color w:val="5A7D3A"/>
          <w:sz w:val="18"/>
        </w:rPr>
        <w:t>https://pubmed.ncbi.nlm.nih.gov/42603460/</w:t>
      </w:r>
    </w:p>
    <w:p>
      <w:pPr>
        <w:pStyle w:val="Heading2"/>
      </w:pPr>
      <w:r>
        <w:t>Urinmetabolom als biologische Alter-Uhr: Längsschnitt-Heterogenität und Mortalitätsvorhersage</w:t>
      </w:r>
    </w:p>
    <w:p>
      <w:r>
        <w:rPr>
          <w:i/>
          <w:color w:val="666666"/>
          <w:sz w:val="18"/>
        </w:rPr>
        <w:t>Gauß KF et al.  ·  J Gerontol A Biol Sci Med Sci  ·  04.08.2026  ·  PMID 42440338</w:t>
      </w:r>
    </w:p>
    <w:p>
      <w:r>
        <w:t>Entwicklung und Validierung eines biologischen Alter-Scores aus hochauflösender ¹H-Kernresonanzspektroskopie von Urinmetaboliten in großer populationsbasierter Kohorte mit &gt;10-Jahr Nachverfolgung.</w:t>
      </w:r>
    </w:p>
    <w:p>
      <w:r>
        <w:rPr>
          <w:b/>
        </w:rPr>
        <w:t xml:space="preserve">Ergebnis: </w:t>
      </w:r>
      <w:r>
        <w:t>Metabolisches Altern variiert zwischen Individuen, unterstreicht inter-individuelle Heterogenität. Metabolisches Alter zeigte Assoziation mit altersrelevanten klinischen Phänotypen und war prädiktiv für multiple Erkrankungen und Gesamtmortalität unabhängig vom chronologischen Alter. Urinmetabolom als non-invasives Werkzeug zur Risikostratifizierung validiert.</w:t>
      </w:r>
    </w:p>
    <w:p>
      <w:r>
        <w:rPr>
          <w:b/>
          <w:sz w:val="19"/>
        </w:rPr>
        <w:t xml:space="preserve">Übertragbarkeit: </w:t>
      </w:r>
      <w:r>
        <w:rPr>
          <w:sz w:val="19"/>
        </w:rPr>
        <w:t>Deutschland, Greifswald; deutsche Klinikdaten, vergleichbare Dokumentationspflichten</w:t>
      </w:r>
    </w:p>
    <w:p>
      <w:r>
        <w:rPr>
          <w:color w:val="5A7D3A"/>
          <w:sz w:val="18"/>
        </w:rPr>
        <w:t>https://pubmed.ncbi.nlm.nih.gov/42440338/</w:t>
      </w:r>
    </w:p>
    <w:p>
      <w:pPr>
        <w:pStyle w:val="Heading2"/>
      </w:pPr>
      <w:r>
        <w:t>Frailty-Übergänge und Schlaganfall-Risiko: China und Großbritannien im Vergleich</w:t>
      </w:r>
    </w:p>
    <w:p>
      <w:r>
        <w:rPr>
          <w:i/>
          <w:color w:val="666666"/>
          <w:sz w:val="18"/>
        </w:rPr>
        <w:t>Zhong S et al.  ·  Arch Gerontol Geriatr  ·  04.07.2026  ·  PMID 42418874</w:t>
      </w:r>
    </w:p>
    <w:p>
      <w:r>
        <w:t>Längsschnittstudie (CHARLS/ELSA) mit 14.682 älteren Erwachsenen zu Frailty-Verlauf und Schlaganfall-Inzidenz über 2 Jahre.</w:t>
      </w:r>
    </w:p>
    <w:p>
      <w:r>
        <w:rPr>
          <w:b/>
        </w:rPr>
        <w:t xml:space="preserve">Ergebnis: </w:t>
      </w:r>
      <w:r>
        <w:t>Baseline-Frailty erhöhte Schlaganfall-Risiko in beiden Ländern. Progression von robust zu pre-frail/frail: signifikant erhöhtes Risiko; Verbesserung von frail zu robust/pre-frail: Risikoreduktion. Höherer kumulativer Frailty-Index zeigte Dosis-Wirkungs-Beziehung (alle p&lt;0,0001). Frailty-Monitoring als Prognose-Instrument für Hochrisiko-Patienten bestätigt.</w:t>
      </w:r>
    </w:p>
    <w:p>
      <w:r>
        <w:rPr>
          <w:b/>
          <w:sz w:val="19"/>
        </w:rPr>
        <w:t xml:space="preserve">Übertragbarkeit: </w:t>
      </w:r>
      <w:r>
        <w:rPr>
          <w:sz w:val="19"/>
        </w:rPr>
        <w:t>Großbritannien und China, vorsichtig auf Deutschland; Altersstruktur und Versorgung unterschiedlich, Frailty-Mechanismus universal</w:t>
      </w:r>
    </w:p>
    <w:p>
      <w:r>
        <w:rPr>
          <w:color w:val="5A7D3A"/>
          <w:sz w:val="18"/>
        </w:rPr>
        <w:t>https://pubmed.ncbi.nlm.nih.gov/42418874/</w:t>
      </w:r>
    </w:p>
    <w:p>
      <w:pPr>
        <w:pStyle w:val="Heading2"/>
      </w:pPr>
      <w:r>
        <w:t>Soziale, psychische und spirituelle Versorgung am Lebensende: Ungleichheiten durch fehlende Formaldienste</w:t>
      </w:r>
    </w:p>
    <w:p>
      <w:r>
        <w:rPr>
          <w:i/>
          <w:color w:val="666666"/>
          <w:sz w:val="18"/>
        </w:rPr>
        <w:t>Meier C et al.  ·  Age Ageing  ·  02.07.2026  ·  PMID 42407095</w:t>
      </w:r>
    </w:p>
    <w:p>
      <w:r>
        <w:t>Analyse von 507 Proxy-Interviews verstorbener Personen (≥55 Jahre) aus der ELSA zur Unterstützung non-medizinischer Bedarf in den letzten drei Lebensmonaten.</w:t>
      </w:r>
    </w:p>
    <w:p>
      <w:r>
        <w:rPr>
          <w:b/>
        </w:rPr>
        <w:t xml:space="preserve">Ergebnis: </w:t>
      </w:r>
      <w:r>
        <w:t>Soziale Bedürfnisse bei 81,8%, psychische bei 77,8%, spirituelle bei 74,4% erfüllt. Überwiegend Familie als Unterstützer, kaum formale Dienste. Alleinleben assoziiert mit niedrigerer Erfüllungswahrscheinlichkeit; Demenz korreliert mit schlechterer psychischer und sozialer Unterstützung. Mangel an integrierten Angeboten verstärkt soziale Ungleichheiten am Lebensende.</w:t>
      </w:r>
    </w:p>
    <w:p>
      <w:r>
        <w:rPr>
          <w:b/>
          <w:sz w:val="19"/>
        </w:rPr>
        <w:t xml:space="preserve">Übertragbarkeit: </w:t>
      </w:r>
      <w:r>
        <w:rPr>
          <w:sz w:val="19"/>
        </w:rPr>
        <w:t>Großbritannien, vergleichbar mit deutschem NHS; Befund zur Systemabhängigkeit nicht-medizinischer Versorgung bedeutsam</w:t>
      </w:r>
    </w:p>
    <w:p>
      <w:r>
        <w:rPr>
          <w:color w:val="5A7D3A"/>
          <w:sz w:val="18"/>
        </w:rPr>
        <w:t>https://pubmed.ncbi.nlm.nih.gov/42407095/</w:t>
      </w:r>
    </w:p>
    <w:p>
      <w:pPr>
        <w:pStyle w:val="Heading2"/>
      </w:pPr>
      <w:r>
        <w:t>Schlafstörungen und Muskelkraftverlust im Alter: Geschlechtsspezifische Unterschiede bei älteren Erwachsenen</w:t>
      </w:r>
    </w:p>
    <w:p>
      <w:r>
        <w:rPr>
          <w:i/>
          <w:color w:val="666666"/>
          <w:sz w:val="18"/>
        </w:rPr>
        <w:t>Silveira LC et al.  ·  Age Ageing  ·  02.07.2026  ·  PMID 42407094</w:t>
      </w:r>
    </w:p>
    <w:p>
      <w:r>
        <w:t>Längsschnittstudie (8 Jahre, n=6.429, ELSA) zu Einfluss von Insomnie und Schlafdauer auf Handgriff-Kraft-Abnahme.</w:t>
      </w:r>
    </w:p>
    <w:p>
      <w:r>
        <w:rPr>
          <w:b/>
        </w:rPr>
        <w:t xml:space="preserve">Ergebnis: </w:t>
      </w:r>
      <w:r>
        <w:t>Männer mit erhöhter Insomnie: schnellerer Kraftverlust (–0,02 kg/Jahr; 95%-KI –0,04 bis –0,01). Frauen mit Schlafdauer ≥9 Stunden: stärkerer Rückgang (–0,14 kg/Jahr; 95%-KI –0,26 bis –0,03). Schlafprobleme beeinflussen Muskelabbau geschlechtsspezifisch unterschiedlich – bei Männern Insomnie, bei Frauen lange Schlafdauer.</w:t>
      </w:r>
    </w:p>
    <w:p>
      <w:r>
        <w:rPr>
          <w:b/>
          <w:sz w:val="19"/>
        </w:rPr>
        <w:t xml:space="preserve">Übertragbarkeit: </w:t>
      </w:r>
      <w:r>
        <w:rPr>
          <w:sz w:val="19"/>
        </w:rPr>
        <w:t>Großbritannien, epidemiologisch auf Deutschland übertragbar; Geschlechtsdimension in Prävention relevant</w:t>
      </w:r>
    </w:p>
    <w:p>
      <w:r>
        <w:rPr>
          <w:color w:val="5A7D3A"/>
          <w:sz w:val="18"/>
        </w:rPr>
        <w:t>https://pubmed.ncbi.nlm.nih.gov/42407094/</w:t>
      </w:r>
    </w:p>
    <w:p>
      <w:pPr>
        <w:pStyle w:val="Heading1"/>
      </w:pPr>
      <w:r>
        <w:t>Aufgenommen am 01.09.2026</w:t>
      </w:r>
    </w:p>
    <w:p>
      <w:pPr>
        <w:pStyle w:val="Heading2"/>
      </w:pPr>
      <w:r>
        <w:t>Geriatrisches Assessment vor Gefäßinterventionen senkt perioperative Risiken bei älteren Patienten</w:t>
      </w:r>
    </w:p>
    <w:p>
      <w:r>
        <w:rPr>
          <w:i/>
          <w:color w:val="666666"/>
          <w:sz w:val="18"/>
        </w:rPr>
        <w:t>Kolb G et al.  ·  Vasa  ·  Sept. 2026  ·  PMID 42669422</w:t>
      </w:r>
    </w:p>
    <w:p>
      <w:r>
        <w:t>Positionspapier dreier Fachgesellschaften zur Notwendigkeit geriatrischer Assessments vor gefäßmedizinischen Eingriffen bei älteren Menschen, da Frailty die Outcomes nach Gefäßchirurgie und Interventionen bestimmt.</w:t>
      </w:r>
    </w:p>
    <w:p>
      <w:r>
        <w:rPr>
          <w:b/>
        </w:rPr>
        <w:t xml:space="preserve">Ergebnis: </w:t>
      </w:r>
      <w:r>
        <w:t>Frailty-Status bestimmt Komplikationen und Outcomes nach Gefäßinterventionen; geriatrisches Assessment wird zur Risikostratifizierung empfohlen, konkrete Zahlen zu Outcome-Verbesserungen durch das Positionspapier nicht genannt.</w:t>
      </w:r>
    </w:p>
    <w:p>
      <w:r>
        <w:rPr>
          <w:b/>
          <w:sz w:val="19"/>
        </w:rPr>
        <w:t xml:space="preserve">Übertragbarkeit: </w:t>
      </w:r>
      <w:r>
        <w:rPr>
          <w:sz w:val="19"/>
        </w:rPr>
        <w:t>Deutschland: Stellungnahmen deutscher Fachgesellschaften, direkt relevant für Versorgungspraxis.</w:t>
      </w:r>
    </w:p>
    <w:p>
      <w:r>
        <w:rPr>
          <w:color w:val="5A7D3A"/>
          <w:sz w:val="18"/>
        </w:rPr>
        <w:t>https://pubmed.ncbi.nlm.nih.gov/42669422/</w:t>
      </w:r>
    </w:p>
    <w:p>
      <w:pPr>
        <w:pStyle w:val="Heading2"/>
      </w:pPr>
      <w:r>
        <w:t>Gesunde Ernährung verlangsamt epigenetisches Altern unabhängig von Ernährungsstil</w:t>
      </w:r>
    </w:p>
    <w:p>
      <w:r>
        <w:rPr>
          <w:i/>
          <w:color w:val="666666"/>
          <w:sz w:val="18"/>
        </w:rPr>
        <w:t>Tavares JF et al.  ·  Nat Commun  ·  29.08.2026  ·  PMID 42668319</w:t>
      </w:r>
    </w:p>
    <w:p>
      <w:r>
        <w:t>Zwei bevölkerungsbasierte Kohorten zeigten, dass Adhärenz zu gesunden Ernährungsmustern mit verlangsamtem epigenetischem Altern assoziiert ist, obwohl verschiedene Ernährungsstile unterschiedliche epigenetische Profile aufweisen.</w:t>
      </w:r>
    </w:p>
    <w:p>
      <w:r>
        <w:rPr>
          <w:b/>
        </w:rPr>
        <w:t xml:space="preserve">Ergebnis: </w:t>
      </w:r>
      <w:r>
        <w:t>Zehn verschiedene Ernährungsbewertungsindizes: minimale Überschneidung in der höchsten Adhärenz-Quartile, aber alle mit reduziertem epigenetischen Altern assoziiert; verschiedene Ernährungsstile konvergierten auf gleiche biologische Signalwege.</w:t>
      </w:r>
    </w:p>
    <w:p>
      <w:r>
        <w:rPr>
          <w:b/>
          <w:sz w:val="19"/>
        </w:rPr>
        <w:t xml:space="preserve">Übertragbarkeit: </w:t>
      </w:r>
      <w:r>
        <w:rPr>
          <w:sz w:val="19"/>
        </w:rPr>
        <w:t>Deutschland und deutschsprachiger Raum: Rhineland-Studie, vergleichbare Populationsstruktur, externe Validierung mit EPIC-Potsdam.</w:t>
      </w:r>
    </w:p>
    <w:p>
      <w:r>
        <w:rPr>
          <w:color w:val="5A7D3A"/>
          <w:sz w:val="18"/>
        </w:rPr>
        <w:t>https://pubmed.ncbi.nlm.nih.gov/42668319/</w:t>
      </w:r>
    </w:p>
    <w:p>
      <w:pPr>
        <w:pStyle w:val="Heading2"/>
      </w:pPr>
      <w:r>
        <w:t>Arbeitsplatzgewalt verkürzt die Erwerbstätigkeit älterer Arbeitnehmer um bis zu sieben Monate</w:t>
      </w:r>
    </w:p>
    <w:p>
      <w:r>
        <w:rPr>
          <w:i/>
          <w:color w:val="666666"/>
          <w:sz w:val="18"/>
        </w:rPr>
        <w:t>Holmgren R et al.  ·  Scand J Work Environ Health  ·  01.09.2026  ·  PMID 42563557</w:t>
      </w:r>
    </w:p>
    <w:p>
      <w:r>
        <w:t>Prospektive schwedische Kohortenstudie mit multistate Markov-Modellen zur Assoziation von Mobbing und Gewalt am Arbeitsplatz mit der verbleibenden Erwerbstätigkeit von über 50-Jährigen.</w:t>
      </w:r>
    </w:p>
    <w:p>
      <w:r>
        <w:rPr>
          <w:b/>
        </w:rPr>
        <w:t xml:space="preserve">Ergebnis: </w:t>
      </w:r>
      <w:r>
        <w:t>Exposition gegenüber Arbeitsplatzgewalt/Drohungen verkürzte die Erwerbstätigkeit ab 50 Jahren um 0,56 Jahre (95%-KI: −1,02–−0,10); Mobbing zeigte ähnliche Effektgröße (−0,63 Jahre, 95%-KI: −1,39–0,14), war aber nicht statistisch signifikant.</w:t>
      </w:r>
    </w:p>
    <w:p>
      <w:r>
        <w:rPr>
          <w:b/>
          <w:sz w:val="19"/>
        </w:rPr>
        <w:t xml:space="preserve">Übertragbarkeit: </w:t>
      </w:r>
      <w:r>
        <w:rPr>
          <w:sz w:val="19"/>
        </w:rPr>
        <w:t>Schweden, vergleichbares Sozialversicherungssystem, Längsschnitt-Follow-up 2008–2020.</w:t>
      </w:r>
    </w:p>
    <w:p>
      <w:r>
        <w:rPr>
          <w:color w:val="5A7D3A"/>
          <w:sz w:val="18"/>
        </w:rPr>
        <w:t>https://pubmed.ncbi.nlm.nih.gov/42563557/</w:t>
      </w:r>
    </w:p>
    <w:p>
      <w:pPr>
        <w:pStyle w:val="Heading2"/>
      </w:pPr>
      <w:r>
        <w:t>Frailty-Messung mit elektronischen Daten ist kontextabhängig und zeigt begrenzte Übertragbarkeit</w:t>
      </w:r>
    </w:p>
    <w:p>
      <w:r>
        <w:rPr>
          <w:i/>
          <w:color w:val="666666"/>
          <w:sz w:val="18"/>
        </w:rPr>
        <w:t>Cavanaugh R et al.  ·  J Gerontol A Biol Sci Med Sci  ·  04.08.2026  ·  PMID 42550179</w:t>
      </w:r>
    </w:p>
    <w:p>
      <w:r>
        <w:t>Internationale Vergleichsstudie zweier elektronischer Frailty-Indizes (VAFI, eFI) über fünf Datenbanken zeigte inkonsistente Frailty-Prävalenzen je nach Land und lokalen Kodierungsverhalten.</w:t>
      </w:r>
    </w:p>
    <w:p>
      <w:r>
        <w:rPr>
          <w:b/>
        </w:rPr>
        <w:t xml:space="preserve">Ergebnis: </w:t>
      </w:r>
      <w:r>
        <w:t>USA-Datenbanken: VAFI identifizierte höhere Frailty-Raten (All of Us: 10,3% vs. 2,5% eFI; Pharmetrics: 9,6% vs. 2%); UK-Datenbanken zeigten umgekehrtes Muster (eFI höher); FI-Messungen stark abhängig vom Entwicklungskontext und lokalen Kodierungsinzentiven.</w:t>
      </w:r>
    </w:p>
    <w:p>
      <w:r>
        <w:rPr>
          <w:b/>
          <w:sz w:val="19"/>
        </w:rPr>
        <w:t xml:space="preserve">Übertragbarkeit: </w:t>
      </w:r>
      <w:r>
        <w:rPr>
          <w:sz w:val="19"/>
        </w:rPr>
        <w:t>USA und UK: Warnung vor direkter Anwendung außerhalb des Entwicklungskontextes; deutsche Systeme benötigen eigene Validierung.</w:t>
      </w:r>
    </w:p>
    <w:p>
      <w:r>
        <w:rPr>
          <w:color w:val="5A7D3A"/>
          <w:sz w:val="18"/>
        </w:rPr>
        <w:t>https://pubmed.ncbi.nlm.nih.gov/42550179/</w:t>
      </w:r>
    </w:p>
    <w:p>
      <w:pPr>
        <w:pStyle w:val="Heading2"/>
      </w:pPr>
      <w:r>
        <w:t>Datenaustausch für Hirnalterungsforschung: Barrieren und Strategien in der Open Science</w:t>
      </w:r>
    </w:p>
    <w:p>
      <w:r>
        <w:rPr>
          <w:i/>
          <w:color w:val="666666"/>
          <w:sz w:val="18"/>
        </w:rPr>
        <w:t>Giehl K et al.  ·  Eur J Neurol  ·  Juli 2026  ·  PMID 42496021</w:t>
      </w:r>
    </w:p>
    <w:p>
      <w:r>
        <w:t>Übersichtsarbeit zu Hindernissen bei der Freigabe von Neuroimaging-Daten in der Alternsforschung und Vorschläge für vereinheitlichte rechtliche Rahmen, Standardisierung und akademische Anreize.</w:t>
      </w:r>
    </w:p>
    <w:p>
      <w:r>
        <w:rPr>
          <w:b/>
        </w:rPr>
        <w:t xml:space="preserve">Ergebnis: </w:t>
      </w:r>
      <w:r>
        <w:t>Die Hürden reichen von technischen und infrastrukturellen Grenzen bis zu rechtlichen Fragen. Die Arbeit plädiert für einen einheitlichen, DSGVO-konformen Rahmen, für die akademische Anerkennung von Data Stewardship und für ein abgestimmtes Vorgehen der Fachgemeinschaft hin zu Open Science in der Erforschung neurodegenerativer Erkrankungen.</w:t>
      </w:r>
    </w:p>
    <w:p>
      <w:r>
        <w:rPr>
          <w:b/>
          <w:sz w:val="19"/>
        </w:rPr>
        <w:t xml:space="preserve">Übertragbarkeit: </w:t>
      </w:r>
      <w:r>
        <w:rPr>
          <w:sz w:val="19"/>
        </w:rPr>
        <w:t>Europa: GDPR-Konformität, direkt auf EU-Systeme anwendbar, insbesondere Deutschland.</w:t>
      </w:r>
    </w:p>
    <w:p>
      <w:r>
        <w:rPr>
          <w:color w:val="5A7D3A"/>
          <w:sz w:val="18"/>
        </w:rPr>
        <w:t>https://pubmed.ncbi.nlm.nih.gov/42496021/</w:t>
      </w:r>
    </w:p>
    <w:p>
      <w:pPr>
        <w:pStyle w:val="Heading2"/>
      </w:pPr>
      <w:r>
        <w:t>Direkt wirkende Antivirale bei Hepatitis C verlängern Lebenserwartung um bis zu neun Jahre</w:t>
      </w:r>
    </w:p>
    <w:p>
      <w:r>
        <w:rPr>
          <w:i/>
          <w:color w:val="666666"/>
          <w:sz w:val="18"/>
        </w:rPr>
        <w:t>Etoori D et al.  ·  J Viral Hepat  ·  Aug. 2026  ·  PMID 42438144</w:t>
      </w:r>
    </w:p>
    <w:p>
      <w:r>
        <w:t>Englische Überwachungs- und Mortalitätsdaten zeigten, dass behandelte Hepatitis-C-Patienten eine um 8,5 bis 8,9 Jahre längere Lebenserwartung hatten, wobei dieser Vorsprung zwischen 2015–2018 und 2019–2022 abnahm.</w:t>
      </w:r>
    </w:p>
    <w:p>
      <w:r>
        <w:rPr>
          <w:b/>
        </w:rPr>
        <w:t xml:space="preserve">Ergebnis: </w:t>
      </w:r>
      <w:r>
        <w:t>Periode 2015–2018: behandelte Frauen +8,5 Jahre LE (95%-KI: 5,4–11,5), Männer +8,9 Jahre (95%-KI: 5,6–12,2); Periode 2019–2022: Frauen +6,7 Jahre (95%-KI: 3,3–10,2), Männer +5,3 Jahre (95%-KI: 3,0–7,6); Rückgang durch höhere Suizid-, Alkohol- und Drogentodesfälle in behandelter Population.</w:t>
      </w:r>
    </w:p>
    <w:p>
      <w:r>
        <w:rPr>
          <w:b/>
          <w:sz w:val="19"/>
        </w:rPr>
        <w:t xml:space="preserve">Übertragbarkeit: </w:t>
      </w:r>
      <w:r>
        <w:rPr>
          <w:sz w:val="19"/>
        </w:rPr>
        <w:t>Vereinigtes Königreich, vergleichbare westliche Versorgungsstrukturen, nationale Überwachungsdaten mit Mortalitätslinkage verfügbar.</w:t>
      </w:r>
    </w:p>
    <w:p>
      <w:r>
        <w:rPr>
          <w:color w:val="5A7D3A"/>
          <w:sz w:val="18"/>
        </w:rPr>
        <w:t>https://pubmed.ncbi.nlm.nih.gov/42438144/</w:t>
      </w:r>
    </w:p>
    <w:p>
      <w:pPr>
        <w:pStyle w:val="Heading2"/>
      </w:pPr>
      <w:r>
        <w:t>Französische Geriater fordern Fortbildung in Nephrologie: 75% Bedarf bei chronischen Nierenerkrankungen im Alter</w:t>
      </w:r>
    </w:p>
    <w:p>
      <w:r>
        <w:rPr>
          <w:i/>
          <w:color w:val="666666"/>
          <w:sz w:val="18"/>
        </w:rPr>
        <w:t>Mésinèle L et al.  ·  Geriatr Psychol Neuropsychiatr Vieil  ·  01.06.2026  ·  PMID 42412499</w:t>
      </w:r>
    </w:p>
    <w:p>
      <w:r>
        <w:t>Online-Befragung von 252 französischen Geriatrien zur Zusammenarbeit mit Nephrologie und Fortbildungsbedarf; 89% haben Zugang zu Nephrologen, aber nur 37% nennen einen Ansprechpartner für nephrogeriatrische Fragen.</w:t>
      </w:r>
    </w:p>
    <w:p>
      <w:r>
        <w:rPr>
          <w:b/>
        </w:rPr>
        <w:t xml:space="preserve">Ergebnis: </w:t>
      </w:r>
      <w:r>
        <w:t>89% haben Zugang zu Nephrologen, 37% identifizieren einen Ansprechpartner; häufigster Fortbildungswunsch: metabolische und kardiovaskuläre Komplikationen der CKD (60%), CKD-Stadien 1–4 (46%), Arzneimitteltherapie bei Niereninsuffizienz (38%); Geriater mit Nephro-Fortbildung häufiger in Shared Decision-Making zu Dialyse involviert.</w:t>
      </w:r>
    </w:p>
    <w:p>
      <w:r>
        <w:rPr>
          <w:b/>
          <w:sz w:val="19"/>
        </w:rPr>
        <w:t xml:space="preserve">Übertragbarkeit: </w:t>
      </w:r>
      <w:r>
        <w:rPr>
          <w:sz w:val="19"/>
        </w:rPr>
        <w:t>Frankreich, vergleichbares westeuropäisches Gesundheitssystem und Aus­bildungsanforderungen, Befragungsdaten direkt zur Versorgungsorganisation.</w:t>
      </w:r>
    </w:p>
    <w:p>
      <w:r>
        <w:rPr>
          <w:color w:val="5A7D3A"/>
          <w:sz w:val="18"/>
        </w:rPr>
        <w:t>https://pubmed.ncbi.nlm.nih.gov/42412499/</w:t>
      </w:r>
    </w:p>
    <w:p>
      <w:pPr>
        <w:pStyle w:val="Heading1"/>
      </w:pPr>
      <w:r>
        <w:t>Aufgenommen am 31.08.2026</w:t>
      </w:r>
    </w:p>
    <w:p>
      <w:pPr>
        <w:pStyle w:val="Heading2"/>
      </w:pPr>
      <w:r>
        <w:t>Gezieltes Geriatrie-Training in Intensivstationen verbessert Fachkompetenz des Personals</w:t>
      </w:r>
    </w:p>
    <w:p>
      <w:r>
        <w:rPr>
          <w:i/>
          <w:color w:val="666666"/>
          <w:sz w:val="18"/>
        </w:rPr>
        <w:t>Beernaert L et al.  ·  Soins Gerontol  ·  20.07.2026  ·  PMID 42542357</w:t>
      </w:r>
    </w:p>
    <w:p>
      <w:r>
        <w:t>Pilottudie zur Wirksamkeit gezielter Schulung von Pflegekräften und Paramedizinern in Geriatrie-Kompetenzen auf Intensivstationen.</w:t>
      </w:r>
    </w:p>
    <w:p>
      <w:r>
        <w:rPr>
          <w:b/>
        </w:rPr>
        <w:t xml:space="preserve">Ergebnis: </w:t>
      </w:r>
      <w:r>
        <w:t>Gezielte Schulungen führten zu signifikanten Verbesserungen der Geriatrie-Kenntnisse des Personals. Die Studie unterstützt den Wert kontinuierlicher Fortbildung, sollte aber durch multizentrische Studien bestätigt werden.</w:t>
      </w:r>
    </w:p>
    <w:p>
      <w:r>
        <w:rPr>
          <w:b/>
          <w:sz w:val="19"/>
        </w:rPr>
        <w:t xml:space="preserve">Übertragbarkeit: </w:t>
      </w:r>
      <w:r>
        <w:rPr>
          <w:sz w:val="19"/>
        </w:rPr>
        <w:t>Belgisches Universitätsspital, konzeptuell auf deutschsprachige Kliniken übertragbar.</w:t>
      </w:r>
    </w:p>
    <w:p>
      <w:r>
        <w:rPr>
          <w:color w:val="5A7D3A"/>
          <w:sz w:val="18"/>
        </w:rPr>
        <w:t>https://pubmed.ncbi.nlm.nih.gov/42542357/</w:t>
      </w:r>
    </w:p>
    <w:p>
      <w:pPr>
        <w:pStyle w:val="Heading2"/>
      </w:pPr>
      <w:r>
        <w:t>Triglyceride-Cholesterin-Körpergewicht-Index vorhersagt Hypertonie-Risiko bei älteren Menschen</w:t>
      </w:r>
    </w:p>
    <w:p>
      <w:r>
        <w:rPr>
          <w:i/>
          <w:color w:val="666666"/>
          <w:sz w:val="18"/>
        </w:rPr>
        <w:t>Luo F et al.  ·  J Int Med Res  ·  30.07.2026  ·  PMID 42530895</w:t>
      </w:r>
    </w:p>
    <w:p>
      <w:r>
        <w:t>Longitudinalanalyse der English Longitudinal Study of Ageing mit 5.731 älteren Erwachsenen über 12 Jahre zur Assoziation eines Stoffwechsel-Indexes mit Hypertonie-Inzidenz.</w:t>
      </w:r>
    </w:p>
    <w:p>
      <w:r>
        <w:rPr>
          <w:b/>
        </w:rPr>
        <w:t xml:space="preserve">Ergebnis: </w:t>
      </w:r>
      <w:r>
        <w:t>Jede Einheit Anstieg des log-transformierten Index war mit 43% höherer Hypertonie-Odds assoziiert (OR=1,43; 95% KI: 1,31–1,55). Prospektiv: adjustierte HR=1,16 (1,05–1,28). Trajektorien zeigten dosisabhängige Risikoerhöhung (hohe vs. niedrige Gruppe: OR=1,69, p&lt;0,001).</w:t>
      </w:r>
    </w:p>
    <w:p>
      <w:r>
        <w:rPr>
          <w:b/>
          <w:sz w:val="19"/>
        </w:rPr>
        <w:t xml:space="preserve">Übertragbarkeit: </w:t>
      </w:r>
      <w:r>
        <w:rPr>
          <w:sz w:val="19"/>
        </w:rPr>
        <w:t>England, demografische und epidemiologische Parallelität mit Deutschland gegeben.</w:t>
      </w:r>
    </w:p>
    <w:p>
      <w:r>
        <w:rPr>
          <w:color w:val="5A7D3A"/>
          <w:sz w:val="18"/>
        </w:rPr>
        <w:t>https://pubmed.ncbi.nlm.nih.gov/42530895/</w:t>
      </w:r>
    </w:p>
    <w:p>
      <w:pPr>
        <w:pStyle w:val="Heading2"/>
      </w:pPr>
      <w:r>
        <w:t>Gesundheitliche Behandlungspräferenzen Älterer: Alters- und Geschlechtsunterschiede in England</w:t>
      </w:r>
    </w:p>
    <w:p>
      <w:r>
        <w:rPr>
          <w:i/>
          <w:color w:val="666666"/>
          <w:sz w:val="18"/>
        </w:rPr>
        <w:t>Steel N et al.  ·  PLoS One  ·  29.07.2026  ·  PMID 42525585</w:t>
      </w:r>
    </w:p>
    <w:p>
      <w:r>
        <w:t>Querschnittsanalyse der English Longitudinal Study of Ageing (Wave 8, 2016/17) zu Präferenzen von über 50-Jährigen bei sechs Gesundheitsfragen (Risikobereitschaft, Zeitorientierung, Qualität vs. Länge des Lebens).</w:t>
      </w:r>
    </w:p>
    <w:p>
      <w:r>
        <w:rPr>
          <w:b/>
        </w:rPr>
        <w:t xml:space="preserve">Ergebnis: </w:t>
      </w:r>
      <w:r>
        <w:t>Frauen delegierten Entscheidungen weniger häufig an Ärzte und priorisierten Lebensqualität über Lebensdauer. Personen über 75 Jahre bevorzugten mehr Risikominderung und Delegierung. Substanzielle Variabilität zwischen Personen, systematische Unterschiede nach Alter und Geschlecht unterstützen strukturiertes Elicitierungsgesprächs-Protokoll.</w:t>
      </w:r>
    </w:p>
    <w:p>
      <w:r>
        <w:rPr>
          <w:b/>
          <w:sz w:val="19"/>
        </w:rPr>
        <w:t xml:space="preserve">Übertragbarkeit: </w:t>
      </w:r>
      <w:r>
        <w:rPr>
          <w:sz w:val="19"/>
        </w:rPr>
        <w:t>Großbritannien; übertragbar auf deutsches Versorgungssystem mit ähnlichen Partizipationsnormen.</w:t>
      </w:r>
    </w:p>
    <w:p>
      <w:r>
        <w:rPr>
          <w:color w:val="5A7D3A"/>
          <w:sz w:val="18"/>
        </w:rPr>
        <w:t>https://pubmed.ncbi.nlm.nih.gov/42525585/</w:t>
      </w:r>
    </w:p>
    <w:p>
      <w:pPr>
        <w:pStyle w:val="Heading2"/>
      </w:pPr>
      <w:r>
        <w:t>Depressive Symptome von Ehepartnern zeigen stabiles Muster, aber schwache prospektive Kopplung im Alter</w:t>
      </w:r>
    </w:p>
    <w:p>
      <w:r>
        <w:rPr>
          <w:i/>
          <w:color w:val="666666"/>
          <w:sz w:val="18"/>
        </w:rPr>
        <w:t>Miao J et al.  ·  Psychol Med  ·  29.07.2026  ·  PMID 42522229</w:t>
      </w:r>
    </w:p>
    <w:p>
      <w:r>
        <w:t>Harmonisierte Längsschnittanalyse aus CHARLS (China), HRS (USA) und ELSA (England) mit insgesamt 7.759 Paaren über 5–9 Wellen zu Depressionen, Aktivitätseinschränkungen und Partnereffekte.</w:t>
      </w:r>
    </w:p>
    <w:p>
      <w:r>
        <w:rPr>
          <w:b/>
        </w:rPr>
        <w:t xml:space="preserve">Ergebnis: </w:t>
      </w:r>
      <w:r>
        <w:t>Hohe Konkordanz depressiver Symptome zwischen Partnern (r=0,14–0,43) über alle Kohorten. Prospektive Cross-Spouse-Assoziationen waren nach Kontrolle stabiler Ähnlichkeiten schwach und nur in ELSA und multipel-imputierter HRS signifikant. Bidirektionale Depression-Funktionsstörung-Kopplung in westlichen Kohorten stärker, unterstützt kombinierte Behandlung und Rehabilitation.</w:t>
      </w:r>
    </w:p>
    <w:p>
      <w:r>
        <w:rPr>
          <w:b/>
          <w:sz w:val="19"/>
        </w:rPr>
        <w:t xml:space="preserve">Übertragbarkeit: </w:t>
      </w:r>
      <w:r>
        <w:rPr>
          <w:sz w:val="19"/>
        </w:rPr>
        <w:t>ELSA ist englische Bevölkerungsstichprobe; Ergebnisse auf deutsches Versorgungssystem moderat übertragbar.</w:t>
      </w:r>
    </w:p>
    <w:p>
      <w:r>
        <w:rPr>
          <w:color w:val="5A7D3A"/>
          <w:sz w:val="18"/>
        </w:rPr>
        <w:t>https://pubmed.ncbi.nlm.nih.gov/42522229/</w:t>
      </w:r>
    </w:p>
    <w:p>
      <w:pPr>
        <w:pStyle w:val="Heading2"/>
      </w:pPr>
      <w:r>
        <w:t>Frailty und psychische Gesundheit bei älteren Menschen: Längsschnittstudie aus Slowenien</w:t>
      </w:r>
    </w:p>
    <w:p>
      <w:r>
        <w:rPr>
          <w:i/>
          <w:color w:val="666666"/>
          <w:sz w:val="18"/>
        </w:rPr>
        <w:t>Mikolič Brence P et al.  ·  Front Public Health  ·  06.07.2026  ·  PMID 42518591</w:t>
      </w:r>
    </w:p>
    <w:p>
      <w:r>
        <w:t>Studienprotokoll einer prospektiven Kohortenstudie mit Erwachsenen ≥50 Jahren (geplant n=5.000, 2026–2028) zu Assoziationen zwischen Frailty und mentalen Gesundheitsfaktoren (Wohlbefinden, Resilienz, soziale Kohäsion).</w:t>
      </w:r>
    </w:p>
    <w:p>
      <w:r>
        <w:rPr>
          <w:b/>
        </w:rPr>
        <w:t xml:space="preserve">Ergebnis: </w:t>
      </w:r>
      <w:r>
        <w:t>Studie noch nicht abgeschlossen; das Protokoll wird zur Seite gelegt, da keine Ergebnisse vorliegen.</w:t>
      </w:r>
    </w:p>
    <w:p>
      <w:r>
        <w:rPr>
          <w:b/>
          <w:sz w:val="19"/>
        </w:rPr>
        <w:t xml:space="preserve">Übertragbarkeit: </w:t>
      </w:r>
      <w:r>
        <w:rPr>
          <w:sz w:val="19"/>
        </w:rPr>
        <w:t>Nicht anwendbar – Protokoll ohne Befunde.</w:t>
      </w:r>
    </w:p>
    <w:p>
      <w:r>
        <w:rPr>
          <w:color w:val="5A7D3A"/>
          <w:sz w:val="18"/>
        </w:rPr>
        <w:t>https://pubmed.ncbi.nlm.nih.gov/42518591/</w:t>
      </w:r>
    </w:p>
    <w:p>
      <w:pPr>
        <w:pStyle w:val="Heading2"/>
      </w:pPr>
      <w:r>
        <w:t>Lockdown-bedingte Immobilität beschleunigt Frailty: Sechs-Monats-Progression bei älteren Erwachsenen</w:t>
      </w:r>
    </w:p>
    <w:p>
      <w:r>
        <w:rPr>
          <w:i/>
          <w:color w:val="666666"/>
          <w:sz w:val="18"/>
        </w:rPr>
        <w:t>Rukavishnikov AS et al.  ·  Adv Gerontol  ·  2026  ·  PMID 42502942</w:t>
      </w:r>
    </w:p>
    <w:p>
      <w:r>
        <w:t>Quasiexperimentelle Studie mit 525 älteren Patienten (65–74 Jahre) in Pflege-Wohneinrichtungen während COVID-19-Lockdown; Geriatrisches Assessment mit Handgriffkraft und Sechs-Minuten-Gehtest zu Baseline, 1 und 6 Monaten.</w:t>
      </w:r>
    </w:p>
    <w:p>
      <w:r>
        <w:rPr>
          <w:b/>
        </w:rPr>
        <w:t xml:space="preserve">Ergebnis: </w:t>
      </w:r>
      <w:r>
        <w:t>Prävalenz der Präfrailty sank von 35,8% auf 14,1%, Frailty nahm von 49,5% auf 72% zu. Milde, moderate und schwere Frailty-Formen nahmen jeweils um 11,6%, 6,1% und 4,4% zu. Verlängerte Immobilität und soziale Isolation waren signifikante Beschleuniger der Frailty-Progression und Funktionsverschlechterung.</w:t>
      </w:r>
    </w:p>
    <w:p>
      <w:r>
        <w:rPr>
          <w:b/>
          <w:sz w:val="19"/>
        </w:rPr>
        <w:t xml:space="preserve">Übertragbarkeit: </w:t>
      </w:r>
      <w:r>
        <w:rPr>
          <w:sz w:val="19"/>
        </w:rPr>
        <w:t>Russland (Sankt-Petersburg); Befunde zur Dekonditionierung durch Immobilität universal, aber Pflegeheim-Setting unterscheidet sich von deutschem Versorgungskontext.</w:t>
      </w:r>
    </w:p>
    <w:p>
      <w:r>
        <w:rPr>
          <w:color w:val="5A7D3A"/>
          <w:sz w:val="18"/>
        </w:rPr>
        <w:t>https://pubmed.ncbi.nlm.nih.gov/42502942/</w:t>
      </w:r>
    </w:p>
    <w:p>
      <w:pPr>
        <w:pStyle w:val="Heading1"/>
      </w:pPr>
      <w:r>
        <w:t>Aufgenommen am 30.08.2026</w:t>
      </w:r>
    </w:p>
    <w:p>
      <w:pPr>
        <w:pStyle w:val="Heading2"/>
      </w:pPr>
      <w:r>
        <w:t>Frailty und Ernährung bei Herzinsuffizienz im Alter: prognostische Faktoren</w:t>
      </w:r>
    </w:p>
    <w:p>
      <w:r>
        <w:rPr>
          <w:i/>
          <w:color w:val="666666"/>
          <w:sz w:val="18"/>
        </w:rPr>
        <w:t>Li J et al.  ·  Front Public Health  ·  14.08.2026  ·  PMID 42666459</w:t>
      </w:r>
    </w:p>
    <w:p>
      <w:r>
        <w:t>Retrospektive Studie an 200 älteren Patienten mit Herzinsuffizienz untersuchte Frailty und Ernährungsstatus als Prognosefaktoren für 6-Monats-Ergebnisse.</w:t>
      </w:r>
    </w:p>
    <w:p>
      <w:r>
        <w:rPr>
          <w:b/>
        </w:rPr>
        <w:t xml:space="preserve">Ergebnis: </w:t>
      </w:r>
      <w:r>
        <w:t>Bei gebrechlichen Patienten (n=92) waren Mortalität (4,35 % vs. 0,93 %) und Rehospitalisierungsrate (14,13 % vs. 1,85 %) höher als bei nicht gebrechlichen (n=108). Unter gebrechlichen Patienten stieg die Ereignisrate mit Mangelernährung: moderat-schwer 26,19 %, mild 16,13 %, normal 5,26 %. GNRI und HDL waren unabhängig mit ungünstiger Prognose assoziiert.</w:t>
      </w:r>
    </w:p>
    <w:p>
      <w:r>
        <w:rPr>
          <w:b/>
          <w:sz w:val="19"/>
        </w:rPr>
        <w:t xml:space="preserve">Übertragbarkeit: </w:t>
      </w:r>
      <w:r>
        <w:rPr>
          <w:sz w:val="19"/>
        </w:rPr>
        <w:t>China, internationales Instrument (Fried-Kriterien), begrenzte Direktübertragung auf Deutschland</w:t>
      </w:r>
    </w:p>
    <w:p>
      <w:r>
        <w:rPr>
          <w:color w:val="5A7D3A"/>
          <w:sz w:val="18"/>
        </w:rPr>
        <w:t>https://pubmed.ncbi.nlm.nih.gov/42666459/</w:t>
      </w:r>
    </w:p>
    <w:p>
      <w:pPr>
        <w:pStyle w:val="Heading2"/>
      </w:pPr>
      <w:r>
        <w:t>Gastrointestinale Erkrankungen und funktioneller Verfall im Alter: CHARLS und ELSA</w:t>
      </w:r>
    </w:p>
    <w:p>
      <w:r>
        <w:rPr>
          <w:i/>
          <w:color w:val="666666"/>
          <w:sz w:val="18"/>
        </w:rPr>
        <w:t>Peng D et al.  ·  Geriatr Gerontol Int  ·  Sept. 2026  ·  PMID 42665870</w:t>
      </w:r>
    </w:p>
    <w:p>
      <w:r>
        <w:t>Longitudinale Analyse in zwei Kohorten (CHARLS China; ELSA England) untersuchte, ob wiederholte Meldungen gastrointestinaler Erkrankungen mit kognitiven, ADL- oder depressiven Verschlechterungen assoziiert sind.</w:t>
      </w:r>
    </w:p>
    <w:p>
      <w:r>
        <w:rPr>
          <w:b/>
        </w:rPr>
        <w:t xml:space="preserve">Ergebnis: </w:t>
      </w:r>
      <w:r>
        <w:t>CHARLS (n=9.555): wiederholte Meldung war mit 6–10 % erhöhtem Relativrisiko für Multidomain-Verschlechterung assoziiert (aRR 1,06–1,10). ELSA-Schätzungen waren richtungsgleich aber weniger präzise (aOR 1,21; 95%-KI 0,90–1,63). Gastrointestinale Exposition bot geringe diskriminative Aussagekraft.</w:t>
      </w:r>
    </w:p>
    <w:p>
      <w:r>
        <w:rPr>
          <w:b/>
          <w:sz w:val="19"/>
        </w:rPr>
        <w:t xml:space="preserve">Übertragbarkeit: </w:t>
      </w:r>
      <w:r>
        <w:rPr>
          <w:sz w:val="19"/>
        </w:rPr>
        <w:t>China und Großbritannien; Ergebnisse konsistent aber schwach, begrenzte Übertragbarkeit</w:t>
      </w:r>
    </w:p>
    <w:p>
      <w:r>
        <w:rPr>
          <w:color w:val="5A7D3A"/>
          <w:sz w:val="18"/>
        </w:rPr>
        <w:t>https://pubmed.ncbi.nlm.nih.gov/42665870/</w:t>
      </w:r>
    </w:p>
    <w:p>
      <w:pPr>
        <w:pStyle w:val="Heading2"/>
      </w:pPr>
      <w:r>
        <w:t>Schlafqualität und Sturzrisiko im Alter: prospektive Kohortenstudie</w:t>
      </w:r>
    </w:p>
    <w:p>
      <w:r>
        <w:rPr>
          <w:i/>
          <w:color w:val="666666"/>
          <w:sz w:val="18"/>
        </w:rPr>
        <w:t>Li Y et al.  ·  Brain Behav  ·  Aug. 2026  ·  PMID 42644837</w:t>
      </w:r>
    </w:p>
    <w:p>
      <w:r>
        <w:t>Prospektive Kohorte mit 3.224 Personen (≥50 Jahre) aus der English Longitudinal Study of Ageing; Schlafroutenuntersuchung über 4 Jahre mit Analyse der Assoziation zwischen Schlafqualität und neuaufgetretenen Stürzen.</w:t>
      </w:r>
    </w:p>
    <w:p>
      <w:r>
        <w:rPr>
          <w:b/>
        </w:rPr>
        <w:t xml:space="preserve">Ergebnis: </w:t>
      </w:r>
      <w:r>
        <w:t>Schlechtere Schlafqualität war mit höherem Sturzrisiko assoziiert (OR 1,04; 95%-KI 1,01–1,07). Depressive Symptome vermittelten 28,2 % dieser Assoziation. Dosisabhängige Beziehung zwischen Schlafqualität und Sturzrisiko.</w:t>
      </w:r>
    </w:p>
    <w:p>
      <w:r>
        <w:rPr>
          <w:b/>
          <w:sz w:val="19"/>
        </w:rPr>
        <w:t xml:space="preserve">Übertragbarkeit: </w:t>
      </w:r>
      <w:r>
        <w:rPr>
          <w:sz w:val="19"/>
        </w:rPr>
        <w:t>Großbritannien, vergleichbare Gesundheitsversorgung und Altersstruktur</w:t>
      </w:r>
    </w:p>
    <w:p>
      <w:r>
        <w:rPr>
          <w:color w:val="5A7D3A"/>
          <w:sz w:val="18"/>
        </w:rPr>
        <w:t>https://pubmed.ncbi.nlm.nih.gov/42644837/</w:t>
      </w:r>
    </w:p>
    <w:p>
      <w:pPr>
        <w:pStyle w:val="Heading2"/>
      </w:pPr>
      <w:r>
        <w:t>Lebensstil, Übergewicht und Lebenserwartung in der EU: Systemanalyse</w:t>
      </w:r>
    </w:p>
    <w:p>
      <w:r>
        <w:rPr>
          <w:i/>
          <w:color w:val="666666"/>
          <w:sz w:val="18"/>
        </w:rPr>
        <w:t>Vărzaru AA  ·  Nutrients  ·  11.07.2026  ·  PMID 42514344</w:t>
      </w:r>
    </w:p>
    <w:p>
      <w:r>
        <w:t>Querschnittsanalyse von 27 EU-Ländern mittels EHIS und Eurostat untersuchte Assoziationen zwischen Ernährung, körperlicher Aktivität, Rauchen, Übergewicht und Lebenserwartung sowie Healthy Life Years.</w:t>
      </w:r>
    </w:p>
    <w:p>
      <w:r>
        <w:rPr>
          <w:b/>
        </w:rPr>
        <w:t xml:space="preserve">Ergebnis: </w:t>
      </w:r>
      <w:r>
        <w:t>Gesunde Ernährung korrelierte mit Lebenserwartung (r=0,459; p=0,016), ebenso körperliche Aktivität (r=0,435; p=0,023). Übergewichtsprävalenz war invers mit Lebenserwartung assoziiert (r=−0,505; p=0,007). Das reduzierte Modell erklärte 47,4 % der Varianz in der Lebenserwartung. Clusteranalyse identifizierte drei Lebensstil-Gesundheits-Profile mit unterschiedlichen Outcomes.</w:t>
      </w:r>
    </w:p>
    <w:p>
      <w:r>
        <w:rPr>
          <w:b/>
          <w:sz w:val="19"/>
        </w:rPr>
        <w:t xml:space="preserve">Übertragbarkeit: </w:t>
      </w:r>
      <w:r>
        <w:rPr>
          <w:sz w:val="19"/>
        </w:rPr>
        <w:t>EU-weit, direkt auf deutsches Gesundheitssystem übertragbar</w:t>
      </w:r>
    </w:p>
    <w:p>
      <w:r>
        <w:rPr>
          <w:color w:val="5A7D3A"/>
          <w:sz w:val="18"/>
        </w:rPr>
        <w:t>https://pubmed.ncbi.nlm.nih.gov/42514344/</w:t>
      </w:r>
    </w:p>
    <w:p>
      <w:pPr>
        <w:pStyle w:val="Heading2"/>
      </w:pPr>
      <w:r>
        <w:t>Frailty im Hämodialyse: Visuelle Analogskala vereinfacht Screening</w:t>
      </w:r>
    </w:p>
    <w:p>
      <w:r>
        <w:rPr>
          <w:i/>
          <w:color w:val="666666"/>
          <w:sz w:val="18"/>
        </w:rPr>
        <w:t>Schulte-Kemna L et al.  ·  BMC Nephrol  ·  22.07.2026  ·  PMID 42493781</w:t>
      </w:r>
    </w:p>
    <w:p>
      <w:r>
        <w:t>Studie untersuchte die Genauigkeit einer Selbst-Rating-Skala (VAS) zur Frailty-Früherkennung bei 122 Hämodialysepatienten und identifizierte klinische Prädiktoren der Gebrechlichkeit anhand modifizierter Fried-Kriterien.</w:t>
      </w:r>
    </w:p>
    <w:p>
      <w:r>
        <w:rPr>
          <w:b/>
        </w:rPr>
        <w:t xml:space="preserve">Ergebnis: </w:t>
      </w:r>
      <w:r>
        <w:t>Die VAS hatte gute Spezifität (94,3%), übersah aber viele gebrechliche Patienten (Sensitivität 36,5%). Ein Modell mit Routineparametern zeigte gute Vorhersageleistung (AUC 0,816). Patienten mit Fried-Frailty hatten häufiger zentrale Venenkatheter, niedrigere Diurese, Kreatinin und Albumin sowie mehr Herz-Kreislauf-Erkrankungen.</w:t>
      </w:r>
    </w:p>
    <w:p>
      <w:r>
        <w:rPr>
          <w:b/>
          <w:sz w:val="19"/>
        </w:rPr>
        <w:t xml:space="preserve">Übertragbarkeit: </w:t>
      </w:r>
      <w:r>
        <w:rPr>
          <w:sz w:val="19"/>
        </w:rPr>
        <w:t>Deutsche Kliniken, vergleichbare Dialysedokumentation und Versorgungsstrukturen</w:t>
      </w:r>
    </w:p>
    <w:p>
      <w:r>
        <w:rPr>
          <w:color w:val="5A7D3A"/>
          <w:sz w:val="18"/>
        </w:rPr>
        <w:t>https://pubmed.ncbi.nlm.nih.gov/42493781/</w:t>
      </w:r>
    </w:p>
    <w:p>
      <w:pPr>
        <w:pStyle w:val="Heading2"/>
      </w:pPr>
      <w:r>
        <w:t>Diabetes-Epidemiologie in Dänemark: Trends von 1996 bis 2024</w:t>
      </w:r>
    </w:p>
    <w:p>
      <w:r>
        <w:rPr>
          <w:i/>
          <w:color w:val="666666"/>
          <w:sz w:val="18"/>
        </w:rPr>
        <w:t>Wibaek R et al.  ·  BMJ Open Diabetes Res Care  ·  10.07.2026  ·  PMID 42431705</w:t>
      </w:r>
    </w:p>
    <w:p>
      <w:r>
        <w:t>Nationale Register-Kohortenstudie (1996–2024) quantifizierte Trends in Prävalenz, Inzidenz, Mortalität und Lebensjahren verloren durch Diabetes in Dänemark.</w:t>
      </w:r>
    </w:p>
    <w:p>
      <w:r>
        <w:rPr>
          <w:b/>
        </w:rPr>
        <w:t xml:space="preserve">Ergebnis: </w:t>
      </w:r>
      <w:r>
        <w:t>Diabetes-Prävalenz verdreifachte sich auf 6,1 % (366.174 Personen); Typ 2 Diabetes stieg jährlich ~4,1 %. Typ 1 Inzidenz sank um 1,1 % pro Jahr. Mortalität sank bis 2012, dann Stabilisierung. Standardisierte Mortalitätsquoten sanken für Typ 1 (nach 2008), stiegen aber für Typ 2. Männer hatten höhere Typ 2 Inzidenz als Frauen.</w:t>
      </w:r>
    </w:p>
    <w:p>
      <w:r>
        <w:rPr>
          <w:b/>
          <w:sz w:val="19"/>
        </w:rPr>
        <w:t xml:space="preserve">Übertragbarkeit: </w:t>
      </w:r>
      <w:r>
        <w:rPr>
          <w:sz w:val="19"/>
        </w:rPr>
        <w:t>Skandinavien, vergleichbares Sozialversicherungssystem und Datenzugang</w:t>
      </w:r>
    </w:p>
    <w:p>
      <w:r>
        <w:rPr>
          <w:color w:val="5A7D3A"/>
          <w:sz w:val="18"/>
        </w:rPr>
        <w:t>https://pubmed.ncbi.nlm.nih.gov/42431705/</w:t>
      </w:r>
    </w:p>
    <w:p>
      <w:pPr>
        <w:pStyle w:val="Heading2"/>
      </w:pPr>
      <w:r>
        <w:t>Darmmikrobiota und Frailty bei älteren Frauen: schwedische Kohorte, bestätigt in China</w:t>
      </w:r>
    </w:p>
    <w:p>
      <w:r>
        <w:rPr>
          <w:i/>
          <w:color w:val="666666"/>
          <w:sz w:val="18"/>
        </w:rPr>
        <w:t>Vilar Geraldi M et al.  ·  Nat Commun  ·  08.07.2026  ·  PMID 42420265</w:t>
      </w:r>
    </w:p>
    <w:p>
      <w:r>
        <w:t>Studie analysierte Darmmetagenomik-Profile bei 2.081 schwedischen Frauen (75-80 Jahre) im Bezug auf einen entwickelten Frailty-Mortality-Index (FMI) und validierte Ergebnisse in einer chinesischen Kohorte.</w:t>
      </w:r>
    </w:p>
    <w:p>
      <w:r>
        <w:rPr>
          <w:b/>
        </w:rPr>
        <w:t xml:space="preserve">Ergebnis: </w:t>
      </w:r>
      <w:r>
        <w:t>FMI war invers assoziiert mit mikrobieller Diversität, Genreichtum und funktionaler Kapazität. 404 Bakterienarten waren signifikant mit FMI assoziiert; die meisten zeigten konsistente Assoziationen in der chinesischen Kohorte (n=1.448). Mikrobielle Signaturen waren mit Mortalität und funktioneller Einschränkung verknüpft.</w:t>
      </w:r>
    </w:p>
    <w:p>
      <w:r>
        <w:rPr>
          <w:b/>
          <w:sz w:val="19"/>
        </w:rPr>
        <w:t xml:space="preserve">Übertragbarkeit: </w:t>
      </w:r>
      <w:r>
        <w:rPr>
          <w:sz w:val="19"/>
        </w:rPr>
        <w:t>Skandinavien, ähnliche Sozialversicherung und Alterspopulation</w:t>
      </w:r>
    </w:p>
    <w:p>
      <w:r>
        <w:rPr>
          <w:color w:val="5A7D3A"/>
          <w:sz w:val="18"/>
        </w:rPr>
        <w:t>https://pubmed.ncbi.nlm.nih.gov/42420265/</w:t>
      </w:r>
    </w:p>
    <w:p>
      <w:pPr>
        <w:pStyle w:val="Heading1"/>
      </w:pPr>
      <w:r>
        <w:t>Aufgenommen am 29.08.2026</w:t>
      </w:r>
    </w:p>
    <w:p>
      <w:pPr>
        <w:pStyle w:val="Heading2"/>
      </w:pPr>
      <w:r>
        <w:t>Frailty verdoppelt Mortalität und Pflegebedarf bei hospitalisierten Älteren</w:t>
      </w:r>
    </w:p>
    <w:p>
      <w:r>
        <w:rPr>
          <w:i/>
          <w:color w:val="666666"/>
          <w:sz w:val="18"/>
        </w:rPr>
        <w:t>Kamo T et al.  ·  Geriatr Gerontol Int  ·  Sept. 2026  ·  PMID 42642794</w:t>
      </w:r>
    </w:p>
    <w:p>
      <w:r>
        <w:t>Systematische Übersicht und Metaanalyse von 57 Kohortenstudien zu Auswirkungen von Frailty auf Aktivitäten des täglichen Lebens und klinische Outcomes bei hospitalisierten älteren Erwachsenen (≥65 Jahre).</w:t>
      </w:r>
    </w:p>
    <w:p>
      <w:r>
        <w:rPr>
          <w:b/>
        </w:rPr>
        <w:t xml:space="preserve">Ergebnis: </w:t>
      </w:r>
      <w:r>
        <w:t>Frailty war assoziiert mit schlechterer ADL-Funktionsfähigkeit (SMD –1,04), höherer Mortalität (RR 2,26), niedrigerer Wahrscheinlichkeit von Entlassung nach Hause (RR 0,79) und höherem Wiederaufnahmerisiko in 30 Tagen (RR 1,47). Diese Effekte waren konsistent über Studien hinweg.</w:t>
      </w:r>
    </w:p>
    <w:p>
      <w:r>
        <w:rPr>
          <w:b/>
          <w:sz w:val="19"/>
        </w:rPr>
        <w:t xml:space="preserve">Übertragbarkeit: </w:t>
      </w:r>
      <w:r>
        <w:rPr>
          <w:sz w:val="19"/>
        </w:rPr>
        <w:t>Überwiegend anglo-amerikanische und europäische Studien; Frailty-Screening ist systemübergreifend anwendbar</w:t>
      </w:r>
    </w:p>
    <w:p>
      <w:r>
        <w:rPr>
          <w:color w:val="5A7D3A"/>
          <w:sz w:val="18"/>
        </w:rPr>
        <w:t>https://pubmed.ncbi.nlm.nih.gov/42642794/</w:t>
      </w:r>
    </w:p>
    <w:p>
      <w:pPr>
        <w:pStyle w:val="Heading2"/>
      </w:pPr>
      <w:r>
        <w:t>Plasma-Biomarker p-tau217 bei älteren Patienten: Nierenfunktion erklärt mehr Varianz als Gebrechlichkeit</w:t>
      </w:r>
    </w:p>
    <w:p>
      <w:r>
        <w:rPr>
          <w:i/>
          <w:color w:val="666666"/>
          <w:sz w:val="18"/>
        </w:rPr>
        <w:t>Goll J et al.  ·  Alzheimers Dement  ·  Aug. 2026  ·  PMID 42625502</w:t>
      </w:r>
    </w:p>
    <w:p>
      <w:r>
        <w:t>Querschnittsuntersuchung von 283 älteren Patienten (Norfrail- und Dementia-Cohort) zur Assoziation zwischen Gebrechlichkeit und Plasma-Biomarkern (p-tau217, Neurofilament-Leichte-Kette, GFAP) für Alzheimer-Pathologie.</w:t>
      </w:r>
    </w:p>
    <w:p>
      <w:r>
        <w:rPr>
          <w:b/>
        </w:rPr>
        <w:t xml:space="preserve">Ergebnis: </w:t>
      </w:r>
      <w:r>
        <w:t>Keine signifikante Assoziation zwischen p-tau217 und Gebrechlichkeit; die eGFR erklärte 27% der p-tau217-Varianz (p &lt; 0,001). Neurofilament-Leichte-Kette war einziger Biomarker signifikant mit Gebrechlichkeit assoziiert (p &lt; 0,01). Kliniker müssen Nierenfunktion bei Interpretation berücksichtigen.</w:t>
      </w:r>
    </w:p>
    <w:p>
      <w:r>
        <w:rPr>
          <w:b/>
          <w:sz w:val="19"/>
        </w:rPr>
        <w:t xml:space="preserve">Übertragbarkeit: </w:t>
      </w:r>
      <w:r>
        <w:rPr>
          <w:sz w:val="19"/>
        </w:rPr>
        <w:t>Norwegen, europäisches Gesundheitssystem; Befund zum Niereneinflusses auf Blutbiomarker ist systemunabhängig</w:t>
      </w:r>
    </w:p>
    <w:p>
      <w:r>
        <w:rPr>
          <w:color w:val="5A7D3A"/>
          <w:sz w:val="18"/>
        </w:rPr>
        <w:t>https://pubmed.ncbi.nlm.nih.gov/42625502/</w:t>
      </w:r>
    </w:p>
    <w:p>
      <w:pPr>
        <w:pStyle w:val="Heading2"/>
      </w:pPr>
      <w:r>
        <w:t>Frühe Zuckerrestriktion reduziert Krebsrisiko um 30–70% und verlangsamt biologisches Altern</w:t>
      </w:r>
    </w:p>
    <w:p>
      <w:r>
        <w:rPr>
          <w:i/>
          <w:color w:val="666666"/>
          <w:sz w:val="18"/>
        </w:rPr>
        <w:t>Zhu C et al.  ·  Proc Natl Acad Sci U S A  ·  11.08.2026  ·  PMID 42550905</w:t>
      </w:r>
    </w:p>
    <w:p>
      <w:r>
        <w:t>Kausalitätsanalyse mittels natürliches Experiment (Ende der UK-Zuckerrationierung 1953) mit 64.761 Biobank-Teilnehmern geboren 1951–1956, zur Langzeitwirkung früher Zuckerexposition auf Krebsinzidenz und biologisches Altern.</w:t>
      </w:r>
    </w:p>
    <w:p>
      <w:r>
        <w:rPr>
          <w:b/>
        </w:rPr>
        <w:t xml:space="preserve">Ergebnis: </w:t>
      </w:r>
      <w:r>
        <w:t>Geburtskohortenunter Rationierung zeigten dosisabhängig reduzierte Krebsraten: Leber (HR 0,31), Rektum (HR 0,60), Lunge (HR 0,59), Prostata (HR 0,48), Brust (HR 0,64). Mechanismen: Persistente gesündere Ernährungsgewohnheiten (verhaltoral) und längere Telomere (2,2 Jahre weniger biologisches Altern), niedrigeres Granzym B. Kausalitätsevidenzen für frühe Ernährungsprägung.</w:t>
      </w:r>
    </w:p>
    <w:p>
      <w:r>
        <w:rPr>
          <w:b/>
          <w:sz w:val="19"/>
        </w:rPr>
        <w:t xml:space="preserve">Übertragbarkeit: </w:t>
      </w:r>
      <w:r>
        <w:rPr>
          <w:sz w:val="19"/>
        </w:rPr>
        <w:t>Großbritannien, vergleichbare Geburtskohortenstruktur; Befund zu prägenden Effekten früher Ernährung fundamental, aber Realisierbarkeit in Deutschland unterschiedlich</w:t>
      </w:r>
    </w:p>
    <w:p>
      <w:r>
        <w:rPr>
          <w:color w:val="5A7D3A"/>
          <w:sz w:val="18"/>
        </w:rPr>
        <w:t>https://pubmed.ncbi.nlm.nih.gov/42550905/</w:t>
      </w:r>
    </w:p>
    <w:p>
      <w:pPr>
        <w:pStyle w:val="Heading2"/>
      </w:pPr>
      <w:r>
        <w:t>Immediate orthostatic hypotension zeigt keine Assoziation mit Stürzen und Synkopen im Alter</w:t>
      </w:r>
    </w:p>
    <w:p>
      <w:r>
        <w:rPr>
          <w:i/>
          <w:color w:val="666666"/>
          <w:sz w:val="18"/>
        </w:rPr>
        <w:t>Reddin C et al.  ·  Age Ageing  ·  02.07.2026  ·  PMID 42462204</w:t>
      </w:r>
    </w:p>
    <w:p>
      <w:r>
        <w:t>Querschnitts- und prospektive Kohortenstudie mit 4.596 älteren Erwachsenen über 8 Jahre, die die Assoziation von orthosensitiver Hypotonie (OH) und unmittelbarer OH mit Stürzen und Synkopen untersuchte.</w:t>
      </w:r>
    </w:p>
    <w:p>
      <w:r>
        <w:rPr>
          <w:b/>
        </w:rPr>
        <w:t xml:space="preserve">Ergebnis: </w:t>
      </w:r>
      <w:r>
        <w:t>Unmittelbare OH kam bei 20,7% vor und war nicht signifikant mit Stürzen/Synkopen assoziiert (OR 1,22, 95% KI 0,93–1,57); hingegen war persistente OH assoziiert (OR 1,31, 95% KI 1,04–1,66, p &lt; 0,05). Die Unterscheidung zwischen beiden Varianten ist klinisch relevant.</w:t>
      </w:r>
    </w:p>
    <w:p>
      <w:r>
        <w:rPr>
          <w:b/>
          <w:sz w:val="19"/>
        </w:rPr>
        <w:t xml:space="preserve">Übertragbarkeit: </w:t>
      </w:r>
      <w:r>
        <w:rPr>
          <w:sz w:val="19"/>
        </w:rPr>
        <w:t>Irland, vergleichbares europäisches Gesundheitssystem, bevölkerungsrepräsentative Stichprobe</w:t>
      </w:r>
    </w:p>
    <w:p>
      <w:r>
        <w:rPr>
          <w:color w:val="5A7D3A"/>
          <w:sz w:val="18"/>
        </w:rPr>
        <w:t>https://pubmed.ncbi.nlm.nih.gov/42462204/</w:t>
      </w:r>
    </w:p>
    <w:p>
      <w:pPr>
        <w:pStyle w:val="Heading2"/>
      </w:pPr>
      <w:r>
        <w:t>Gebrechlichkeit in etablierten Surveys messbar – ein Framework für nationale Monitoring in Europa</w:t>
      </w:r>
    </w:p>
    <w:p>
      <w:r>
        <w:rPr>
          <w:i/>
          <w:color w:val="666666"/>
          <w:sz w:val="18"/>
        </w:rPr>
        <w:t>Aicardi T et al.  ·  Eur J Public Health  ·  10.06.2026  ·  PMID 42452852</w:t>
      </w:r>
    </w:p>
    <w:p>
      <w:r>
        <w:t>Querschnittsstudie mit drei etablierten Frailty-Indikatoren (Tilburg, Groningen, Edmonton) in vier italienischen Bevölkerungssurveillance-Datensätzen (SHARE, EU-SILC, EHIS, AVQ).</w:t>
      </w:r>
    </w:p>
    <w:p>
      <w:r>
        <w:rPr>
          <w:b/>
        </w:rPr>
        <w:t xml:space="preserve">Ergebnis: </w:t>
      </w:r>
      <w:r>
        <w:t>Der Groningen Frailty Indicator war am replizierbaren über Surveys hinweg; die Edmonton Frail Scale zeigte stärkste Vorhersagekraft. EHIS-Daten waren optimal für Messungen geeignet. Gebrechlichkeit erklärte Gesundheitsoutcomes besser als Chronologisches Alter allein; klarer Nord-Süd-Gradient in Italien (p &lt; 0,001).</w:t>
      </w:r>
    </w:p>
    <w:p>
      <w:r>
        <w:rPr>
          <w:b/>
          <w:sz w:val="19"/>
        </w:rPr>
        <w:t xml:space="preserve">Übertragbarkeit: </w:t>
      </w:r>
      <w:r>
        <w:rPr>
          <w:sz w:val="19"/>
        </w:rPr>
        <w:t>Italien, EU-Mitgliedstaaten, vergleichbare Datensysteme mit Deutschland übertragbar</w:t>
      </w:r>
    </w:p>
    <w:p>
      <w:r>
        <w:rPr>
          <w:color w:val="5A7D3A"/>
          <w:sz w:val="18"/>
        </w:rPr>
        <w:t>https://pubmed.ncbi.nlm.nih.gov/42452852/</w:t>
      </w:r>
    </w:p>
    <w:p>
      <w:pPr>
        <w:pStyle w:val="Heading2"/>
      </w:pPr>
      <w:r>
        <w:t>Gesunde Lebensjahre regional stark abhängig von Einkommen und sozialen Faktoren</w:t>
      </w:r>
    </w:p>
    <w:p>
      <w:r>
        <w:rPr>
          <w:i/>
          <w:color w:val="666666"/>
          <w:sz w:val="18"/>
        </w:rPr>
        <w:t>Bachmann M et al.  ·  BMJ Open  ·  13.07.2026  ·  PMID 42442804</w:t>
      </w:r>
    </w:p>
    <w:p>
      <w:r>
        <w:t>Querschnittsanalyse zur Variabilität der gesunden Lebenserwartung (HLE) und Risikofaktoren in 128 kleinen geografischen Bereichen eines britischen integrierten Versorgungssystems.</w:t>
      </w:r>
    </w:p>
    <w:p>
      <w:r>
        <w:rPr>
          <w:b/>
        </w:rPr>
        <w:t xml:space="preserve">Ergebnis: </w:t>
      </w:r>
      <w:r>
        <w:t>HLE betrug durchschnittlich 66,5 Jahre (Männer, Spannweite 52–73) und 67,5 Jahre (Frauen, Spannweite 56–74). £100 höheres Wocheneinkommen war assoziiert mit 4,4 (95% KI 3,5–5,2) beziehungsweise 4,6 (95% KI 3,8–5,4) zusätzlichen HLE-Jahren. Alleinsein älterer Personen, körperliche Inaktivität und Deprivation zeigten starke Assoziationen mit niedrigerer HLE.</w:t>
      </w:r>
    </w:p>
    <w:p>
      <w:r>
        <w:rPr>
          <w:b/>
          <w:sz w:val="19"/>
        </w:rPr>
        <w:t xml:space="preserve">Übertragbarkeit: </w:t>
      </w:r>
      <w:r>
        <w:rPr>
          <w:sz w:val="19"/>
        </w:rPr>
        <w:t>Großbritannien, NHS-ähnliche Systeme; Ungleichheitsmessung direkt auf deutsche Regionen übertragbar</w:t>
      </w:r>
    </w:p>
    <w:p>
      <w:r>
        <w:rPr>
          <w:color w:val="5A7D3A"/>
          <w:sz w:val="18"/>
        </w:rPr>
        <w:t>https://pubmed.ncbi.nlm.nih.gov/42442804/</w:t>
      </w:r>
    </w:p>
    <w:p>
      <w:pPr>
        <w:pStyle w:val="Heading1"/>
      </w:pPr>
      <w:r>
        <w:t>Aufgenommen am 28.08.2026</w:t>
      </w:r>
    </w:p>
    <w:p>
      <w:pPr>
        <w:pStyle w:val="Heading2"/>
      </w:pPr>
      <w:r>
        <w:t>Territoriale Ungleichheiten von Gebrechlichkeit und Langlebigkeit in Italien</w:t>
      </w:r>
    </w:p>
    <w:p>
      <w:r>
        <w:rPr>
          <w:i/>
          <w:color w:val="666666"/>
          <w:sz w:val="18"/>
        </w:rPr>
        <w:t>Maccheroni C et al.  ·  Int J Environ Res Public Health  ·  23.07.2026  ·  PMID 42652263</w:t>
      </w:r>
    </w:p>
    <w:p>
      <w:r>
        <w:t>Analyse der geografischen Verteilung von Frailty, funktionalen Einschränkungen und Anspruch auf öffentliche Unterstützung in 21 italienischen Regionen auf Basis von Istat-, Eurostat- und INPS-Daten.</w:t>
      </w:r>
    </w:p>
    <w:p>
      <w:r>
        <w:rPr>
          <w:b/>
        </w:rPr>
        <w:t xml:space="preserve">Ergebnis: </w:t>
      </w:r>
      <w:r>
        <w:t>Italien zeigt hohe Lebenserwartung (Frauen 85,4, Männer 81,4 Jahre), aber gesunde Lebensjahre von nur 69,6 bzw. 68,5 Jahren. Der Süden und die Inseln weisen deutlich höhere Frailty-Prävalenz, mehr funktionale Einschränkungen und höhere Ansprüche auf öffentliche Hilfe auf als Zentrum-Nord. Frauen erleben längere Leben mit mehr Behinderung und Abhängigkeit.</w:t>
      </w:r>
    </w:p>
    <w:p>
      <w:r>
        <w:rPr>
          <w:b/>
          <w:sz w:val="19"/>
        </w:rPr>
        <w:t xml:space="preserve">Übertragbarkeit: </w:t>
      </w:r>
      <w:r>
        <w:rPr>
          <w:sz w:val="19"/>
        </w:rPr>
        <w:t>Italien, vollständige nationale Registeranalyse, europäisches Wohlfahrtssystem</w:t>
      </w:r>
    </w:p>
    <w:p>
      <w:r>
        <w:rPr>
          <w:color w:val="5A7D3A"/>
          <w:sz w:val="18"/>
        </w:rPr>
        <w:t>https://pubmed.ncbi.nlm.nih.gov/42652263/</w:t>
      </w:r>
    </w:p>
    <w:p>
      <w:pPr>
        <w:pStyle w:val="Heading2"/>
      </w:pPr>
      <w:r>
        <w:t>Kognitive Frailty bei älteren Herzinsuffizienzpatienten: systematische Übersicht</w:t>
      </w:r>
    </w:p>
    <w:p>
      <w:r>
        <w:rPr>
          <w:i/>
          <w:color w:val="666666"/>
          <w:sz w:val="18"/>
        </w:rPr>
        <w:t>Cheng M et al.  ·  Front Public Health  ·  11.08.2026  ·  PMID 42644078</w:t>
      </w:r>
    </w:p>
    <w:p>
      <w:r>
        <w:t>Systematische Übersicht und Metaanalyse von 22 Kohortenstudien (8.892 Patienten ≥65 Jahre mit Herzinsuffizienz) zur Prävalenz und Faktoren kognitiver Frailty.</w:t>
      </w:r>
    </w:p>
    <w:p>
      <w:r>
        <w:rPr>
          <w:b/>
        </w:rPr>
        <w:t xml:space="preserve">Ergebnis: </w:t>
      </w:r>
      <w:r>
        <w:t>Gepoolte Prävalenz kognitiver Frailty: 32 % (95%-KI 27–37 %). Bei Frauen 37 %, bei Männern 31 %. Nach NYHA-Klassifikation bei Klasse IV 44 %, Klasse II–III 28 %. Mit COPD-Komorbidität 46 %. Höheres Alter (bereinigt OR 1,12, 95%-KI 1,06–1,18) und Depression assoziiert mit höheren Odds; körperliche Aktivität und intellektuelle Aktivität mit niedrigeren Odds.</w:t>
      </w:r>
    </w:p>
    <w:p>
      <w:r>
        <w:rPr>
          <w:b/>
          <w:sz w:val="19"/>
        </w:rPr>
        <w:t xml:space="preserve">Übertragbarkeit: </w:t>
      </w:r>
      <w:r>
        <w:rPr>
          <w:sz w:val="19"/>
        </w:rPr>
        <w:t>Mehrländerstudie, überwiegend observativ, Versorgungsrelevanz für Herzinsuffizienz</w:t>
      </w:r>
    </w:p>
    <w:p>
      <w:r>
        <w:rPr>
          <w:color w:val="5A7D3A"/>
          <w:sz w:val="18"/>
        </w:rPr>
        <w:t>https://pubmed.ncbi.nlm.nih.gov/42644078/</w:t>
      </w:r>
    </w:p>
    <w:p>
      <w:pPr>
        <w:pStyle w:val="Heading2"/>
      </w:pPr>
      <w:r>
        <w:t>Erhöhte Arbeitsunfälle durch verzögerte Pensionierung im Alter</w:t>
      </w:r>
    </w:p>
    <w:p>
      <w:r>
        <w:rPr>
          <w:i/>
          <w:color w:val="666666"/>
          <w:sz w:val="18"/>
        </w:rPr>
        <w:t>Ardito C et al.  ·  Econ Hum Biol  ·  10.08.2026  ·  PMID 42617339</w:t>
      </w:r>
    </w:p>
    <w:p>
      <w:r>
        <w:t>Evaluation des Effekts der italienischen Rentenreform 2012 (Erhöhung der Anspruchsaltersgrenze) auf Arbeitsunfallrisiken bei älteren Erwerbstätigen mittels administrativer Daten aus der Privatwirtschaft.</w:t>
      </w:r>
    </w:p>
    <w:p>
      <w:r>
        <w:rPr>
          <w:b/>
        </w:rPr>
        <w:t xml:space="preserve">Ergebnis: </w:t>
      </w:r>
      <w:r>
        <w:t>Verzögerte Pensionierung führte zu statistisch signifikantem Anstieg krankheitsbedingter Abwesenheit durch Arbeitsunfälle um 2,6 % gegenüber dem Ausgangswert. Der Effekt konzentriert sich auf Kleinbetriebe (unter 15 Angestellten) und körperlich oder kognitiv fordernde Sektoren wie Fertigung. Kein Spillover-Effekt auf Arbeitskollegen.</w:t>
      </w:r>
    </w:p>
    <w:p>
      <w:r>
        <w:rPr>
          <w:b/>
          <w:sz w:val="19"/>
        </w:rPr>
        <w:t xml:space="preserve">Übertragbarkeit: </w:t>
      </w:r>
      <w:r>
        <w:rPr>
          <w:sz w:val="19"/>
        </w:rPr>
        <w:t>Italien, administrative Privatwirtschaftsdaten, vergleichbare Sozialversicherungssysteme</w:t>
      </w:r>
    </w:p>
    <w:p>
      <w:r>
        <w:rPr>
          <w:color w:val="5A7D3A"/>
          <w:sz w:val="18"/>
        </w:rPr>
        <w:t>https://pubmed.ncbi.nlm.nih.gov/42617339/</w:t>
      </w:r>
    </w:p>
    <w:p>
      <w:pPr>
        <w:pStyle w:val="Heading2"/>
      </w:pPr>
      <w:r>
        <w:t>Lebenserwartung und Gesundheitslebensjahre von Migranten in England und Wales</w:t>
      </w:r>
    </w:p>
    <w:p>
      <w:r>
        <w:rPr>
          <w:i/>
          <w:color w:val="666666"/>
          <w:sz w:val="18"/>
        </w:rPr>
        <w:t>Harrison J et al.  ·  PLoS One  ·  19.08.2026  ·  PMID 42616754</w:t>
      </w:r>
    </w:p>
    <w:p>
      <w:r>
        <w:t>Vergleich der Lebenserwartung und behinderungsfreien Lebensjahre bei 37 Ländern von Geburtsort in England und Wales über drei Zeitpunkte (2000–02, 2010–12, 2020–22) mittels Lebenstafeln und Sullivan-Methode.</w:t>
      </w:r>
    </w:p>
    <w:p>
      <w:r>
        <w:rPr>
          <w:b/>
        </w:rPr>
        <w:t xml:space="preserve">Ergebnis: </w:t>
      </w:r>
      <w:r>
        <w:t>Heterogene Muster: Die meisten Migrantengruppen zeigten höhere Lebenserwartung und behinderungsfreie Lebensjahre als in England und Wales geborene; einige der größten Migrantengruppen (Schottland, Irland, Polen, Litauen) zeigten niedrigere Lebenserwartung und höhere Behinderungslasten. Frauen aus Pakistan und Bangladesch lebten länger, aber mit mehr Behinderung.</w:t>
      </w:r>
    </w:p>
    <w:p>
      <w:r>
        <w:rPr>
          <w:b/>
          <w:sz w:val="19"/>
        </w:rPr>
        <w:t xml:space="preserve">Übertragbarkeit: </w:t>
      </w:r>
      <w:r>
        <w:rPr>
          <w:sz w:val="19"/>
        </w:rPr>
        <w:t>Großbritannien, nationale Zensus- und Mortalitätsdaten, vergleichbares Versicherungssystem</w:t>
      </w:r>
    </w:p>
    <w:p>
      <w:r>
        <w:rPr>
          <w:color w:val="5A7D3A"/>
          <w:sz w:val="18"/>
        </w:rPr>
        <w:t>https://pubmed.ncbi.nlm.nih.gov/42616754/</w:t>
      </w:r>
    </w:p>
    <w:p>
      <w:pPr>
        <w:pStyle w:val="Heading2"/>
      </w:pPr>
      <w:r>
        <w:t>Milde Bewegungstremor korreliert mit kognitiver Beeinträchtigung im Alter</w:t>
      </w:r>
    </w:p>
    <w:p>
      <w:r>
        <w:rPr>
          <w:i/>
          <w:color w:val="666666"/>
          <w:sz w:val="18"/>
        </w:rPr>
        <w:t>Kuhlenbäumer G et al.  ·  J Neurol  ·  11.08.2026  ·  PMID 42581283</w:t>
      </w:r>
    </w:p>
    <w:p>
      <w:r>
        <w:t>Querschnittsanalyse der KORA-Age-Studie (65–93 Jahre) zur Assoziation zwischen Tremorschweregrad (Archimedes-Spiral-Rating) und kognitiver Leistung (TICS-m) unter Verwendung multivariater Regression.</w:t>
      </w:r>
    </w:p>
    <w:p>
      <w:r>
        <w:rPr>
          <w:b/>
        </w:rPr>
        <w:t xml:space="preserve">Ergebnis: </w:t>
      </w:r>
      <w:r>
        <w:t>Tremorschweregrad war unabhängig mit kognitiver Leistung assoziiert. Im finalen Modell waren wichtigste Prädiktoren: Alter, Geschlecht, Parkinson-Score, Frailty und Tremor. Sensitivitätsanalysen unter Ausschluss wahrscheinlich pathologischer Tremoren attenuierten die Assoziation nicht. Altersbedingte Hirnveränderungen könnten gemeinsame Ursache sein.</w:t>
      </w:r>
    </w:p>
    <w:p>
      <w:r>
        <w:rPr>
          <w:b/>
          <w:sz w:val="19"/>
        </w:rPr>
        <w:t xml:space="preserve">Übertragbarkeit: </w:t>
      </w:r>
      <w:r>
        <w:rPr>
          <w:sz w:val="19"/>
        </w:rPr>
        <w:t>Deutschland, KORA-Bevölkerungskohort, nationale Datengrundlage</w:t>
      </w:r>
    </w:p>
    <w:p>
      <w:r>
        <w:rPr>
          <w:color w:val="5A7D3A"/>
          <w:sz w:val="18"/>
        </w:rPr>
        <w:t>https://pubmed.ncbi.nlm.nih.gov/42581283/</w:t>
      </w:r>
    </w:p>
    <w:p>
      <w:pPr>
        <w:pStyle w:val="Heading2"/>
      </w:pPr>
      <w:r>
        <w:t>Geriatrische Rehabilitation verbessert Funktionalität bei Mangelernährungsrisiko</w:t>
      </w:r>
    </w:p>
    <w:p>
      <w:r>
        <w:rPr>
          <w:i/>
          <w:color w:val="666666"/>
          <w:sz w:val="18"/>
        </w:rPr>
        <w:t>Runikhina NK et al.  ·  Adv Gerontol  ·  2026  ·  PMID 42502926</w:t>
      </w:r>
    </w:p>
    <w:p>
      <w:r>
        <w:t>Evaluierung von 21-Tage-Rehabilitationsprogrammen bei 482 älteren Patienten (60+ Jahre) mit (96, 19,9 %) und ohne Mangelernährungsrisiko durch umfassende geriatrische Bewertung vor und nach Intervention.</w:t>
      </w:r>
    </w:p>
    <w:p>
      <w:r>
        <w:rPr>
          <w:b/>
        </w:rPr>
        <w:t xml:space="preserve">Ergebnis: </w:t>
      </w:r>
      <w:r>
        <w:t>Beide Gruppen verbesserten sich signifikant in Funktionalität, kognitiver Leistung und Schmerz/Schlaf/Depression. Patienten mit Mangelernährungsrisiko waren älter (80,3 vs. 78,2 Jahre), hatten mehr Frailty (52,1 % vs. 30,9 %), mehr Stürze (36,8 % vs. 25,3 %) und Depression (40,6 % vs. 20,8 %). Diese Gruppe zeigte deutlich größere Verbesserungen in basaler und instrumenteller Funktionalität.</w:t>
      </w:r>
    </w:p>
    <w:p>
      <w:r>
        <w:rPr>
          <w:b/>
          <w:sz w:val="19"/>
        </w:rPr>
        <w:t xml:space="preserve">Übertragbarkeit: </w:t>
      </w:r>
      <w:r>
        <w:rPr>
          <w:sz w:val="19"/>
        </w:rPr>
        <w:t>Russland, Pirogov-Universitätsklinik, europäischer Gesundheitsauftrag vergleichbar</w:t>
      </w:r>
    </w:p>
    <w:p>
      <w:r>
        <w:rPr>
          <w:color w:val="5A7D3A"/>
          <w:sz w:val="18"/>
        </w:rPr>
        <w:t>https://pubmed.ncbi.nlm.nih.gov/42502926/</w:t>
      </w:r>
    </w:p>
    <w:p>
      <w:pPr>
        <w:pStyle w:val="Heading1"/>
      </w:pPr>
      <w:r>
        <w:t>Aufgenommen am 27.08.2026</w:t>
      </w:r>
    </w:p>
    <w:p>
      <w:pPr>
        <w:pStyle w:val="Heading2"/>
      </w:pPr>
      <w:r>
        <w:t>Verzögerte Sterblichkeit und Multimorbiditätsaufbau bei Nachkommen von Hundertjährigen</w:t>
      </w:r>
    </w:p>
    <w:p>
      <w:r>
        <w:rPr>
          <w:i/>
          <w:color w:val="666666"/>
          <w:sz w:val="18"/>
        </w:rPr>
        <w:t>Reed ER et al.  ·  JAMA Netw Open  ·  03.08.2026  ·  PMID 42646838</w:t>
      </w:r>
    </w:p>
    <w:p>
      <w:r>
        <w:t>Studie an drei unabhängigen Kohorten (LonGenity, NECS, UK Biobank) verglich Sterblichkeit und Erkrankungsbeginn bei Nachkommen von Hundertjährigen (≥100 Jahre) mit Kontrollpersonen.</w:t>
      </w:r>
    </w:p>
    <w:p>
      <w:r>
        <w:rPr>
          <w:b/>
        </w:rPr>
        <w:t xml:space="preserve">Ergebnis: </w:t>
      </w:r>
      <w:r>
        <w:t>Hundertjährige-Nachkommen zeigten reduzierte Mortalität (HR 0,58; 95%-KI 0,41–0,81), verzögerter Beginn von Herzerkrankungen (HR 0,67) und Hypertonie (HR 0,68; Verzögerung 5,21 Jahre). Der Effekt ist konsistent über drei Länder und zeigt, dass Longevität familial transmittiert wird.</w:t>
      </w:r>
    </w:p>
    <w:p>
      <w:r>
        <w:rPr>
          <w:b/>
          <w:sz w:val="19"/>
        </w:rPr>
        <w:t xml:space="preserve">Übertragbarkeit: </w:t>
      </w:r>
      <w:r>
        <w:rPr>
          <w:sz w:val="19"/>
        </w:rPr>
        <w:t>USA und Großbritannien; Generalisierbarkeit durch multiple Länder hoch</w:t>
      </w:r>
    </w:p>
    <w:p>
      <w:r>
        <w:rPr>
          <w:color w:val="5A7D3A"/>
          <w:sz w:val="18"/>
        </w:rPr>
        <w:t>https://pubmed.ncbi.nlm.nih.gov/42646838/</w:t>
      </w:r>
    </w:p>
    <w:p>
      <w:pPr>
        <w:pStyle w:val="Heading2"/>
      </w:pPr>
      <w:r>
        <w:t>Gebrechlichkeit und periphere Schwindel-Inzidenz: Dosis-Wirkungs-Befund in UK Biobank</w:t>
      </w:r>
    </w:p>
    <w:p>
      <w:r>
        <w:rPr>
          <w:i/>
          <w:color w:val="666666"/>
          <w:sz w:val="18"/>
        </w:rPr>
        <w:t>Zhai Z et al.  ·  Front Neurol  ·  11.08.2026  ·  PMID 42643260</w:t>
      </w:r>
    </w:p>
    <w:p>
      <w:r>
        <w:t>489266 UK-Biobank-Teilnehmer wurden auf Assoziationen zwischen Frailty-Status (Fried-Phänotyp) und Inzidenz von Schwindel (Vertigo) über 13,2 Jahre Nachverfolgung untersucht.</w:t>
      </w:r>
    </w:p>
    <w:p>
      <w:r>
        <w:rPr>
          <w:b/>
        </w:rPr>
        <w:t xml:space="preserve">Ergebnis: </w:t>
      </w:r>
      <w:r>
        <w:t>Präfrailty (HR 1,36; 95%-KI 1,26–1,48) und Frailty (HR 2,05; 95%-KI 1,77–2,37) waren unabhängig mit erhöhtem Schwindel-Risiko assoziiert. Linearer Dosis-Wirkungs-Trend: jeder Punkt Frailty-Score erhöhte Risiko um 24% (95%-KI 19–29%). Effekt stärker bei Frauen.</w:t>
      </w:r>
    </w:p>
    <w:p>
      <w:r>
        <w:rPr>
          <w:b/>
          <w:sz w:val="19"/>
        </w:rPr>
        <w:t xml:space="preserve">Übertragbarkeit: </w:t>
      </w:r>
      <w:r>
        <w:rPr>
          <w:sz w:val="19"/>
        </w:rPr>
        <w:t>UK Biobank, vergleichbare Dokumentation; relevanter Befund für Sturzrisiko-Assessment</w:t>
      </w:r>
    </w:p>
    <w:p>
      <w:r>
        <w:rPr>
          <w:color w:val="5A7D3A"/>
          <w:sz w:val="18"/>
        </w:rPr>
        <w:t>https://pubmed.ncbi.nlm.nih.gov/42643260/</w:t>
      </w:r>
    </w:p>
    <w:p>
      <w:pPr>
        <w:pStyle w:val="Heading2"/>
      </w:pPr>
      <w:r>
        <w:t>Mobiltelefonnutzung und körperliche Gebrechlichkeit: temporale Querschnittsanalyse ohne kausale Assoziation</w:t>
      </w:r>
    </w:p>
    <w:p>
      <w:r>
        <w:rPr>
          <w:i/>
          <w:color w:val="666666"/>
          <w:sz w:val="18"/>
        </w:rPr>
        <w:t>Kong S et al.  ·  Front Public Health  ·  10.08.2026  ·  PMID 42638665</w:t>
      </w:r>
    </w:p>
    <w:p>
      <w:r>
        <w:t>5533 Personen der UK Biobank (40–70 Jahre) wurden über drei Wellen auf zeitliche Beziehungen zwischen wöchentlicher Telefonanrufdauer und vier Dimensionen von Frailty untersucht.</w:t>
      </w:r>
    </w:p>
    <w:p>
      <w:r>
        <w:rPr>
          <w:b/>
        </w:rPr>
        <w:t xml:space="preserve">Ergebnis: </w:t>
      </w:r>
      <w:r>
        <w:t>Nach Korrektur für multiples Testen (FDR) zeigten sich nur zwei schwache, intermittierende Assoziationen: psychische Frailty T1→Telefonzeit T2 (β 0,086, p_FDR 0,048) und soziale Frailty T2→Telefonzeit T3 (β 0,078, p_FDR 0,033). Keine robusten bidirektionalen Effekte.</w:t>
      </w:r>
    </w:p>
    <w:p>
      <w:r>
        <w:rPr>
          <w:b/>
          <w:sz w:val="19"/>
        </w:rPr>
        <w:t xml:space="preserve">Übertragbarkeit: </w:t>
      </w:r>
      <w:r>
        <w:rPr>
          <w:sz w:val="19"/>
        </w:rPr>
        <w:t>UK Biobank, aber Ergebnis negativ (keine Effekt); Übertragbarkeit für Aussage 'kein Zusammenhang' gegeben</w:t>
      </w:r>
    </w:p>
    <w:p>
      <w:r>
        <w:rPr>
          <w:color w:val="5A7D3A"/>
          <w:sz w:val="18"/>
        </w:rPr>
        <w:t>https://pubmed.ncbi.nlm.nih.gov/42638665/</w:t>
      </w:r>
    </w:p>
    <w:p>
      <w:pPr>
        <w:pStyle w:val="Heading2"/>
      </w:pPr>
      <w:r>
        <w:t>Impfbotschaften im Fokus "gesundes Altern" erhöhen Impfintention bei älteren Erwachsenen</w:t>
      </w:r>
    </w:p>
    <w:p>
      <w:r>
        <w:rPr>
          <w:i/>
          <w:color w:val="666666"/>
          <w:sz w:val="18"/>
        </w:rPr>
        <w:t>Addario A et al.  ·  Vaccine  ·  17.09.2026  ·  PMID 42594637</w:t>
      </w:r>
    </w:p>
    <w:p>
      <w:r>
        <w:t>Querschnittsumfrage bei 2416 Personen ≥60 Jahren in Frankreich zu Effektivität von Impfbotschaften unter Einsatz von Social Marketing; drei Verhaltensadhärenz-Profile.</w:t>
      </w:r>
    </w:p>
    <w:p>
      <w:r>
        <w:rPr>
          <w:b/>
        </w:rPr>
        <w:t xml:space="preserve">Ergebnis: </w:t>
      </w:r>
      <w:r>
        <w:t>Zustimmung zu 'Impfung trägt zu gesundem Altern bei' stieg von 3% (niedrige Adhärenz) auf 56% (mittlere) und 78% (hohe). Botschaften zu Schlaganfall- und Herzinfarktreduktion zeigten höchste Impfabsicht (69% und 67% in hoher-Adhärenz-Gruppe). Vertrauenswürdige Gesundheitsfachleute waren Informationsquelle Nr. 1 (93–95%). Impfgutscheine: 57% (mittlere) bis 81% (hohe Adhärenz) würden sich impfen lassen.</w:t>
      </w:r>
    </w:p>
    <w:p>
      <w:r>
        <w:rPr>
          <w:b/>
          <w:sz w:val="19"/>
        </w:rPr>
        <w:t xml:space="preserve">Übertragbarkeit: </w:t>
      </w:r>
      <w:r>
        <w:rPr>
          <w:sz w:val="19"/>
        </w:rPr>
        <w:t>Frankreich, europäisches Gesundheitssystem; Transfer für Kommunikationsstrategie hoch</w:t>
      </w:r>
    </w:p>
    <w:p>
      <w:r>
        <w:rPr>
          <w:color w:val="5A7D3A"/>
          <w:sz w:val="18"/>
        </w:rPr>
        <w:t>https://pubmed.ncbi.nlm.nih.gov/42594637/</w:t>
      </w:r>
    </w:p>
    <w:p>
      <w:pPr>
        <w:pStyle w:val="Heading2"/>
      </w:pPr>
      <w:r>
        <w:t>Chair-Stand-Test als Mortalitätsprädiktor bei hochfunktionalen älteren Erwachsenen</w:t>
      </w:r>
    </w:p>
    <w:p>
      <w:r>
        <w:rPr>
          <w:i/>
          <w:color w:val="666666"/>
          <w:sz w:val="18"/>
        </w:rPr>
        <w:t>Máximo RO et al.  ·  Maturitas  ·  04.08.2026  ·  PMID 42570528</w:t>
      </w:r>
    </w:p>
    <w:p>
      <w:r>
        <w:t>2747 hochfunktionale ältere Erwachsene (Gehgeschwindigkeit &gt;0,8 oder &gt;1,0 m/s) der English Longitudinal Study of Ageing wurden 15 Jahre lang verfolgt; Mortalität nach Chair Stand Test und SPPB verglichen.</w:t>
      </w:r>
    </w:p>
    <w:p>
      <w:r>
        <w:rPr>
          <w:b/>
        </w:rPr>
        <w:t xml:space="preserve">Ergebnis: </w:t>
      </w:r>
      <w:r>
        <w:t>Mortalitätsraten: CST &gt;15 s: 41,4 pro 1000 Personenjahre vs. ≤15 s: 21,9. HR für CST &gt;15 s: 1,36 (95%-KI 1,13–1,62); für SPPB ≤10: HR 1,31 (95%-KI 1,12–1,54). Bei Gehgeschwindigkeit &gt;1,0 m/s: CST-HR 1,75 (95%-KI 1,30–2,36). CST ist einfacher anwendbar.</w:t>
      </w:r>
    </w:p>
    <w:p>
      <w:r>
        <w:rPr>
          <w:b/>
          <w:sz w:val="19"/>
        </w:rPr>
        <w:t xml:space="preserve">Übertragbarkeit: </w:t>
      </w:r>
      <w:r>
        <w:rPr>
          <w:sz w:val="19"/>
        </w:rPr>
        <w:t>England, vergleichbare Klinikpopulationen; schnelles, praktisches Test-Screening</w:t>
      </w:r>
    </w:p>
    <w:p>
      <w:r>
        <w:rPr>
          <w:color w:val="5A7D3A"/>
          <w:sz w:val="18"/>
        </w:rPr>
        <w:t>https://pubmed.ncbi.nlm.nih.gov/42570528/</w:t>
      </w:r>
    </w:p>
    <w:p>
      <w:pPr>
        <w:pStyle w:val="Heading2"/>
      </w:pPr>
      <w:r>
        <w:t>Renteneintritt und psychische Gesundheit: Kurzfristig besser, langfristig Erholung begrenzt</w:t>
      </w:r>
    </w:p>
    <w:p>
      <w:r>
        <w:rPr>
          <w:i/>
          <w:color w:val="666666"/>
          <w:sz w:val="18"/>
        </w:rPr>
        <w:t>Maddock J et al.  ·  Epidemiol Psychiatr Sci  ·  05.08.2026  ·  PMID 42552948</w:t>
      </w:r>
    </w:p>
    <w:p>
      <w:r>
        <w:t>Multilevel und instrumentale Variable Analyse bei 10698 Personen (48815 Beobachtungen) aus Survey of Health, Ageing and Retirement in Europe über 20 Jahre (10 Länder); Renteneintritt und Depressivität (EURO-D-Skala).</w:t>
      </w:r>
    </w:p>
    <w:p>
      <w:r>
        <w:rPr>
          <w:b/>
        </w:rPr>
        <w:t xml:space="preserve">Ergebnis: </w:t>
      </w:r>
      <w:r>
        <w:t>Spline-Modelle: minimal Veränderung vor Rente. Bei Renteneintritt leichte EURO-D-Reduktion (–0,07 Punkte/Jahr; 95%-KI –0,13 bis –0,0003), dann ab 2 Jahre post-Rente Anstieg (0,09/Jahr; 95%-KI 0,02–0,16). IV-Analyse: Rente assoziiert mit weniger Depressionssymptomen (–0,26; 95%-KI –0,45 bis –0,07). Alleinstehende berichteten höhere Depressivität, aber Wohnstatus moderierte Effekt nicht.</w:t>
      </w:r>
    </w:p>
    <w:p>
      <w:r>
        <w:rPr>
          <w:b/>
          <w:sz w:val="19"/>
        </w:rPr>
        <w:t xml:space="preserve">Übertragbarkeit: </w:t>
      </w:r>
      <w:r>
        <w:rPr>
          <w:sz w:val="19"/>
        </w:rPr>
        <w:t>10 europäische Länder, vergleichbare Rentensysteme; Evidenz für deutsche Sozialversicherung relevant</w:t>
      </w:r>
    </w:p>
    <w:p>
      <w:r>
        <w:rPr>
          <w:color w:val="5A7D3A"/>
          <w:sz w:val="18"/>
        </w:rPr>
        <w:t>https://pubmed.ncbi.nlm.nih.gov/42552948/</w:t>
      </w:r>
    </w:p>
    <w:p>
      <w:pPr>
        <w:pStyle w:val="Heading2"/>
      </w:pPr>
      <w:r>
        <w:t>Sexuelle Gesundheit älterer Menschen in Hausarztpraxen: Barrieren und Handlungsempfehlungen</w:t>
      </w:r>
    </w:p>
    <w:p>
      <w:r>
        <w:rPr>
          <w:i/>
          <w:color w:val="666666"/>
          <w:sz w:val="18"/>
        </w:rPr>
        <w:t>Kocurkova A et al.  ·  Age Ageing  ·  02.07.2026  ·  PMID 42506889</w:t>
      </w:r>
    </w:p>
    <w:p>
      <w:r>
        <w:t>Qualitative Studie (16 halbstrukturierte Interviews) mit NHS-Hausarztfachkräften in England zur Erfahrung bei Gesprächen über Sexualität mit älteren Patienten.</w:t>
      </w:r>
    </w:p>
    <w:p>
      <w:r>
        <w:rPr>
          <w:b/>
        </w:rPr>
        <w:t xml:space="preserve">Ergebnis: </w:t>
      </w:r>
      <w:r>
        <w:t>Drei Hauptthemen identifiziert: (1) Unbewusste Annahmen, Fachleute-Unbehagen und Zeitmangel begrenzen Diskussionen; (2) körperliche Symptome sind 'natürliche Öffner', Gespräche bleiben aber medizinisch-fokussiert; (3) minimale Nutzung von Leitlinien, stattdessen Intuition/Erfahrung. Fachkräfte fordern klare, prägnante, psychologisch informierte Werkzeuge und Training. Sexuelle Gesundheit wird nicht als Qualitätsaspekt im Alter normalisiert.</w:t>
      </w:r>
    </w:p>
    <w:p>
      <w:r>
        <w:rPr>
          <w:b/>
          <w:sz w:val="19"/>
        </w:rPr>
        <w:t xml:space="preserve">Übertragbarkeit: </w:t>
      </w:r>
      <w:r>
        <w:rPr>
          <w:sz w:val="19"/>
        </w:rPr>
        <w:t>England, NHS-Setting; Befunde zu Versorgungspraxen direkt übertragbar</w:t>
      </w:r>
    </w:p>
    <w:p>
      <w:r>
        <w:rPr>
          <w:color w:val="5A7D3A"/>
          <w:sz w:val="18"/>
        </w:rPr>
        <w:t>https://pubmed.ncbi.nlm.nih.gov/42506889/</w:t>
      </w:r>
    </w:p>
    <w:p>
      <w:pPr>
        <w:pStyle w:val="Heading1"/>
      </w:pPr>
      <w:r>
        <w:t>Aufgenommen am 26.08.2026</w:t>
      </w:r>
    </w:p>
    <w:p>
      <w:pPr>
        <w:pStyle w:val="Heading2"/>
      </w:pPr>
      <w:r>
        <w:t>Geriatrisches Assessment senkt Aufenthaltsdauer bei älteren Krankenhauspatienten</w:t>
      </w:r>
    </w:p>
    <w:p>
      <w:r>
        <w:rPr>
          <w:i/>
          <w:color w:val="666666"/>
          <w:sz w:val="18"/>
        </w:rPr>
        <w:t>Ahmed R et al.  ·  Ir Med J  ·  20.08.2026  ·  PMID 42640196</w:t>
      </w:r>
    </w:p>
    <w:p>
      <w:r>
        <w:t>Evaluierung eines neu eingeführten spezialistischen Geriatrie-Service mit Comprehensive Geriatric Assessment (CGA) in einem irischen Privatspital bei Patienten ab 75 Jahren.</w:t>
      </w:r>
    </w:p>
    <w:p>
      <w:r>
        <w:rPr>
          <w:b/>
        </w:rPr>
        <w:t xml:space="preserve">Ergebnis: </w:t>
      </w:r>
      <w:r>
        <w:t>84% der Patienten (42/50) wurden innerhalb von 48 Stunden geriatrisch untersucht (Median 29 Stunden). Multidisziplinäres Team-Engagement stieg von 45% auf 70%, Aufenthaltsdauer sank um 22% (von 8,7 auf 6,8 Tage), 66% wurden direkt nach Hause entlassen, 30-Tage-Wiederaufnahmen 10%.</w:t>
      </w:r>
    </w:p>
    <w:p>
      <w:r>
        <w:rPr>
          <w:b/>
          <w:sz w:val="19"/>
        </w:rPr>
        <w:t xml:space="preserve">Übertragbarkeit: </w:t>
      </w:r>
      <w:r>
        <w:rPr>
          <w:sz w:val="19"/>
        </w:rPr>
        <w:t>Irland, vergleichbare europäische Privatklinik-Strukturen, HSE-Qualitätsstandards</w:t>
      </w:r>
    </w:p>
    <w:p>
      <w:r>
        <w:rPr>
          <w:color w:val="5A7D3A"/>
          <w:sz w:val="18"/>
        </w:rPr>
        <w:t>https://pubmed.ncbi.nlm.nih.gov/42640196/</w:t>
      </w:r>
    </w:p>
    <w:p>
      <w:pPr>
        <w:pStyle w:val="Heading1"/>
      </w:pPr>
      <w:r>
        <w:t>Aufgenommen am 25.08.2026</w:t>
      </w:r>
    </w:p>
    <w:p>
      <w:pPr>
        <w:pStyle w:val="Heading2"/>
      </w:pPr>
      <w:r>
        <w:t>Langzeitverläufe der intrinsischen Kapazität vorhersagen Pflegeheimaufnahme und Mortalität</w:t>
      </w:r>
    </w:p>
    <w:p>
      <w:r>
        <w:rPr>
          <w:i/>
          <w:color w:val="666666"/>
          <w:sz w:val="18"/>
        </w:rPr>
        <w:t>Egbujie BA et al.  ·  Age Ageing  ·  03.08.2026  ·  PMID 42632919</w:t>
      </w:r>
    </w:p>
    <w:p>
      <w:r>
        <w:t>Kanadische Populationsstudie zu Längsmustern der intrinsischen Kapazität (Mobilität, Vitalität, Kognition, Psychisches, Sensorik) bei 302.467 Patienten häuslicher Pflege und Vorhersage von Outcomes.</w:t>
      </w:r>
    </w:p>
    <w:p>
      <w:r>
        <w:rPr>
          <w:b/>
        </w:rPr>
        <w:t xml:space="preserve">Ergebnis: </w:t>
      </w:r>
      <w:r>
        <w:t>Fünf distinkte Trajektorienmuster identifiziert; kognitive Beeinträchtigung war mit ungünstigen Trajectories assoziiert. Wichtig: Baseline-Kapazität allein war prognostisch unzureichend. Personen mit mäßiger Baseline-Kapazität zeigten höhere LTC-Einweisung als Personen mit niedriger Kapazität, die sich verbesserten (48,4 % vs. 38,1 %).</w:t>
      </w:r>
    </w:p>
    <w:p>
      <w:r>
        <w:rPr>
          <w:b/>
          <w:sz w:val="19"/>
        </w:rPr>
        <w:t xml:space="preserve">Übertragbarkeit: </w:t>
      </w:r>
      <w:r>
        <w:rPr>
          <w:sz w:val="19"/>
        </w:rPr>
        <w:t>Kanada, interRAI Home Care Routinedaten, Ansatz auf deutsches Assessment übertragbar.</w:t>
      </w:r>
    </w:p>
    <w:p>
      <w:r>
        <w:rPr>
          <w:color w:val="5A7D3A"/>
          <w:sz w:val="18"/>
        </w:rPr>
        <w:t>https://pubmed.ncbi.nlm.nih.gov/42632919/</w:t>
      </w:r>
    </w:p>
    <w:p>
      <w:pPr>
        <w:pStyle w:val="Heading2"/>
      </w:pPr>
      <w:r>
        <w:t>Gemeinsamer Gedächtnis- und Kognitionsverfall erhöht Risiko für Funktionsabhängigkeit im Alter</w:t>
      </w:r>
    </w:p>
    <w:p>
      <w:r>
        <w:rPr>
          <w:i/>
          <w:color w:val="666666"/>
          <w:sz w:val="18"/>
        </w:rPr>
        <w:t>Yin X et al.  ·  Alzheimers Dement  ·  Aug. 2026  ·  PMID 42630086</w:t>
      </w:r>
    </w:p>
    <w:p>
      <w:r>
        <w:t>Harmonisierte Längsschnittanalyse von vier Kohorten (China, USA, England, Europa) zur Vorhersage funktioneller Abhängigkeit durch gleichzeitige Veränderungen subjektiver und objektiver kognitiver Parameter.</w:t>
      </w:r>
    </w:p>
    <w:p>
      <w:r>
        <w:rPr>
          <w:b/>
        </w:rPr>
        <w:t xml:space="preserve">Ergebnis: </w:t>
      </w:r>
      <w:r>
        <w:t>Unter 62.329 Teilnehmern mit vollständiger Analyse war gleichzeitiger kognitiver Verfall am stärksten mit funktioneller Abhängigkeit assoziiert (Hazard Ratio 1,47; 95%-KI 1,38–1,57), stärker als einzelne Defizite (subjektiv-nur HR 1,22; objektiv-nur HR 1,12). In Konkurrenzrisiko-Analysen blieb der Zusammenhang robust (gepoolte HR 1,39; 95%-KI 1,27–1,51).</w:t>
      </w:r>
    </w:p>
    <w:p>
      <w:r>
        <w:rPr>
          <w:b/>
          <w:sz w:val="19"/>
        </w:rPr>
        <w:t xml:space="preserve">Übertragbarkeit: </w:t>
      </w:r>
      <w:r>
        <w:rPr>
          <w:sz w:val="19"/>
        </w:rPr>
        <w:t>Vier Kontinente, bevölkerungsrepräsentative Kohorten mit konsistenten Mustern.</w:t>
      </w:r>
    </w:p>
    <w:p>
      <w:r>
        <w:rPr>
          <w:color w:val="5A7D3A"/>
          <w:sz w:val="18"/>
        </w:rPr>
        <w:t>https://pubmed.ncbi.nlm.nih.gov/42630086/</w:t>
      </w:r>
    </w:p>
    <w:p>
      <w:pPr>
        <w:pStyle w:val="Heading1"/>
      </w:pPr>
      <w:r>
        <w:t>Aufgenommen am 24.08.2026</w:t>
      </w:r>
    </w:p>
    <w:p>
      <w:pPr>
        <w:pStyle w:val="Heading2"/>
      </w:pPr>
      <w:r>
        <w:t>Frailty-bedingte Nachfrage nach Gemeindeversorgung in England 2025–2040: Simulationen zeigen Potenzial von Frailty-Prävention, aber anhaltende Steigerung der Leistungsnutzung</w:t>
      </w:r>
    </w:p>
    <w:p>
      <w:r>
        <w:rPr>
          <w:i/>
          <w:color w:val="666666"/>
          <w:sz w:val="18"/>
        </w:rPr>
        <w:t>Walsh B et al.  ·  Age Ageing  ·  03.08.2026  ·  PMID 42632917</w:t>
      </w:r>
    </w:p>
    <w:p>
      <w:r>
        <w:t>Simulationsmodellierung auf englischen Routinedaten projiziert die Nachfrage nach psychosozialer Unterstützung, Gemeindegesundheit und Sozialhilfe für Menschen ≥50 Jahren mit Frailty bis 2040.</w:t>
      </w:r>
    </w:p>
    <w:p>
      <w:r>
        <w:rPr>
          <w:b/>
        </w:rPr>
        <w:t xml:space="preserve">Ergebnis: </w:t>
      </w:r>
      <w:r>
        <w:t>Mentale Gesundheit, Gemeindegesundheit und kommunale Sozialhilfe werden bis 2040 um 16 %, 30 % bzw. 30 % zunehmen. Senkung der Frailty-Inzidenz könnte zwischen 2025 und 2040 mentale Gesundheitskontakte um 1,4 Mio., Gemeindegesundheitskontakte um 10 Mio. und Sozialhilfefallanfragen um 400.000 reduzieren. Nachfrage wird trotz Prävention weiter wachsen, da bereits viele Menschen mit milder bis moderater Frailty leben.</w:t>
      </w:r>
    </w:p>
    <w:p>
      <w:r>
        <w:rPr>
          <w:b/>
          <w:sz w:val="19"/>
        </w:rPr>
        <w:t xml:space="preserve">Übertragbarkeit: </w:t>
      </w:r>
      <w:r>
        <w:rPr>
          <w:sz w:val="19"/>
        </w:rPr>
        <w:t>Englische NHS-Daten, die Ergebnisse sind für deutsches Gesundheitswesen gut übertragbar bezüglich Versorgungsplanung älter werdender Bevölkerung.</w:t>
      </w:r>
    </w:p>
    <w:p>
      <w:r>
        <w:rPr>
          <w:color w:val="5A7D3A"/>
          <w:sz w:val="18"/>
        </w:rPr>
        <w:t>https://pubmed.ncbi.nlm.nih.gov/42632917/</w:t>
      </w:r>
    </w:p>
    <w:p>
      <w:pPr>
        <w:pStyle w:val="Heading2"/>
      </w:pPr>
      <w:r>
        <w:t>Temporäre Mitarbeitende in der schwedischen Altenhilfe erschweren Kontinuität und belasten Stammpersonal: qualitative Managerstudie</w:t>
      </w:r>
    </w:p>
    <w:p>
      <w:r>
        <w:rPr>
          <w:i/>
          <w:color w:val="666666"/>
          <w:sz w:val="18"/>
        </w:rPr>
        <w:t>Lindmark T et al.  ·  BMC Health Serv Res  ·  29.07.2026  ·  PMID 42527915</w:t>
      </w:r>
    </w:p>
    <w:p>
      <w:r>
        <w:t>16 qualitative Interviews mit Managern auf vier Ebenen der schwedischen Altenhilfe (Heime, Ambulante Dienste, Administration) zu Chancen und Herausforderungen temporärer Beschäftigung.</w:t>
      </w:r>
    </w:p>
    <w:p>
      <w:r>
        <w:rPr>
          <w:b/>
        </w:rPr>
        <w:t xml:space="preserve">Ergebnis: </w:t>
      </w:r>
      <w:r>
        <w:t>Drei Themen: Balance zwischen Personaldeckung und Improvisation, Mangel an lokaler Kontrollierbarkeit der Rekrutierung, Spannung zwischen Flexibilität und Stabilität. Temporäre Mitarbeitende decken Lücken, erhöhen aber die Last auf Stammpersonal und erschweren Kontinuität. Erste-Linie-Manager fokussieren auf Tagesdeckung und Mitarbeiterschutz, höhere Manager auf Langzeitplanung. Zentrale Personalentscheidungen bevorzugen kurzfristige Deckung über Stabilität.</w:t>
      </w:r>
    </w:p>
    <w:p>
      <w:r>
        <w:rPr>
          <w:b/>
          <w:sz w:val="19"/>
        </w:rPr>
        <w:t xml:space="preserve">Übertragbarkeit: </w:t>
      </w:r>
      <w:r>
        <w:rPr>
          <w:sz w:val="19"/>
        </w:rPr>
        <w:t>Schweden, nordisches Sozialsystem mit öffentlicher Altenhilfe – Befunde zu Personalmanagement übertragbar auf Deutschland.</w:t>
      </w:r>
    </w:p>
    <w:p>
      <w:r>
        <w:rPr>
          <w:color w:val="5A7D3A"/>
          <w:sz w:val="18"/>
        </w:rPr>
        <w:t>https://pubmed.ncbi.nlm.nih.gov/42527915/</w:t>
      </w:r>
    </w:p>
    <w:p>
      <w:pPr>
        <w:pStyle w:val="Heading1"/>
      </w:pPr>
      <w:r>
        <w:t>Aufgenommen am 23.08.2026</w:t>
      </w:r>
    </w:p>
    <w:p>
      <w:pPr>
        <w:pStyle w:val="Heading2"/>
      </w:pPr>
      <w:r>
        <w:t>Psychosoziale und wirtschaftliche Faktoren gesunden Alterns in Europa: systematische Übersicht mit Syntheserahmen</w:t>
      </w:r>
    </w:p>
    <w:p>
      <w:r>
        <w:rPr>
          <w:i/>
          <w:color w:val="666666"/>
          <w:sz w:val="18"/>
        </w:rPr>
        <w:t>Wypych-Ślusarska A et al.  ·  Front Public Health  ·  06.08.2026  ·  PMID 42625570</w:t>
      </w:r>
    </w:p>
    <w:p>
      <w:r>
        <w:t>Systematische Übersicht europäischer Studien (2019-2024) zur Evidenz für psychosoziale und sozioökonomische Determinanten gesunden Alterns bei Älteren ≥65 Jahren in Europa.</w:t>
      </w:r>
    </w:p>
    <w:p>
      <w:r>
        <w:rPr>
          <w:b/>
        </w:rPr>
        <w:t xml:space="preserve">Ergebnis: </w:t>
      </w:r>
      <w:r>
        <w:t>Konsistente Evidenz für Schutzfunktion von sozialen Netzen, sozialer Integration und verminderter Einsamkeit für Gesundheit, Wohlbefinden und kognitive Funktionsfähigkeit. Autonomie und Unabhängigkeit traten als zentrale Elemente positiven Alterns hervor, ebenso Engagement in sozialen, physischen und beruflichen Aktivitäten. Literatur unterstreicht Bedarf für Public-Health-Politiken und Gemeindeumgebungen, die positives Altern durch integrierte physische, psychosoziale und soziale Strategien unterstützen. Die beiden übergeordneten Themenbereiche: psychosoziale und wirtschaftliche Determinanten, und soziale Programme/gemeindegestützte Interventionen.</w:t>
      </w:r>
    </w:p>
    <w:p>
      <w:r>
        <w:rPr>
          <w:b/>
          <w:sz w:val="19"/>
        </w:rPr>
        <w:t xml:space="preserve">Übertragbarkeit: </w:t>
      </w:r>
      <w:r>
        <w:rPr>
          <w:sz w:val="19"/>
        </w:rPr>
        <w:t>Europäische Studienbasis einschließlich Deutschland, vergleichbare Sozialversicherungssysteme</w:t>
      </w:r>
    </w:p>
    <w:p>
      <w:r>
        <w:rPr>
          <w:color w:val="5A7D3A"/>
          <w:sz w:val="18"/>
        </w:rPr>
        <w:t>https://pubmed.ncbi.nlm.nih.gov/42625570/</w:t>
      </w:r>
    </w:p>
    <w:p>
      <w:pPr>
        <w:pStyle w:val="Heading1"/>
      </w:pPr>
      <w:r>
        <w:t>Aufgenommen am 22.08.2026</w:t>
      </w:r>
    </w:p>
    <w:p>
      <w:pPr>
        <w:pStyle w:val="Heading2"/>
      </w:pPr>
      <w:r>
        <w:t>Körperliches Training reduziert kognitive Gebrechlichkeit zu 35 % über Stärkung der Selbstwirksamkeit</w:t>
      </w:r>
    </w:p>
    <w:p>
      <w:r>
        <w:rPr>
          <w:i/>
          <w:color w:val="666666"/>
          <w:sz w:val="18"/>
        </w:rPr>
        <w:t>Liang D et al.  ·  Front Public Health  ·  06.08.2026  ·  PMID 42625706</w:t>
      </w:r>
    </w:p>
    <w:p>
      <w:r>
        <w:t>Querschnittbefragung von 563 Gemeindemitbewohnern (≥60 J.) in Henan, China zu Zusammenhang zwischen körperlichem Training, Selbstwirksamkeit und kognitiver Gebrechlichkeit (Frailty + Kognition).</w:t>
      </w:r>
    </w:p>
    <w:p>
      <w:r>
        <w:rPr>
          <w:b/>
        </w:rPr>
        <w:t xml:space="preserve">Ergebnis: </w:t>
      </w:r>
      <w:r>
        <w:t>Prävalenz kognitive Gebrechlichkeit 21,3 %. Körperliches Training assoziiert mit weniger kognitiver Gebrechlichkeit; Selbstwirksamkeit mediiert 35,17 % dieses Effekts. Vollständiges Mediationsmodell unterstützt indirekten Weg über Selbstvertrauen.</w:t>
      </w:r>
    </w:p>
    <w:p>
      <w:r>
        <w:rPr>
          <w:b/>
          <w:sz w:val="19"/>
        </w:rPr>
        <w:t xml:space="preserve">Übertragbarkeit: </w:t>
      </w:r>
      <w:r>
        <w:rPr>
          <w:sz w:val="19"/>
        </w:rPr>
        <w:t>China-Studie mit großer Stichprobe, aber kulturelle und Gesundheitssystem-Unterschiede beachten – Mechanismus (Selbstwirksamkeit) transnational relevant.</w:t>
      </w:r>
    </w:p>
    <w:p>
      <w:r>
        <w:rPr>
          <w:color w:val="5A7D3A"/>
          <w:sz w:val="18"/>
        </w:rPr>
        <w:t>https://pubmed.ncbi.nlm.nih.gov/42625706/</w:t>
      </w:r>
    </w:p>
    <w:p>
      <w:pPr>
        <w:pStyle w:val="Heading2"/>
      </w:pPr>
      <w:r>
        <w:t>Loneliness and social isolation verringern die verbleibenden gesunden Lebensjahre deutlicher als physische Erkrankungen</w:t>
      </w:r>
    </w:p>
    <w:p>
      <w:r>
        <w:rPr>
          <w:i/>
          <w:color w:val="666666"/>
          <w:sz w:val="18"/>
        </w:rPr>
        <w:t>Wang X et al.  ·  Nat Commun  ·  20.08.2026  ·  PMID 42624836</w:t>
      </w:r>
    </w:p>
    <w:p>
      <w:r>
        <w:t>Querschnittanalyse von 277.489 britischen Erwachsenen ohne Erkrankungen zum Zusammenhang zwischen Einsamkeit, sozialer Isolation und der Lebensdauer frei von Krankheit.</w:t>
      </w:r>
    </w:p>
    <w:p>
      <w:r>
        <w:rPr>
          <w:b/>
        </w:rPr>
        <w:t xml:space="preserve">Ergebnis: </w:t>
      </w:r>
      <w:r>
        <w:t>Frauen mit Einsamkeit und sozialer Isolation verlieren 2,4 Jahre physisch krankheitsfrei und 3,7 Jahre mental krankheitsfrei; Männer verlieren 1,7 bzw. 5,8 Jahre. Soziale Isolation lässt sich durch gesunde Lebensstile teilweise ausgleichen (signifikant), nicht aber Einsamkeit.</w:t>
      </w:r>
    </w:p>
    <w:p>
      <w:r>
        <w:rPr>
          <w:b/>
          <w:sz w:val="19"/>
        </w:rPr>
        <w:t xml:space="preserve">Übertragbarkeit: </w:t>
      </w:r>
      <w:r>
        <w:rPr>
          <w:sz w:val="19"/>
        </w:rPr>
        <w:t>UK Biobank, vergleichbare Altersstruktur und Sozialversicherung; übertragbar auf deutsche Verhältnisse.</w:t>
      </w:r>
    </w:p>
    <w:p>
      <w:r>
        <w:rPr>
          <w:color w:val="5A7D3A"/>
          <w:sz w:val="18"/>
        </w:rPr>
        <w:t>https://pubmed.ncbi.nlm.nih.gov/42624836/</w:t>
      </w:r>
    </w:p>
    <w:p>
      <w:pPr>
        <w:pStyle w:val="Heading1"/>
      </w:pPr>
      <w:r>
        <w:t>Aufgenommen am 21.08.2026</w:t>
      </w:r>
    </w:p>
    <w:p>
      <w:pPr>
        <w:pStyle w:val="Heading2"/>
      </w:pPr>
      <w:r>
        <w:t>Heimgestützte multikomponenten Intervention bei Frailty und Prefrailty in älteren Krebsüberlebenden: Pilotuntersuchung</w:t>
      </w:r>
    </w:p>
    <w:p>
      <w:r>
        <w:rPr>
          <w:i/>
          <w:color w:val="666666"/>
          <w:sz w:val="18"/>
        </w:rPr>
        <w:t>Drevet S et al.  ·  Age Ageing  ·  03.08.2026  ·  PMID 42621847</w:t>
      </w:r>
    </w:p>
    <w:p>
      <w:r>
        <w:t>Quasi-experimentelle Vorher-Nachher-Studie (6 Monate) mit 110 Patienten ≥70 Jahren in Remission (Fried-Kriterien erfüllt). Intervention: betreute Übungen + Ernährungsunterstützung. Primärer Endpunkt: Anteil mit Frailty-/Prefrailty-Verbesserung von Baseline (M0) zu M6.</w:t>
      </w:r>
    </w:p>
    <w:p>
      <w:r>
        <w:rPr>
          <w:b/>
        </w:rPr>
        <w:t xml:space="preserve">Ergebnis: </w:t>
      </w:r>
      <w:r>
        <w:t>81 von 110 Teilnehmern vollendeten die Intervention. Baseline: 45% frail, 0% robust. Bei M6: 62% verbesserten ihren Frailty-Status; 78% der Frail zeigten Besserung, 51% der Prefrail wurden robust. Frailty-Schweregrad sank bei 74% der Teilnehmer. Vitamin-D zeigte Gruppen×Zeit-Interaktion; unterschiedliche Frailty-Trajektorien je nach Vitamin-D-Status. Funktionelle und physische Maße bei Baseline assoziiert mit Frailty (p&lt;0,05), nicht aber Tumor-Charakteristika.</w:t>
      </w:r>
    </w:p>
    <w:p>
      <w:r>
        <w:rPr>
          <w:b/>
          <w:sz w:val="19"/>
        </w:rPr>
        <w:t xml:space="preserve">Übertragbarkeit: </w:t>
      </w:r>
      <w:r>
        <w:rPr>
          <w:sz w:val="19"/>
        </w:rPr>
        <w:t>Frankreich, geriatrische Rehab in Praxis; multikomponenten Ansatz auch auf deutsches Versorgungssystem übertragbar</w:t>
      </w:r>
    </w:p>
    <w:p>
      <w:r>
        <w:rPr>
          <w:color w:val="5A7D3A"/>
          <w:sz w:val="18"/>
        </w:rPr>
        <w:t>https://pubmed.ncbi.nlm.nih.gov/42621847/</w:t>
      </w:r>
    </w:p>
    <w:p>
      <w:pPr>
        <w:pStyle w:val="Heading2"/>
      </w:pPr>
      <w:r>
        <w:t>Verankering älterer Menschen in globalen Klimaanpassungsplänen: Analyse von 204 Ländern</w:t>
      </w:r>
    </w:p>
    <w:p>
      <w:r>
        <w:rPr>
          <w:i/>
          <w:color w:val="666666"/>
          <w:sz w:val="18"/>
        </w:rPr>
        <w:t>Katz GM et al.  ·  Lancet Healthy Longev  ·  12.08.2026  ·  PMID 42586104</w:t>
      </w:r>
    </w:p>
    <w:p>
      <w:r>
        <w:t>Dokumentenanalyse von 204 Nationalstaaten zu Berücksichtigung älterer Menschen (≥65 Jahre) in Klimaanpassungsplänen. Identifiziert 16 Adaptationsthemen (Temperaturschutz, Partizipation, Katastrophenvorsorge, etc.) und deren Häufigkeit in nationalen Strategien.</w:t>
      </w:r>
    </w:p>
    <w:p>
      <w:r>
        <w:rPr>
          <w:b/>
        </w:rPr>
        <w:t xml:space="preserve">Ergebnis: </w:t>
      </w:r>
      <w:r>
        <w:t>125 Länder (61,3%) integrieren 1–5 Themen, 2 Länder (1,0%) sechs bis zehn, 1 Land (0,5%) ≥11 Themen, 77 Länder (37,7%) keine Themen. Häufigste Themen: extreme Hitze, Partizipation Älterer, Katastrophenprävention. Nur 47 Länder (23%) beschreiben konkrete Maßnahmen, Programme oder Finanzierungszusagen für ältere Menschen. Befund: erhebliche Lücken in der Berücksichtigung älterter Menschen in Klimapolitik.</w:t>
      </w:r>
    </w:p>
    <w:p>
      <w:r>
        <w:rPr>
          <w:b/>
          <w:sz w:val="19"/>
        </w:rPr>
        <w:t xml:space="preserve">Übertragbarkeit: </w:t>
      </w:r>
      <w:r>
        <w:rPr>
          <w:sz w:val="19"/>
        </w:rPr>
        <w:t>Globale Perspektive, Deutschland in Stichprobe enthalten, zeigt Governance-Gap bei Umwelt und Gerontologie</w:t>
      </w:r>
    </w:p>
    <w:p>
      <w:r>
        <w:rPr>
          <w:color w:val="5A7D3A"/>
          <w:sz w:val="18"/>
        </w:rPr>
        <w:t>https://pubmed.ncbi.nlm.nih.gov/42586104/</w:t>
      </w:r>
    </w:p>
    <w:p>
      <w:pPr>
        <w:pStyle w:val="Heading1"/>
      </w:pPr>
      <w:r>
        <w:t>Aufgenommen am 20.08.2026</w:t>
      </w:r>
    </w:p>
    <w:p>
      <w:pPr>
        <w:pStyle w:val="Heading2"/>
      </w:pPr>
      <w:r>
        <w:t>Konzept des gesunden Alterns in Norwegen: Qualitative Analyse von Perspektiven älterer Menschen, Fachkräfte und Entscheidungsträger</w:t>
      </w:r>
    </w:p>
    <w:p>
      <w:r>
        <w:rPr>
          <w:i/>
          <w:color w:val="666666"/>
          <w:sz w:val="18"/>
        </w:rPr>
        <w:t>Bikova M et al.  ·  BMC Health Serv Res  ·  14.08.2026  ·  PMID 42613606</w:t>
      </w:r>
    </w:p>
    <w:p>
      <w:r>
        <w:t>Qualitative Studie mit 23 semi-strukturierten Interviews (ältere Menschen, Fachkräfte, Entscheidungsträger) zur Interpretation des UN-Jahrzehnts des gesunden Alterns in einer norwegischen Kommune.</w:t>
      </w:r>
    </w:p>
    <w:p>
      <w:r>
        <w:rPr>
          <w:b/>
        </w:rPr>
        <w:t xml:space="preserve">Ergebnis: </w:t>
      </w:r>
      <w:r>
        <w:t>Drei zentrale Themen: Strategien zur Bewältigung, gemischte Alterswahrnehmungen, Gesundheitsdienste. Ergebnis: Altern wird als kollektive Verantwortung betont, aber zunehmend Älteren selbst übertragen; Digitalisierung ist Barriere für vulnerable Gruppen; kommunale Dienste werden als qualitativ hochwertig, aber ressourcengeprägt wahrgenommen. Schnelle Digitalisierung und Individualisierung verschärfen Ungleichheiten.</w:t>
      </w:r>
    </w:p>
    <w:p>
      <w:r>
        <w:rPr>
          <w:b/>
          <w:sz w:val="19"/>
        </w:rPr>
        <w:t xml:space="preserve">Übertragbarkeit: </w:t>
      </w:r>
      <w:r>
        <w:rPr>
          <w:sz w:val="19"/>
        </w:rPr>
        <w:t>Norwegen, skandinavisches Wohlfahrtssystem; Befunde zu Digitalisierungsbarrieren und Equity-Risiken übertragbar auf vergleichbare europäische Kontexte.</w:t>
      </w:r>
    </w:p>
    <w:p>
      <w:r>
        <w:rPr>
          <w:color w:val="5A7D3A"/>
          <w:sz w:val="18"/>
        </w:rPr>
        <w:t>https://pubmed.ncbi.nlm.nih.gov/42613606/</w:t>
      </w:r>
    </w:p>
    <w:p>
      <w:pPr>
        <w:pStyle w:val="Heading2"/>
      </w:pPr>
      <w:r>
        <w:t>Funktionale Performance im WHO-ICOPE-Rahmen: Brasilien und Europa zeigen zehn Jahre Unterschied in Funktionsverlust</w:t>
      </w:r>
    </w:p>
    <w:p>
      <w:r>
        <w:rPr>
          <w:i/>
          <w:color w:val="666666"/>
          <w:sz w:val="18"/>
        </w:rPr>
        <w:t>Oliveira VR et al.  ·  PLoS One  ·  05.08.2026  ·  PMID 42555548</w:t>
      </w:r>
    </w:p>
    <w:p>
      <w:r>
        <w:t>Vergleich von Determinanten der Funktionsfähigkeit (BADL/IADL) anhand von ELSI-Brasil (n=4825) und SHARE (n=25978) mit Analyse intrinsischer Kapazitätsdimensionen nach WHO-ICOPE-Modell.</w:t>
      </w:r>
    </w:p>
    <w:p>
      <w:r>
        <w:rPr>
          <w:b/>
        </w:rPr>
        <w:t xml:space="preserve">Ergebnis: </w:t>
      </w:r>
      <w:r>
        <w:t>Funktioneller Rückgang beginnt in Brasilien eine Dekade früher als in Europa. Risikomuster differieren: Mobilität–Handkraft schützender in Europa, Gehgeschwindigkeit Risikofaktor nur in Brasilien (OR 1,16); Depression höheres Risiko in Europa (OR 1,67–1,71) vs. Brasilien (OR 1,26–1,53); schlechte Selbsteinschätzung der Gesundheit stärkerer BADL-Risikofaktor in Brasilien (OR 2,72 vs. 2,07).</w:t>
      </w:r>
    </w:p>
    <w:p>
      <w:r>
        <w:rPr>
          <w:b/>
          <w:sz w:val="19"/>
        </w:rPr>
        <w:t xml:space="preserve">Übertragbarkeit: </w:t>
      </w:r>
      <w:r>
        <w:rPr>
          <w:sz w:val="19"/>
        </w:rPr>
        <w:t>Brasilien und Europa (SHARE), unterschiedliche Sozioökonomie; Befund zeigt kontextabhängige Risikofaktoren; ICOPE-Strategien müssen sozioökonomischen Unterschieden Rechnung tragen.</w:t>
      </w:r>
    </w:p>
    <w:p>
      <w:r>
        <w:rPr>
          <w:color w:val="5A7D3A"/>
          <w:sz w:val="18"/>
        </w:rPr>
        <w:t>https://pubmed.ncbi.nlm.nih.gov/42555548/</w:t>
      </w:r>
    </w:p>
    <w:p>
      <w:pPr>
        <w:pStyle w:val="Heading1"/>
      </w:pPr>
      <w:r>
        <w:t>Aufgenommen am 19.08.2026</w:t>
      </w:r>
    </w:p>
    <w:p>
      <w:pPr>
        <w:pStyle w:val="Heading2"/>
      </w:pPr>
      <w:r>
        <w:t>Frailty und kognitive Beeinträchtigung: Prospektive Assoziationen in fünf multinationalen Kohorten mit gepoolten Hazard Ratios</w:t>
      </w:r>
    </w:p>
    <w:p>
      <w:r>
        <w:rPr>
          <w:i/>
          <w:color w:val="666666"/>
          <w:sz w:val="18"/>
        </w:rPr>
        <w:t>Peng L et al.  ·  BMC Public Health  ·  25.07.2026  ·  PMID 42595986</w:t>
      </w:r>
    </w:p>
    <w:p>
      <w:r>
        <w:t>Länderübergreifende Metaanalyse von fünf Longitudinal-Kohorten (USA, England, Europa, China, Korea) mit insgesamt 47429 Teilnehmern zur Assoziation zwischen Baseline-Frailty-Status und kognitiver Beeinträchtigung sowie Frailty-Trajektorien und kognitiven Outcomes über 4–10 Jahre.</w:t>
      </w:r>
    </w:p>
    <w:p>
      <w:r>
        <w:rPr>
          <w:b/>
        </w:rPr>
        <w:t xml:space="preserve">Ergebnis: </w:t>
      </w:r>
      <w:r>
        <w:t>Pre-Frailty: gepoolte adjustierte HR 1,25 (95% CI 1,18–1,33) für kognitive Beeinträchtigung; Frailty: HR 1,69 (95% CI 1,50–1,90). Frailty-Trajektorien waren signifikant mit kognitiven Outcomes assoziiert (höhere Trajektorie: OR 1,45–4,37 für kognitive Beeinträchtigung; niedrigere: OR 0,46–0,72 protektiv). Befunde konsistent über alle Kohorten.</w:t>
      </w:r>
    </w:p>
    <w:p>
      <w:r>
        <w:rPr>
          <w:b/>
          <w:sz w:val="19"/>
        </w:rPr>
        <w:t xml:space="preserve">Übertragbarkeit: </w:t>
      </w:r>
      <w:r>
        <w:rPr>
          <w:sz w:val="19"/>
        </w:rPr>
        <w:t>HRS, ELSA, SHARE, CHARLS, KLoSA – europäische und non-europäische Daten, jedoch nur weil robust repliziert</w:t>
      </w:r>
    </w:p>
    <w:p>
      <w:r>
        <w:rPr>
          <w:color w:val="5A7D3A"/>
          <w:sz w:val="18"/>
        </w:rPr>
        <w:t>https://pubmed.ncbi.nlm.nih.gov/42595986/</w:t>
      </w:r>
    </w:p>
    <w:p>
      <w:pPr>
        <w:pStyle w:val="Heading2"/>
      </w:pPr>
      <w:r>
        <w:t>Akutgeriatrische Versorgungsmodelle in Dänemark: Nationale Bestandsaufnahme und Variabilität der Assessment-Praktiken</w:t>
      </w:r>
    </w:p>
    <w:p>
      <w:r>
        <w:rPr>
          <w:i/>
          <w:color w:val="666666"/>
          <w:sz w:val="18"/>
        </w:rPr>
        <w:t>Brockhattingen KK et al.  ·  Dan Med J  ·  02.07.2026  ·  PMID 42563704</w:t>
      </w:r>
    </w:p>
    <w:p>
      <w:r>
        <w:t>Nationale Querschnittsbefragung aller 20 Krankenhaus-Geriatriestationen in Dänemark zur Struktur, Teamzusammensetzung und Assessment-Funktionen in akutgeriatrischen Modellen für Patienten ≥65 Jahre mit akuter medizinischer Erkrankung.</w:t>
      </w:r>
    </w:p>
    <w:p>
      <w:r>
        <w:rPr>
          <w:b/>
        </w:rPr>
        <w:t xml:space="preserve">Ergebnis: </w:t>
      </w:r>
      <w:r>
        <w:t>Zwölf von 20 Stationen (60%) melden aktive akutgeriatrische Funktionen. Alle 12 führen diagnostische Bewertung, patientenzentrierte Evaluation und Basis-Assessments durch. Andere Elemente variabel: EKG (n=4–10/12), Ultraschall, Frailty-Assessment, interdisziplinäre Review, Koordination mit Community-Care (4–10/12). Erkenntnis: Große Variation in Struktur und Inhalten trotz Flächendeckung.</w:t>
      </w:r>
    </w:p>
    <w:p>
      <w:r>
        <w:rPr>
          <w:b/>
          <w:sz w:val="19"/>
        </w:rPr>
        <w:t xml:space="preserve">Übertragbarkeit: </w:t>
      </w:r>
      <w:r>
        <w:rPr>
          <w:sz w:val="19"/>
        </w:rPr>
        <w:t>Dänemark, europäisches Gesundheitssystem, vergleichbar mit deutschem Modell</w:t>
      </w:r>
    </w:p>
    <w:p>
      <w:r>
        <w:rPr>
          <w:color w:val="5A7D3A"/>
          <w:sz w:val="18"/>
        </w:rPr>
        <w:t>https://pubmed.ncbi.nlm.nih.gov/42563704/</w:t>
      </w:r>
    </w:p>
    <w:p>
      <w:pPr>
        <w:pStyle w:val="Heading1"/>
      </w:pPr>
      <w:r>
        <w:t>Aufgenommen am 18.08.2026</w:t>
      </w:r>
    </w:p>
    <w:p>
      <w:pPr>
        <w:pStyle w:val="Heading2"/>
      </w:pPr>
      <w:r>
        <w:t>Frailty-Verteilung und Sterblichkeit in Europa: Ländervergleich zeigt höchste Last in USA und Südosteuropa</w:t>
      </w:r>
    </w:p>
    <w:p>
      <w:r>
        <w:rPr>
          <w:i/>
          <w:color w:val="666666"/>
          <w:sz w:val="18"/>
        </w:rPr>
        <w:t>Drijver-Headley S et al.  ·  Age Ageing  ·  03.08.2026  ·  PMID 42607277</w:t>
      </w:r>
    </w:p>
    <w:p>
      <w:r>
        <w:t>Vergleichende Analyse von Frailty-Indizes, Sterblichkeit und Frailty-Progression in 17 Ländern mit unterschiedlichen Gesundheitssystemen.</w:t>
      </w:r>
    </w:p>
    <w:p>
      <w:r>
        <w:rPr>
          <w:b/>
        </w:rPr>
        <w:t xml:space="preserve">Ergebnis: </w:t>
      </w:r>
      <w:r>
        <w:t>In der USA, Mexiko und Südosteuropa war Gebrechlichkeit am höchsten, in Nord- und Zentraleuropa am niedrigsten; Sterblichkeit und Defizitakkumulation differierten erheblich zwischen Ländern, mit höchsten Werten in Mexiko. Meta-analytische Methoden zeigen, dass Frailty-Unterschiede zwischen Ländern wesentlich mit lokalen Einkommens- und Versorgungsstrukturen assoziiert sind.</w:t>
      </w:r>
    </w:p>
    <w:p>
      <w:r>
        <w:rPr>
          <w:b/>
          <w:sz w:val="19"/>
        </w:rPr>
        <w:t xml:space="preserve">Übertragbarkeit: </w:t>
      </w:r>
      <w:r>
        <w:rPr>
          <w:sz w:val="19"/>
        </w:rPr>
        <w:t>SHARE und ELSA (Europa) direkt vergleichbar; USA/Mexiko zeigen Effekte unterschiedlicher Finanzierung und sozialer Ungleichheit.</w:t>
      </w:r>
    </w:p>
    <w:p>
      <w:r>
        <w:rPr>
          <w:color w:val="5A7D3A"/>
          <w:sz w:val="18"/>
        </w:rPr>
        <w:t>https://pubmed.ncbi.nlm.nih.gov/42607277/</w:t>
      </w:r>
    </w:p>
    <w:p>
      <w:pPr>
        <w:pStyle w:val="Heading2"/>
      </w:pPr>
      <w:r>
        <w:t>Funktionelles Altern und Vermögensungleichheit: England und Kanada zeigen unterschiedliche Ungleichheitsgradienten</w:t>
      </w:r>
    </w:p>
    <w:p>
      <w:r>
        <w:rPr>
          <w:i/>
          <w:color w:val="666666"/>
          <w:sz w:val="18"/>
        </w:rPr>
        <w:t>Schrempft S et al.  ·  PLoS Med  ·  13.08.2026  ·  PMID 42594078</w:t>
      </w:r>
    </w:p>
    <w:p>
      <w:r>
        <w:t>Längsschnittstudie der Assoziation zwischen Vermögen und körperlicher Funktionsfähigkeit (Ganggeschwindigkeit, Griffstärke, Mobilitätseinschränkungen, ADL/IADL) in England und Kanada über 10 Jahre.</w:t>
      </w:r>
    </w:p>
    <w:p>
      <w:r>
        <w:rPr>
          <w:b/>
        </w:rPr>
        <w:t xml:space="preserve">Ergebnis: </w:t>
      </w:r>
      <w:r>
        <w:t>Bei weniger Vermögen: 15 Jahre Funktionsverlust bei Ganggeschwindigkeit in England vs. 9 Jahre in Kanada; 20 Jahre Funktionsverlust bei ADL-Schwierigkeiten in England vs. 9 Jahre in Kanada. Vermögensungleichheiten in der Funktionsfähigkeit waren größer in England trotz ähnlicher Gesundheitssysteme, bleiben nach Anpassung für Komorbiditäten bestehen.</w:t>
      </w:r>
    </w:p>
    <w:p>
      <w:r>
        <w:rPr>
          <w:b/>
          <w:sz w:val="19"/>
        </w:rPr>
        <w:t xml:space="preserve">Übertragbarkeit: </w:t>
      </w:r>
      <w:r>
        <w:rPr>
          <w:sz w:val="19"/>
        </w:rPr>
        <w:t>England und Kanada – beide gemäßigte Einkommen und ähnliche Sozialversicherung; Unterschied verdeutlicht Bedeutung von Vermögen neben Systemfinanzierung.</w:t>
      </w:r>
    </w:p>
    <w:p>
      <w:r>
        <w:rPr>
          <w:color w:val="5A7D3A"/>
          <w:sz w:val="18"/>
        </w:rPr>
        <w:t>https://pubmed.ncbi.nlm.nih.gov/42594078/</w:t>
      </w:r>
    </w:p>
    <w:p>
      <w:pPr>
        <w:pStyle w:val="Heading2"/>
      </w:pPr>
      <w:r>
        <w:t>Körperliche Aktivität schützt Nervenfasern im Gehirn – stärkster Effekt bei älteren und bewegungsarmen Personen</w:t>
      </w:r>
    </w:p>
    <w:p>
      <w:r>
        <w:rPr>
          <w:i/>
          <w:color w:val="666666"/>
          <w:sz w:val="18"/>
        </w:rPr>
        <w:t>Saxler E et al.  ·  Aging Cell  ·  Aug. 2026  ·  PMID 42568043</w:t>
      </w:r>
    </w:p>
    <w:p>
      <w:r>
        <w:t>Querschnittsstudie von 4.188 Teilnehmern (mittleres Alter 55,4 Jahre) der Rhineland-Studie zur Assoziation zwischen Beschleunigungsmesser-gemessener körperlicher Aktivität und Mikrostruktur weißer Substanz (Diffusions-MRT) mit Vermittlung durch Körpergewicht und kardiometabolische Faktoren.</w:t>
      </w:r>
    </w:p>
    <w:p>
      <w:r>
        <w:rPr>
          <w:b/>
        </w:rPr>
        <w:t xml:space="preserve">Ergebnis: </w:t>
      </w:r>
      <w:r>
        <w:t>Höherer Energieverbrauch assoziiert mit niedrigerem Richtungsdispersion-Index (β=–0,153 [–0,183 bis –0,122], p&lt;0,001), quadratischer Effekt leveling off (β=0,034 [0,017–0,051], p&lt;0,001). Mit zunehmendem Alter: körperliche Aktivität stärker mit höherer Neuritendichte und niedriger mittlerer Diffusivität assoziiert; Effekt am größten bei älteren und sedentären Personen, vermittelt durch Körpergewicht, kardiometabolische und entzündliche Faktoren.</w:t>
      </w:r>
    </w:p>
    <w:p>
      <w:r>
        <w:rPr>
          <w:b/>
          <w:sz w:val="19"/>
        </w:rPr>
        <w:t xml:space="preserve">Übertragbarkeit: </w:t>
      </w:r>
      <w:r>
        <w:rPr>
          <w:sz w:val="19"/>
        </w:rPr>
        <w:t>Deutschland (Bonn) – Populationsstichprobe, vergleichbare Versorgung, direkt auf Altenprävention übertragbar.</w:t>
      </w:r>
    </w:p>
    <w:p>
      <w:r>
        <w:rPr>
          <w:color w:val="5A7D3A"/>
          <w:sz w:val="18"/>
        </w:rPr>
        <w:t>https://pubmed.ncbi.nlm.nih.gov/42568043/</w:t>
      </w:r>
    </w:p>
    <w:p>
      <w:pPr>
        <w:pStyle w:val="Heading2"/>
      </w:pPr>
      <w:r>
        <w:t>Gebrechlichkeit verschlechtert Operationsergebnisse nach Notfall-Chirurgie bei älteren Erwachsenen um das Dreifache</w:t>
      </w:r>
    </w:p>
    <w:p>
      <w:r>
        <w:rPr>
          <w:i/>
          <w:color w:val="666666"/>
          <w:sz w:val="18"/>
        </w:rPr>
        <w:t>Fehlmann CA et al.  ·  Swiss Med Wkly  ·  26.06.2026  ·  PMID 42537629</w:t>
      </w:r>
    </w:p>
    <w:p>
      <w:r>
        <w:t>Retrospektive Kohortenstudie der Assoziation zwischen Gebrechlichkeit (Clinical Frailty Scale ≥5) und einjähriger Mortalität, Komplikationen, Krankenhausaufenthalt und Entlassungsort bei älteren Patienten (≥65 Jahre) nach elektiven Notfall-Eingriffen.</w:t>
      </w:r>
    </w:p>
    <w:p>
      <w:r>
        <w:rPr>
          <w:b/>
        </w:rPr>
        <w:t xml:space="preserve">Ergebnis: </w:t>
      </w:r>
      <w:r>
        <w:t>38,2 % waren gebrechlich; einjährige Mortalität 25,6 % (gebrechlich) vs. 6,6 % (nicht gebrechlich), adjustierte OR 3,0 [95%-KI 1,7–5,1]; Komplikationen OR 2,3 [1,5–3,6]; Krankenhausaufenthalt +46,4 % [26,8–69,0 %]; Entlassung nicht nach Hause OR 2,1 [1,4–3,2]. Frailty ist ein starker unabhängiger Risikofaktor für schlechte Ergebnisse.</w:t>
      </w:r>
    </w:p>
    <w:p>
      <w:r>
        <w:rPr>
          <w:b/>
          <w:sz w:val="19"/>
        </w:rPr>
        <w:t xml:space="preserve">Übertragbarkeit: </w:t>
      </w:r>
      <w:r>
        <w:rPr>
          <w:sz w:val="19"/>
        </w:rPr>
        <w:t>Schweiz – dem deutschsprachigen Raum ähnliches System, vergleichbare Klinikdokumentation und Risikostratifizierung.</w:t>
      </w:r>
    </w:p>
    <w:p>
      <w:r>
        <w:rPr>
          <w:color w:val="5A7D3A"/>
          <w:sz w:val="18"/>
        </w:rPr>
        <w:t>https://pubmed.ncbi.nlm.nih.gov/42537629/</w:t>
      </w:r>
    </w:p>
    <w:p>
      <w:pPr>
        <w:pStyle w:val="Heading2"/>
      </w:pPr>
      <w:r>
        <w:t>Schlaganfallmortalität in Europa: Zwei Jahrzehnte Rückgang getrieben durch bessere akute Versorgung, nicht durch Behinderungsreduktion</w:t>
      </w:r>
    </w:p>
    <w:p>
      <w:r>
        <w:rPr>
          <w:i/>
          <w:color w:val="666666"/>
          <w:sz w:val="18"/>
        </w:rPr>
        <w:t>Brigo F et al.  ·  Eur Stroke J  ·  06.07.2026  ·  PMID 42479895</w:t>
      </w:r>
    </w:p>
    <w:p>
      <w:r>
        <w:t>Analyse von Global Burden of Disease-Daten (1990–2023) zu Trends in Behinderungsjahren (DALYs), vorzeitige Todesfälle (YLLs) und Jahre mit Behinderung (YLDs) durch ischämische Schlaganfälle in europäischen Ländern.</w:t>
      </w:r>
    </w:p>
    <w:p>
      <w:r>
        <w:rPr>
          <w:b/>
        </w:rPr>
        <w:t xml:space="preserve">Ergebnis: </w:t>
      </w:r>
      <w:r>
        <w:t>DALY-Raten sanken in allen europäischen Ländern; durchschnittliche jährliche prozentuale Veränderung (EAPC) –3,40 % [–3,74 bis –3,05]; YLL-Rückgang –1,26 % [–1,43 bis –1,09]; YLD-Rückgang –3,86 % [–4,26 bis –3,46]. Rückgang der vorzeitigen Mortalität war Haupttreiber; YLD-Fortschritt blieb heterogen und geringer, regionale Unterschiede in Zentral-/Westeuropa vs. Ost-/Südosteuropa.</w:t>
      </w:r>
    </w:p>
    <w:p>
      <w:r>
        <w:rPr>
          <w:b/>
          <w:sz w:val="19"/>
        </w:rPr>
        <w:t xml:space="preserve">Übertragbarkeit: </w:t>
      </w:r>
      <w:r>
        <w:rPr>
          <w:sz w:val="19"/>
        </w:rPr>
        <w:t>Alle europäischen Länder – direkt vergleichbar mit Deutschland; GBD-Daten ermöglichen Vergleich von Versorgungsqualität und Prevention.</w:t>
      </w:r>
    </w:p>
    <w:p>
      <w:r>
        <w:rPr>
          <w:color w:val="5A7D3A"/>
          <w:sz w:val="18"/>
        </w:rPr>
        <w:t>https://pubmed.ncbi.nlm.nih.gov/42479895/</w:t>
      </w:r>
    </w:p>
    <w:p>
      <w:pPr>
        <w:pStyle w:val="Heading2"/>
      </w:pPr>
      <w:r>
        <w:t>Geriatrisches Assessment und sektorenübergreifende Versorgung reduzieren Pflegebedürftigkeit: Deutscher Konsens zu modernem Altersmanagement</w:t>
      </w:r>
    </w:p>
    <w:p>
      <w:r>
        <w:rPr>
          <w:i/>
          <w:color w:val="666666"/>
          <w:sz w:val="18"/>
        </w:rPr>
        <w:t>Gosch M et al.  ·  Z Gerontol Geriatr  ·  21.07.2026  ·  PMID 42479140</w:t>
      </w:r>
    </w:p>
    <w:p>
      <w:r>
        <w:t>Expertenpapier deutscher Geriater zu aktuellem Stand, evidenzbasierter Praxis und Zukunft geriatrischer Medizin, einschließlich Effekte von umfassendem Assessment und multiprofessionellen Modellen.</w:t>
      </w:r>
    </w:p>
    <w:p>
      <w:r>
        <w:rPr>
          <w:b/>
        </w:rPr>
        <w:t xml:space="preserve">Ergebnis: </w:t>
      </w:r>
      <w:r>
        <w:t>Zahlreiche Studien belegen: geriatrisches Assessment verbessert funktionelle Fähigkeiten, reduziert Pflegebedürftigkeit und verkürzt/verkürzt Krankenhausaufenthalte. Defizite bestehen in flächendeckender Versorgung, Finanzierung, Fachkräftemangel und Integration in andere Fachgebiete.</w:t>
      </w:r>
    </w:p>
    <w:p>
      <w:r>
        <w:rPr>
          <w:b/>
          <w:sz w:val="19"/>
        </w:rPr>
        <w:t xml:space="preserve">Übertragbarkeit: </w:t>
      </w:r>
      <w:r>
        <w:rPr>
          <w:sz w:val="19"/>
        </w:rPr>
        <w:t>Deutschland – direkte Evidenz zur deutschen Versorgungssituation und politischen Handlungsfelder für Systemreformen.</w:t>
      </w:r>
    </w:p>
    <w:p>
      <w:r>
        <w:rPr>
          <w:color w:val="5A7D3A"/>
          <w:sz w:val="18"/>
        </w:rPr>
        <w:t>https://pubmed.ncbi.nlm.nih.gov/42479140/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Gesundes Altern und Longevity</dc:title>
  <dc:subject/>
  <dc:creator>Monitor Versorgungsforschung</dc:creator>
  <cp:keywords/>
  <dc:description>generated by python-docx</dc:description>
  <cp:lastModifiedBy/>
  <cp:revision>1</cp:revision>
  <dcterms:created xsi:type="dcterms:W3CDTF">2026-10-29T06:00:00Z</dcterms:created>
  <dcterms:modified xsi:type="dcterms:W3CDTF">2026-10-29T06:00:00Z</dcterms:modified>
  <cp:category/>
</cp:coreProperties>
</file>