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drawing>
          <wp:inline xmlns:a="http://schemas.openxmlformats.org/drawingml/2006/main" xmlns:pic="http://schemas.openxmlformats.org/drawingml/2006/picture">
            <wp:extent cx="1737360" cy="459641"/>
            <wp:docPr id="1" name="Picture 1"/>
            <wp:cNvGraphicFramePr>
              <a:graphicFrameLocks noChangeAspect="1"/>
            </wp:cNvGraphicFramePr>
            <a:graphic>
              <a:graphicData uri="http://schemas.openxmlformats.org/drawingml/2006/picture">
                <pic:pic>
                  <pic:nvPicPr>
                    <pic:cNvPr id="0" name="mvf-logo.png"/>
                    <pic:cNvPicPr/>
                  </pic:nvPicPr>
                  <pic:blipFill>
                    <a:blip r:embed="rId9"/>
                    <a:stretch>
                      <a:fillRect/>
                    </a:stretch>
                  </pic:blipFill>
                  <pic:spPr>
                    <a:xfrm>
                      <a:off x="0" y="0"/>
                      <a:ext cx="1737360" cy="459641"/>
                    </a:xfrm>
                    <a:prstGeom prst="rect"/>
                  </pic:spPr>
                </pic:pic>
              </a:graphicData>
            </a:graphic>
          </wp:inline>
        </w:drawing>
      </w:r>
    </w:p>
    <w:p>
      <w:r>
        <w:rPr>
          <w:color w:val="0051A1"/>
          <w:sz w:val="19"/>
        </w:rPr>
        <w:t>Ein Service des Knowledge-Hubs von Monitor Versorgungsforschung. Täglich automatisiert KI-kuratiert aus PubMed und auf Deutsch übersetzt.</w:t>
      </w:r>
    </w:p>
    <w:p>
      <w:pPr>
        <w:pStyle w:val="Title"/>
      </w:pPr>
      <w:r>
        <w:t>Studienarchiv - Gesundes Altern und Longevity</w:t>
      </w:r>
    </w:p>
    <w:p>
      <w:r>
        <w:rPr>
          <w:i/>
          <w:color w:val="666666"/>
          <w:sz w:val="18"/>
        </w:rPr>
        <w:t>Stand: 02.09.2026  |  65 Studien  |  longevity.m-vf.de</w:t>
      </w:r>
    </w:p>
    <w:p>
      <w:pPr>
        <w:pStyle w:val="Heading1"/>
      </w:pPr>
      <w:r>
        <w:t>Aufgenommen am 02.09.2026</w:t>
      </w:r>
    </w:p>
    <w:p>
      <w:pPr>
        <w:pStyle w:val="Heading2"/>
      </w:pPr>
      <w:r>
        <w:t>Psychische Gesundheit älteren Menschen: Evidenzbasierte Prävention mit moderater körperlicher Aktivität</w:t>
      </w:r>
    </w:p>
    <w:p>
      <w:r>
        <w:rPr>
          <w:i/>
          <w:color w:val="666666"/>
          <w:sz w:val="18"/>
        </w:rPr>
        <w:t>Acoulon G et al.  ·  Sante Publique  ·  2026  ·  PMID 42674988</w:t>
      </w:r>
    </w:p>
    <w:p>
      <w:r>
        <w:t>Systematische Übersicht von Primärprävention psychischer Erkrankungen bei selbstständig lebenden älteren Menschen ab 60 Jahren.</w:t>
      </w:r>
    </w:p>
    <w:p>
      <w:r>
        <w:rPr>
          <w:b/>
        </w:rPr>
        <w:t xml:space="preserve">Ergebnis: </w:t>
      </w:r>
      <w:r>
        <w:t>Sieben Interventionskategorien identifiziert; moderate körperliche Aktivität (2–3 Sitzungen/Woche, ≥12 Wochen) reduzierte depressive und Angstsymptome am stärksten. Multimodale und in Gemeinderessourcen verankerte Programme zeigten beste Effektivität. Hauptchallenge: Dissemination und Anpassung an vulnerable Bevölkerungsgruppen, nicht die Identifikation wirksamer Interventionen.</w:t>
      </w:r>
    </w:p>
    <w:p>
      <w:r>
        <w:rPr>
          <w:b/>
          <w:sz w:val="19"/>
        </w:rPr>
        <w:t xml:space="preserve">Übertragbarkeit: </w:t>
      </w:r>
      <w:r>
        <w:rPr>
          <w:sz w:val="19"/>
        </w:rPr>
        <w:t>Frankreich, vergleichbare Sozialversicherung; Empfehlungen auf deutsches System übertragbar</w:t>
      </w:r>
    </w:p>
    <w:p>
      <w:r>
        <w:rPr>
          <w:color w:val="5A7D3A"/>
          <w:sz w:val="18"/>
        </w:rPr>
        <w:t>https://pubmed.ncbi.nlm.nih.gov/42674988/</w:t>
      </w:r>
    </w:p>
    <w:p>
      <w:pPr>
        <w:pStyle w:val="Heading2"/>
      </w:pPr>
      <w:r>
        <w:t>Sozial assistive Roboter in der Altenpflege: Phasen-orientierte Implementierung statt Technologie-Fokus</w:t>
      </w:r>
    </w:p>
    <w:p>
      <w:r>
        <w:rPr>
          <w:i/>
          <w:color w:val="666666"/>
          <w:sz w:val="18"/>
        </w:rPr>
        <w:t>Bubeck M et al.  ·  Arch Gerontol Geriatr  ·  28.07.2026  ·  PMID 42603460</w:t>
      </w:r>
    </w:p>
    <w:p>
      <w:r>
        <w:t>Qualitative Studie mit 14 professionellen Pflegekräften in deutschen Einrichtungen zur Erfahrung mit Robotern am Krankenbett.</w:t>
      </w:r>
    </w:p>
    <w:p>
      <w:r>
        <w:rPr>
          <w:b/>
        </w:rPr>
        <w:t xml:space="preserve">Ergebnis: </w:t>
      </w:r>
      <w:r>
        <w:t>Vier analytische Phasen der Implementierung identifiziert: Orientierung, Einführung, Routinenutzung, Neubewertung. Praktische und moralische Anforderungen verschoben sich systematisch. Zentrale Erkenntnisse: Nachhaltige, ethisch verantwortungsvolle Nutzung erfordert Unterstützung des professionellen Urteils und kontextuelle Sensibilität – nicht technisches Rollout ohne Reflexion.</w:t>
      </w:r>
    </w:p>
    <w:p>
      <w:r>
        <w:rPr>
          <w:b/>
          <w:sz w:val="19"/>
        </w:rPr>
        <w:t xml:space="preserve">Übertragbarkeit: </w:t>
      </w:r>
      <w:r>
        <w:rPr>
          <w:sz w:val="19"/>
        </w:rPr>
        <w:t>Deutschland, direkt auf deutsches Versorgungssystem anwendbar</w:t>
      </w:r>
    </w:p>
    <w:p>
      <w:r>
        <w:rPr>
          <w:color w:val="5A7D3A"/>
          <w:sz w:val="18"/>
        </w:rPr>
        <w:t>https://pubmed.ncbi.nlm.nih.gov/42603460/</w:t>
      </w:r>
    </w:p>
    <w:p>
      <w:pPr>
        <w:pStyle w:val="Heading2"/>
      </w:pPr>
      <w:r>
        <w:t>Urinmetabolom als biologische Alter-Uhr: Längsschnitt-Heterogenität und Mortalitätsvorhersage</w:t>
      </w:r>
    </w:p>
    <w:p>
      <w:r>
        <w:rPr>
          <w:i/>
          <w:color w:val="666666"/>
          <w:sz w:val="18"/>
        </w:rPr>
        <w:t>Gauß KF et al.  ·  J Gerontol A Biol Sci Med Sci  ·  04.08.2026  ·  PMID 42440338</w:t>
      </w:r>
    </w:p>
    <w:p>
      <w:r>
        <w:t>Entwicklung und Validierung eines biologischen Alter-Scores aus hochauflösender ¹H-Kernresonanzspektroskopie von Urinmetaboliten in großer populationsbasierter Kohorte mit &gt;10-Jahr Nachverfolgung.</w:t>
      </w:r>
    </w:p>
    <w:p>
      <w:r>
        <w:rPr>
          <w:b/>
        </w:rPr>
        <w:t xml:space="preserve">Ergebnis: </w:t>
      </w:r>
      <w:r>
        <w:t>Metabolisches Altern variiert zwischen Individuen, unterstreicht inter-individuelle Heterogenität. Metabolisches Alter zeigte Assoziation mit altersrelevanten klinischen Phänotypen und war prädiktiv für multiple Erkrankungen und Gesamtmortalität unabhängig vom chronologischen Alter. Urinmetabolom als non-invasives Werkzeug zur Risikostratifizierung validiert.</w:t>
      </w:r>
    </w:p>
    <w:p>
      <w:r>
        <w:rPr>
          <w:b/>
          <w:sz w:val="19"/>
        </w:rPr>
        <w:t xml:space="preserve">Übertragbarkeit: </w:t>
      </w:r>
      <w:r>
        <w:rPr>
          <w:sz w:val="19"/>
        </w:rPr>
        <w:t>Deutschland, Greifswald; deutsche Klinikdaten, vergleichbare Dokumentationspflichten</w:t>
      </w:r>
    </w:p>
    <w:p>
      <w:r>
        <w:rPr>
          <w:color w:val="5A7D3A"/>
          <w:sz w:val="18"/>
        </w:rPr>
        <w:t>https://pubmed.ncbi.nlm.nih.gov/42440338/</w:t>
      </w:r>
    </w:p>
    <w:p>
      <w:pPr>
        <w:pStyle w:val="Heading2"/>
      </w:pPr>
      <w:r>
        <w:t>Frailty-Übergänge und Schlaganfall-Risiko: China und Großbritannien im Vergleich</w:t>
      </w:r>
    </w:p>
    <w:p>
      <w:r>
        <w:rPr>
          <w:i/>
          <w:color w:val="666666"/>
          <w:sz w:val="18"/>
        </w:rPr>
        <w:t>Zhong S et al.  ·  Arch Gerontol Geriatr  ·  04.07.2026  ·  PMID 42418874</w:t>
      </w:r>
    </w:p>
    <w:p>
      <w:r>
        <w:t>Längsschnittstudie (CHARLS/ELSA) mit 14.682 älteren Erwachsenen zu Frailty-Verlauf und Schlaganfall-Inzidenz über 2 Jahre.</w:t>
      </w:r>
    </w:p>
    <w:p>
      <w:r>
        <w:rPr>
          <w:b/>
        </w:rPr>
        <w:t xml:space="preserve">Ergebnis: </w:t>
      </w:r>
      <w:r>
        <w:t>Baseline-Frailty erhöhte Schlaganfall-Risiko in beiden Ländern. Progression von robust zu pre-frail/frail: signifikant erhöhtes Risiko; Verbesserung von frail zu robust/pre-frail: Risikoreduktion. Höherer kumulativer Frailty-Index zeigte Dosis-Wirkungs-Beziehung (alle p&lt;0,0001). Frailty-Monitoring als Prognose-Instrument für Hochrisiko-Patienten bestätigt.</w:t>
      </w:r>
    </w:p>
    <w:p>
      <w:r>
        <w:rPr>
          <w:b/>
          <w:sz w:val="19"/>
        </w:rPr>
        <w:t xml:space="preserve">Übertragbarkeit: </w:t>
      </w:r>
      <w:r>
        <w:rPr>
          <w:sz w:val="19"/>
        </w:rPr>
        <w:t>Großbritannien und China, vorsichtig auf Deutschland; Altersstruktur und Versorgung unterschiedlich, Frailty-Mechanismus universal</w:t>
      </w:r>
    </w:p>
    <w:p>
      <w:r>
        <w:rPr>
          <w:color w:val="5A7D3A"/>
          <w:sz w:val="18"/>
        </w:rPr>
        <w:t>https://pubmed.ncbi.nlm.nih.gov/42418874/</w:t>
      </w:r>
    </w:p>
    <w:p>
      <w:pPr>
        <w:pStyle w:val="Heading2"/>
      </w:pPr>
      <w:r>
        <w:t>Soziale, psychische und spirituelle Versorgung am Lebensende: Ungleichheiten durch fehlende Formaldienste</w:t>
      </w:r>
    </w:p>
    <w:p>
      <w:r>
        <w:rPr>
          <w:i/>
          <w:color w:val="666666"/>
          <w:sz w:val="18"/>
        </w:rPr>
        <w:t>Meier C et al.  ·  Age Ageing  ·  02.07.2026  ·  PMID 42407095</w:t>
      </w:r>
    </w:p>
    <w:p>
      <w:r>
        <w:t>Analyse von 507 Proxy-Interviews verstorbener Personen (≥55 Jahre) aus der ELSA zur Unterstützung non-medizinischer Bedarf in den letzten drei Lebensmonaten.</w:t>
      </w:r>
    </w:p>
    <w:p>
      <w:r>
        <w:rPr>
          <w:b/>
        </w:rPr>
        <w:t xml:space="preserve">Ergebnis: </w:t>
      </w:r>
      <w:r>
        <w:t>Soziale Bedürfnisse bei 81,8%, psychische bei 77,8%, spirituelle bei 74,4% erfüllt. Überwiegend Familie als Unterstützer, kaum formale Dienste. Alleinleben assoziiert mit niedrigerer Erfüllungswahrscheinlichkeit; Demenz korreliert mit schlechterer psychischer und sozialer Unterstützung. Mangel an integrierten Angeboten verstärkt soziale Ungleichheiten am Lebensende.</w:t>
      </w:r>
    </w:p>
    <w:p>
      <w:r>
        <w:rPr>
          <w:b/>
          <w:sz w:val="19"/>
        </w:rPr>
        <w:t xml:space="preserve">Übertragbarkeit: </w:t>
      </w:r>
      <w:r>
        <w:rPr>
          <w:sz w:val="19"/>
        </w:rPr>
        <w:t>Großbritannien, vergleichbar mit deutschem NHS; Befund zur Systemabhängigkeit nicht-medizinischer Versorgung bedeutsam</w:t>
      </w:r>
    </w:p>
    <w:p>
      <w:r>
        <w:rPr>
          <w:color w:val="5A7D3A"/>
          <w:sz w:val="18"/>
        </w:rPr>
        <w:t>https://pubmed.ncbi.nlm.nih.gov/42407095/</w:t>
      </w:r>
    </w:p>
    <w:p>
      <w:pPr>
        <w:pStyle w:val="Heading2"/>
      </w:pPr>
      <w:r>
        <w:t>Schlafstörungen und Muskelkraftverlust im Alter: Geschlechtsspezifische Unterschiede bei älteren Erwachsenen</w:t>
      </w:r>
    </w:p>
    <w:p>
      <w:r>
        <w:rPr>
          <w:i/>
          <w:color w:val="666666"/>
          <w:sz w:val="18"/>
        </w:rPr>
        <w:t>Silveira LC et al.  ·  Age Ageing  ·  02.07.2026  ·  PMID 42407094</w:t>
      </w:r>
    </w:p>
    <w:p>
      <w:r>
        <w:t>Längsschnittstudie (8 Jahre, n=6.429, ELSA) zu Einfluss von Insomnie und Schlafdauer auf Handgriff-Kraft-Abnahme.</w:t>
      </w:r>
    </w:p>
    <w:p>
      <w:r>
        <w:rPr>
          <w:b/>
        </w:rPr>
        <w:t xml:space="preserve">Ergebnis: </w:t>
      </w:r>
      <w:r>
        <w:t>Männer mit erhöhter Insomnie: schnellerer Kraftverlust (–0,02 kg/Jahr; 95%-KI –0,04 bis –0,01). Frauen mit Schlafdauer ≥9 Stunden: stärkerer Rückgang (–0,14 kg/Jahr; 95%-KI –0,26 bis –0,03). Schlafprobleme beeinflussen Muskelabbau geschlechtsspezifisch unterschiedlich – bei Männern Insomnie, bei Frauen lange Schlafdauer.</w:t>
      </w:r>
    </w:p>
    <w:p>
      <w:r>
        <w:rPr>
          <w:b/>
          <w:sz w:val="19"/>
        </w:rPr>
        <w:t xml:space="preserve">Übertragbarkeit: </w:t>
      </w:r>
      <w:r>
        <w:rPr>
          <w:sz w:val="19"/>
        </w:rPr>
        <w:t>Großbritannien, epidemiologisch auf Deutschland übertragbar; Geschlechtsdimension in Prävention relevant</w:t>
      </w:r>
    </w:p>
    <w:p>
      <w:r>
        <w:rPr>
          <w:color w:val="5A7D3A"/>
          <w:sz w:val="18"/>
        </w:rPr>
        <w:t>https://pubmed.ncbi.nlm.nih.gov/42407094/</w:t>
      </w:r>
    </w:p>
    <w:p>
      <w:pPr>
        <w:pStyle w:val="Heading1"/>
      </w:pPr>
      <w:r>
        <w:t>Aufgenommen am 01.09.2026</w:t>
      </w:r>
    </w:p>
    <w:p>
      <w:pPr>
        <w:pStyle w:val="Heading2"/>
      </w:pPr>
      <w:r>
        <w:t>Geriatrisches Assessment vor Gefäßinterventionen senkt perioperative Risiken bei älteren Patienten</w:t>
      </w:r>
    </w:p>
    <w:p>
      <w:r>
        <w:rPr>
          <w:i/>
          <w:color w:val="666666"/>
          <w:sz w:val="18"/>
        </w:rPr>
        <w:t>Kolb G et al.  ·  Vasa  ·  Sept. 2026  ·  PMID 42669422</w:t>
      </w:r>
    </w:p>
    <w:p>
      <w:r>
        <w:t>Positionspapier dreier Fachgesellschaften zur Notwendigkeit geriatrischer Assessments vor gefäßmedizinischen Eingriffen bei älteren Menschen, da Frailty die Outcomes nach Gefäßchirurgie und Interventionen bestimmt.</w:t>
      </w:r>
    </w:p>
    <w:p>
      <w:r>
        <w:rPr>
          <w:b/>
        </w:rPr>
        <w:t xml:space="preserve">Ergebnis: </w:t>
      </w:r>
      <w:r>
        <w:t>Frailty-Status bestimmt Komplikationen und Outcomes nach Gefäßinterventionen; geriatrisches Assessment wird zur Risikostratifizierung empfohlen, konkrete Zahlen zu Outcome-Verbesserungen durch das Positionspapier nicht genannt.</w:t>
      </w:r>
    </w:p>
    <w:p>
      <w:r>
        <w:rPr>
          <w:b/>
          <w:sz w:val="19"/>
        </w:rPr>
        <w:t xml:space="preserve">Übertragbarkeit: </w:t>
      </w:r>
      <w:r>
        <w:rPr>
          <w:sz w:val="19"/>
        </w:rPr>
        <w:t>Deutschland: Stellungnahmen deutscher Fachgesellschaften, direkt relevant für Versorgungspraxis.</w:t>
      </w:r>
    </w:p>
    <w:p>
      <w:r>
        <w:rPr>
          <w:color w:val="5A7D3A"/>
          <w:sz w:val="18"/>
        </w:rPr>
        <w:t>https://pubmed.ncbi.nlm.nih.gov/42669422/</w:t>
      </w:r>
    </w:p>
    <w:p>
      <w:pPr>
        <w:pStyle w:val="Heading2"/>
      </w:pPr>
      <w:r>
        <w:t>Gesunde Ernährung verlangsamt epigenetisches Altern unabhängig von Ernährungsstil</w:t>
      </w:r>
    </w:p>
    <w:p>
      <w:r>
        <w:rPr>
          <w:i/>
          <w:color w:val="666666"/>
          <w:sz w:val="18"/>
        </w:rPr>
        <w:t>Tavares JF et al.  ·  Nat Commun  ·  29.08.2026  ·  PMID 42668319</w:t>
      </w:r>
    </w:p>
    <w:p>
      <w:r>
        <w:t>Zwei bevölkerungsbasierte Kohorten zeigten, dass Adhärenz zu gesunden Ernährungsmustern mit verlangsamtem epigenetischem Altern assoziiert ist, obwohl verschiedene Ernährungsstile unterschiedliche epigenetische Profile aufweisen.</w:t>
      </w:r>
    </w:p>
    <w:p>
      <w:r>
        <w:rPr>
          <w:b/>
        </w:rPr>
        <w:t xml:space="preserve">Ergebnis: </w:t>
      </w:r>
      <w:r>
        <w:t>Zehn verschiedene Ernährungsbewertungsindizes: minimale Überschneidung in der höchsten Adhärenz-Quartile, aber alle mit reduziertem epigenetischen Altern assoziiert; verschiedene Ernährungsstile konvergierten auf gleiche biologische Signalwege.</w:t>
      </w:r>
    </w:p>
    <w:p>
      <w:r>
        <w:rPr>
          <w:b/>
          <w:sz w:val="19"/>
        </w:rPr>
        <w:t xml:space="preserve">Übertragbarkeit: </w:t>
      </w:r>
      <w:r>
        <w:rPr>
          <w:sz w:val="19"/>
        </w:rPr>
        <w:t>Deutschland und deutschsprachiger Raum: Rhineland-Studie, vergleichbare Populationsstruktur, externe Validierung mit EPIC-Potsdam.</w:t>
      </w:r>
    </w:p>
    <w:p>
      <w:r>
        <w:rPr>
          <w:color w:val="5A7D3A"/>
          <w:sz w:val="18"/>
        </w:rPr>
        <w:t>https://pubmed.ncbi.nlm.nih.gov/42668319/</w:t>
      </w:r>
    </w:p>
    <w:p>
      <w:pPr>
        <w:pStyle w:val="Heading2"/>
      </w:pPr>
      <w:r>
        <w:t>Arbeitsplatzgewalt verkürzt die Erwerbstätigkeit älterer Arbeitnehmer um bis zu sieben Monate</w:t>
      </w:r>
    </w:p>
    <w:p>
      <w:r>
        <w:rPr>
          <w:i/>
          <w:color w:val="666666"/>
          <w:sz w:val="18"/>
        </w:rPr>
        <w:t>Holmgren R et al.  ·  Scand J Work Environ Health  ·  01.09.2026  ·  PMID 42563557</w:t>
      </w:r>
    </w:p>
    <w:p>
      <w:r>
        <w:t>Prospektive schwedische Kohortenstudie mit multistate Markov-Modellen zur Assoziation von Mobbing und Gewalt am Arbeitsplatz mit der verbleibenden Erwerbstätigkeit von über 50-Jährigen.</w:t>
      </w:r>
    </w:p>
    <w:p>
      <w:r>
        <w:rPr>
          <w:b/>
        </w:rPr>
        <w:t xml:space="preserve">Ergebnis: </w:t>
      </w:r>
      <w:r>
        <w:t>Exposition gegenüber Arbeitsplatzgewalt/Drohungen verkürzte die Erwerbstätigkeit ab 50 Jahren um 0,56 Jahre (95%-KI: −1,02–−0,10); Mobbing zeigte ähnliche Effektgröße (−0,63 Jahre, 95%-KI: −1,39–0,14), war aber nicht statistisch signifikant.</w:t>
      </w:r>
    </w:p>
    <w:p>
      <w:r>
        <w:rPr>
          <w:b/>
          <w:sz w:val="19"/>
        </w:rPr>
        <w:t xml:space="preserve">Übertragbarkeit: </w:t>
      </w:r>
      <w:r>
        <w:rPr>
          <w:sz w:val="19"/>
        </w:rPr>
        <w:t>Schweden, vergleichbares Sozialversicherungssystem, Längsschnitt-Follow-up 2008–2020.</w:t>
      </w:r>
    </w:p>
    <w:p>
      <w:r>
        <w:rPr>
          <w:color w:val="5A7D3A"/>
          <w:sz w:val="18"/>
        </w:rPr>
        <w:t>https://pubmed.ncbi.nlm.nih.gov/42563557/</w:t>
      </w:r>
    </w:p>
    <w:p>
      <w:pPr>
        <w:pStyle w:val="Heading2"/>
      </w:pPr>
      <w:r>
        <w:t>Frailty-Messung mit elektronischen Daten ist kontextabhängig und zeigt begrenzte Übertragbarkeit</w:t>
      </w:r>
    </w:p>
    <w:p>
      <w:r>
        <w:rPr>
          <w:i/>
          <w:color w:val="666666"/>
          <w:sz w:val="18"/>
        </w:rPr>
        <w:t>Cavanaugh R et al.  ·  J Gerontol A Biol Sci Med Sci  ·  04.08.2026  ·  PMID 42550179</w:t>
      </w:r>
    </w:p>
    <w:p>
      <w:r>
        <w:t>Internationale Vergleichsstudie zweier elektronischer Frailty-Indizes (VAFI, eFI) über fünf Datenbanken zeigte inkonsistente Frailty-Prävalenzen je nach Land und lokalen Kodierungsverhalten.</w:t>
      </w:r>
    </w:p>
    <w:p>
      <w:r>
        <w:rPr>
          <w:b/>
        </w:rPr>
        <w:t xml:space="preserve">Ergebnis: </w:t>
      </w:r>
      <w:r>
        <w:t>USA-Datenbanken: VAFI identifizierte höhere Frailty-Raten (All of Us: 10,3% vs. 2,5% eFI; Pharmetrics: 9,6% vs. 2%); UK-Datenbanken zeigten umgekehrtes Muster (eFI höher); FI-Messungen stark abhängig vom Entwicklungskontext und lokalen Kodierungsinzentiven.</w:t>
      </w:r>
    </w:p>
    <w:p>
      <w:r>
        <w:rPr>
          <w:b/>
          <w:sz w:val="19"/>
        </w:rPr>
        <w:t xml:space="preserve">Übertragbarkeit: </w:t>
      </w:r>
      <w:r>
        <w:rPr>
          <w:sz w:val="19"/>
        </w:rPr>
        <w:t>USA und UK: Warnung vor direkter Anwendung außerhalb des Entwicklungskontextes; deutsche Systeme benötigen eigene Validierung.</w:t>
      </w:r>
    </w:p>
    <w:p>
      <w:r>
        <w:rPr>
          <w:color w:val="5A7D3A"/>
          <w:sz w:val="18"/>
        </w:rPr>
        <w:t>https://pubmed.ncbi.nlm.nih.gov/42550179/</w:t>
      </w:r>
    </w:p>
    <w:p>
      <w:pPr>
        <w:pStyle w:val="Heading2"/>
      </w:pPr>
      <w:r>
        <w:t>Datenaustausch für Hirnalterungsforschung: Barrieren und Strategien in der Open Science</w:t>
      </w:r>
    </w:p>
    <w:p>
      <w:r>
        <w:rPr>
          <w:i/>
          <w:color w:val="666666"/>
          <w:sz w:val="18"/>
        </w:rPr>
        <w:t>Giehl K et al.  ·  Eur J Neurol  ·  Juli 2026  ·  PMID 42496021</w:t>
      </w:r>
    </w:p>
    <w:p>
      <w:r>
        <w:t>Übersichtsarbeit zu Hindernissen bei der Freigabe von Neuroimaging-Daten in der Alternsforschung und Vorschläge für vereinheitlichte rechtliche Rahmen, Standardisierung und akademische Anreize.</w:t>
      </w:r>
    </w:p>
    <w:p>
      <w:r>
        <w:rPr>
          <w:b/>
        </w:rPr>
        <w:t xml:space="preserve">Ergebnis: </w:t>
      </w:r>
      <w:r>
        <w:t>Barriers range from technical and infrastructural limitations to legal challenges; article advocates for unified GDPR-compliant frameworks, academic credit for data stewardship, and coordinated community effort to move toward open science in neurodegenerative disease research.</w:t>
      </w:r>
    </w:p>
    <w:p>
      <w:r>
        <w:rPr>
          <w:b/>
          <w:sz w:val="19"/>
        </w:rPr>
        <w:t xml:space="preserve">Übertragbarkeit: </w:t>
      </w:r>
      <w:r>
        <w:rPr>
          <w:sz w:val="19"/>
        </w:rPr>
        <w:t>Europa: GDPR-Konformität, direkt auf EU-Systeme anwendbar, insbesondere Deutschland.</w:t>
      </w:r>
    </w:p>
    <w:p>
      <w:r>
        <w:rPr>
          <w:color w:val="5A7D3A"/>
          <w:sz w:val="18"/>
        </w:rPr>
        <w:t>https://pubmed.ncbi.nlm.nih.gov/42496021/</w:t>
      </w:r>
    </w:p>
    <w:p>
      <w:pPr>
        <w:pStyle w:val="Heading2"/>
      </w:pPr>
      <w:r>
        <w:t>Direkt wirkende Antivirale bei Hepatitis C verlängern Lebenserwartung um bis zu neun Jahre</w:t>
      </w:r>
    </w:p>
    <w:p>
      <w:r>
        <w:rPr>
          <w:i/>
          <w:color w:val="666666"/>
          <w:sz w:val="18"/>
        </w:rPr>
        <w:t>Etoori D et al.  ·  J Viral Hepat  ·  Aug. 2026  ·  PMID 42438144</w:t>
      </w:r>
    </w:p>
    <w:p>
      <w:r>
        <w:t>Englische Überwachungs- und Mortalitätsdaten zeigten, dass behandelte Hepatitis-C-Patienten eine um 8,5 bis 8,9 Jahre längere Lebenserwartung hatten, wobei dieser Vorsprung zwischen 2015–2018 und 2019–2022 abnahm.</w:t>
      </w:r>
    </w:p>
    <w:p>
      <w:r>
        <w:rPr>
          <w:b/>
        </w:rPr>
        <w:t xml:space="preserve">Ergebnis: </w:t>
      </w:r>
      <w:r>
        <w:t>Periode 2015–2018: behandelte Frauen +8,5 Jahre LE (95%-KI: 5,4–11,5), Männer +8,9 Jahre (95%-KI: 5,6–12,2); Periode 2019–2022: Frauen +6,7 Jahre (95%-KI: 3,3–10,2), Männer +5,3 Jahre (95%-KI: 3,0–7,6); Rückgang durch höhere Suizid-, Alkohol- und Drogentodesfälle in behandelter Population.</w:t>
      </w:r>
    </w:p>
    <w:p>
      <w:r>
        <w:rPr>
          <w:b/>
          <w:sz w:val="19"/>
        </w:rPr>
        <w:t xml:space="preserve">Übertragbarkeit: </w:t>
      </w:r>
      <w:r>
        <w:rPr>
          <w:sz w:val="19"/>
        </w:rPr>
        <w:t>Vereinigtes Königreich, vergleichbare westliche Versorgungsstrukturen, nationale Überwachungsdaten mit Mortalitätslinkage verfügbar.</w:t>
      </w:r>
    </w:p>
    <w:p>
      <w:r>
        <w:rPr>
          <w:color w:val="5A7D3A"/>
          <w:sz w:val="18"/>
        </w:rPr>
        <w:t>https://pubmed.ncbi.nlm.nih.gov/42438144/</w:t>
      </w:r>
    </w:p>
    <w:p>
      <w:pPr>
        <w:pStyle w:val="Heading2"/>
      </w:pPr>
      <w:r>
        <w:t>Französische Geriater fordern Fortbildung in Nephrologie: 75% Bedarf bei chronischen Nierenerkrankungen im Alter</w:t>
      </w:r>
    </w:p>
    <w:p>
      <w:r>
        <w:rPr>
          <w:i/>
          <w:color w:val="666666"/>
          <w:sz w:val="18"/>
        </w:rPr>
        <w:t>Mésinèle L et al.  ·  Geriatr Psychol Neuropsychiatr Vieil  ·  01.06.2026  ·  PMID 42412499</w:t>
      </w:r>
    </w:p>
    <w:p>
      <w:r>
        <w:t>Online-Befragung von 252 französischen Geriatrien zur Zusammenarbeit mit Nephrologie und Fortbildungsbedarf; 89% haben Zugang zu Nephrologen, aber nur 37% nennen einen Ansprechpartner für nephrogeriatrische Fragen.</w:t>
      </w:r>
    </w:p>
    <w:p>
      <w:r>
        <w:rPr>
          <w:b/>
        </w:rPr>
        <w:t xml:space="preserve">Ergebnis: </w:t>
      </w:r>
      <w:r>
        <w:t>89% haben Zugang zu Nephrologen, 37% identifizieren einen Ansprechpartner; häufigster Fortbildungswunsch: metabolische und kardiovaskuläre Komplikationen der CKD (60%), CKD-Stadien 1–4 (46%), Arzneimitteltherapie bei Niereninsuffizienz (38%); Geriater mit Nephro-Fortbildung häufiger in Shared Decision-Making zu Dialyse involviert.</w:t>
      </w:r>
    </w:p>
    <w:p>
      <w:r>
        <w:rPr>
          <w:b/>
          <w:sz w:val="19"/>
        </w:rPr>
        <w:t xml:space="preserve">Übertragbarkeit: </w:t>
      </w:r>
      <w:r>
        <w:rPr>
          <w:sz w:val="19"/>
        </w:rPr>
        <w:t>Frankreich, vergleichbares westeuropäisches Gesundheitssystem und Aus­bildungsanforderungen, Befragungsdaten direkt zur Versorgungsorganisation.</w:t>
      </w:r>
    </w:p>
    <w:p>
      <w:r>
        <w:rPr>
          <w:color w:val="5A7D3A"/>
          <w:sz w:val="18"/>
        </w:rPr>
        <w:t>https://pubmed.ncbi.nlm.nih.gov/42412499/</w:t>
      </w:r>
    </w:p>
    <w:p>
      <w:pPr>
        <w:pStyle w:val="Heading1"/>
      </w:pPr>
      <w:r>
        <w:t>Aufgenommen am 31.08.2026</w:t>
      </w:r>
    </w:p>
    <w:p>
      <w:pPr>
        <w:pStyle w:val="Heading2"/>
      </w:pPr>
      <w:r>
        <w:t>Gezieltes Geriatrie-Training in Intensivstationen verbessert Fachkompetenz des Personals</w:t>
      </w:r>
    </w:p>
    <w:p>
      <w:r>
        <w:rPr>
          <w:i/>
          <w:color w:val="666666"/>
          <w:sz w:val="18"/>
        </w:rPr>
        <w:t>Beernaert L et al.  ·  Soins Gerontol  ·  20.07.2026  ·  PMID 42542357</w:t>
      </w:r>
    </w:p>
    <w:p>
      <w:r>
        <w:t>Pilottudie zur Wirksamkeit gezielter Schulung von Pflegekräften und Paramedizinern in Geriatrie-Kompetenzen auf Intensivstationen.</w:t>
      </w:r>
    </w:p>
    <w:p>
      <w:r>
        <w:rPr>
          <w:b/>
        </w:rPr>
        <w:t xml:space="preserve">Ergebnis: </w:t>
      </w:r>
      <w:r>
        <w:t>Gezielte Schulungen führten zu signifikanten Verbesserungen der Geriatrie-Kenntnisse des Personals. Die Studie unterstützt den Wert kontinuierlicher Fortbildung, sollte aber durch multizentrische Studien bestätigt werden.</w:t>
      </w:r>
    </w:p>
    <w:p>
      <w:r>
        <w:rPr>
          <w:b/>
          <w:sz w:val="19"/>
        </w:rPr>
        <w:t xml:space="preserve">Übertragbarkeit: </w:t>
      </w:r>
      <w:r>
        <w:rPr>
          <w:sz w:val="19"/>
        </w:rPr>
        <w:t>Belgisches Universitätsspital, konzeptuell auf deutschsprachige Kliniken übertragbar.</w:t>
      </w:r>
    </w:p>
    <w:p>
      <w:r>
        <w:rPr>
          <w:color w:val="5A7D3A"/>
          <w:sz w:val="18"/>
        </w:rPr>
        <w:t>https://pubmed.ncbi.nlm.nih.gov/42542357/</w:t>
      </w:r>
    </w:p>
    <w:p>
      <w:pPr>
        <w:pStyle w:val="Heading2"/>
      </w:pPr>
      <w:r>
        <w:t>Triglyceride-Cholesterin-Körpergewicht-Index vorhersagt Hypertonie-Risiko bei älteren Menschen</w:t>
      </w:r>
    </w:p>
    <w:p>
      <w:r>
        <w:rPr>
          <w:i/>
          <w:color w:val="666666"/>
          <w:sz w:val="18"/>
        </w:rPr>
        <w:t>Luo F et al.  ·  J Int Med Res  ·  30.07.2026  ·  PMID 42530895</w:t>
      </w:r>
    </w:p>
    <w:p>
      <w:r>
        <w:t>Longitudinalanalyse der English Longitudinal Study of Ageing mit 5.731 älteren Erwachsenen über 12 Jahre zur Assoziation eines Stoffwechsel-Indexes mit Hypertonie-Inzidenz.</w:t>
      </w:r>
    </w:p>
    <w:p>
      <w:r>
        <w:rPr>
          <w:b/>
        </w:rPr>
        <w:t xml:space="preserve">Ergebnis: </w:t>
      </w:r>
      <w:r>
        <w:t>Jede Einheit Anstieg des log-transformierten Index war mit 43% höherer Hypertonie-Odds assoziiert (OR=1,43; 95% KI: 1,31–1,55). Prospektiv: adjustierte HR=1,16 (1,05–1,28). Trajektorien zeigten dosisabhängige Risikoerhöhung (hohe vs. niedrige Gruppe: OR=1,69, p&lt;0,001).</w:t>
      </w:r>
    </w:p>
    <w:p>
      <w:r>
        <w:rPr>
          <w:b/>
          <w:sz w:val="19"/>
        </w:rPr>
        <w:t xml:space="preserve">Übertragbarkeit: </w:t>
      </w:r>
      <w:r>
        <w:rPr>
          <w:sz w:val="19"/>
        </w:rPr>
        <w:t>England, demografische und epidemiologische Parallelität mit Deutschland gegeben.</w:t>
      </w:r>
    </w:p>
    <w:p>
      <w:r>
        <w:rPr>
          <w:color w:val="5A7D3A"/>
          <w:sz w:val="18"/>
        </w:rPr>
        <w:t>https://pubmed.ncbi.nlm.nih.gov/42530895/</w:t>
      </w:r>
    </w:p>
    <w:p>
      <w:pPr>
        <w:pStyle w:val="Heading2"/>
      </w:pPr>
      <w:r>
        <w:t>Gesundheitliche Behandlungspräferenzen Älterer: Alters- und Geschlechtsunterschiede in England</w:t>
      </w:r>
    </w:p>
    <w:p>
      <w:r>
        <w:rPr>
          <w:i/>
          <w:color w:val="666666"/>
          <w:sz w:val="18"/>
        </w:rPr>
        <w:t>Steel N et al.  ·  PLoS One  ·  29.07.2026  ·  PMID 42525585</w:t>
      </w:r>
    </w:p>
    <w:p>
      <w:r>
        <w:t>Querschnittsanalyse der English Longitudinal Study of Ageing (Wave 8, 2016/17) zu Präferenzen von über 50-Jährigen bei sechs Gesundheitsfragen (Risikobereitschaft, Zeitorientierung, Qualität vs. Länge des Lebens).</w:t>
      </w:r>
    </w:p>
    <w:p>
      <w:r>
        <w:rPr>
          <w:b/>
        </w:rPr>
        <w:t xml:space="preserve">Ergebnis: </w:t>
      </w:r>
      <w:r>
        <w:t>Frauen delegierten Entscheidungen weniger häufig an Ärzte und priorisierten Lebensqualität über Lebensdauer. Personen über 75 Jahre bevorzugten mehr Risikominderung und Delegierung. Substanzielle Variabilität zwischen Personen, systematische Unterschiede nach Alter und Geschlecht unterstützen strukturiertes Elicitierungsgesprächs-Protokoll.</w:t>
      </w:r>
    </w:p>
    <w:p>
      <w:r>
        <w:rPr>
          <w:b/>
          <w:sz w:val="19"/>
        </w:rPr>
        <w:t xml:space="preserve">Übertragbarkeit: </w:t>
      </w:r>
      <w:r>
        <w:rPr>
          <w:sz w:val="19"/>
        </w:rPr>
        <w:t>Großbritannien; übertragbar auf deutsches Versorgungssystem mit ähnlichen Partizipationsnormen.</w:t>
      </w:r>
    </w:p>
    <w:p>
      <w:r>
        <w:rPr>
          <w:color w:val="5A7D3A"/>
          <w:sz w:val="18"/>
        </w:rPr>
        <w:t>https://pubmed.ncbi.nlm.nih.gov/42525585/</w:t>
      </w:r>
    </w:p>
    <w:p>
      <w:pPr>
        <w:pStyle w:val="Heading2"/>
      </w:pPr>
      <w:r>
        <w:t>Depressive Symptome von Ehepartnern zeigen stabiles Muster, aber schwache prospektive Kopplung im Alter</w:t>
      </w:r>
    </w:p>
    <w:p>
      <w:r>
        <w:rPr>
          <w:i/>
          <w:color w:val="666666"/>
          <w:sz w:val="18"/>
        </w:rPr>
        <w:t>Miao J et al.  ·  Psychol Med  ·  29.07.2026  ·  PMID 42522229</w:t>
      </w:r>
    </w:p>
    <w:p>
      <w:r>
        <w:t>Harmonisierte Längsschnittanalyse aus CHARLS (China), HRS (USA) und ELSA (England) mit insgesamt 7.759 Paaren über 5–9 Wellen zu Depressionen, Aktivitätseinschränkungen und Partnereffekte.</w:t>
      </w:r>
    </w:p>
    <w:p>
      <w:r>
        <w:rPr>
          <w:b/>
        </w:rPr>
        <w:t xml:space="preserve">Ergebnis: </w:t>
      </w:r>
      <w:r>
        <w:t>Hohe Konkordanz depressiver Symptome zwischen Partnern (r=0,14–0,43) über alle Kohorten. Prospektive Cross-Spouse-Assoziationen waren nach Kontrolle stabiler Ähnlichkeiten schwach und nur in ELSA und multipel-imputierter HRS signifikant. Bidirektionale Depression-Funktionsstörung-Kopplung in westlichen Kohorten stärker, unterstützt kombinierte Behandlung und Rehabilitation.</w:t>
      </w:r>
    </w:p>
    <w:p>
      <w:r>
        <w:rPr>
          <w:b/>
          <w:sz w:val="19"/>
        </w:rPr>
        <w:t xml:space="preserve">Übertragbarkeit: </w:t>
      </w:r>
      <w:r>
        <w:rPr>
          <w:sz w:val="19"/>
        </w:rPr>
        <w:t>ELSA ist englische Bevölkerungsstichprobe; Ergebnisse auf deutsches Versorgungssystem moderat übertragbar.</w:t>
      </w:r>
    </w:p>
    <w:p>
      <w:r>
        <w:rPr>
          <w:color w:val="5A7D3A"/>
          <w:sz w:val="18"/>
        </w:rPr>
        <w:t>https://pubmed.ncbi.nlm.nih.gov/42522229/</w:t>
      </w:r>
    </w:p>
    <w:p>
      <w:pPr>
        <w:pStyle w:val="Heading2"/>
      </w:pPr>
      <w:r>
        <w:t>Frailty und psychische Gesundheit bei älteren Menschen: Längsschnittstudie aus Slowenien</w:t>
      </w:r>
    </w:p>
    <w:p>
      <w:r>
        <w:rPr>
          <w:i/>
          <w:color w:val="666666"/>
          <w:sz w:val="18"/>
        </w:rPr>
        <w:t>Mikolič Brence P et al.  ·  Front Public Health  ·  06.07.2026  ·  PMID 42518591</w:t>
      </w:r>
    </w:p>
    <w:p>
      <w:r>
        <w:t>Studienprotokoll einer prospektiven Kohortenstudie mit Erwachsenen ≥50 Jahren (geplant n=5.000, 2026–2028) zu Assoziationen zwischen Frailty und mentalen Gesundheitsfaktoren (Wohlbefinden, Resilienz, soziale Kohäsion).</w:t>
      </w:r>
    </w:p>
    <w:p>
      <w:r>
        <w:rPr>
          <w:b/>
        </w:rPr>
        <w:t xml:space="preserve">Ergebnis: </w:t>
      </w:r>
      <w:r>
        <w:t>Studie noch nicht abgeschlossen; das Protokoll wird zur Seite gelegt, da keine Ergebnisse vorliegen.</w:t>
      </w:r>
    </w:p>
    <w:p>
      <w:r>
        <w:rPr>
          <w:b/>
          <w:sz w:val="19"/>
        </w:rPr>
        <w:t xml:space="preserve">Übertragbarkeit: </w:t>
      </w:r>
      <w:r>
        <w:rPr>
          <w:sz w:val="19"/>
        </w:rPr>
        <w:t>Nicht anwendbar – Protokoll ohne Befunde.</w:t>
      </w:r>
    </w:p>
    <w:p>
      <w:r>
        <w:rPr>
          <w:color w:val="5A7D3A"/>
          <w:sz w:val="18"/>
        </w:rPr>
        <w:t>https://pubmed.ncbi.nlm.nih.gov/42518591/</w:t>
      </w:r>
    </w:p>
    <w:p>
      <w:pPr>
        <w:pStyle w:val="Heading2"/>
      </w:pPr>
      <w:r>
        <w:t>Lockdown-bedingte Immobilität beschleunigt Frailty: Sechs-Monats-Progression bei älteren Erwachsenen</w:t>
      </w:r>
    </w:p>
    <w:p>
      <w:r>
        <w:rPr>
          <w:i/>
          <w:color w:val="666666"/>
          <w:sz w:val="18"/>
        </w:rPr>
        <w:t>Rukavishnikov AS et al.  ·  Adv Gerontol  ·  2026  ·  PMID 42502942</w:t>
      </w:r>
    </w:p>
    <w:p>
      <w:r>
        <w:t>Quasiexperimentelle Studie mit 525 älteren Patienten (65–74 Jahre) in Pflege-Wohneinrichtungen während COVID-19-Lockdown; Geriatrisches Assessment mit Handgriffkraft und Sechs-Minuten-Gehtest zu Baseline, 1 und 6 Monaten.</w:t>
      </w:r>
    </w:p>
    <w:p>
      <w:r>
        <w:rPr>
          <w:b/>
        </w:rPr>
        <w:t xml:space="preserve">Ergebnis: </w:t>
      </w:r>
      <w:r>
        <w:t>Prävalenz der Präfrailty sank von 35,8% auf 14,1%, Frailty nahm von 49,5% auf 72% zu. Milde, moderate und schwere Frailty-Formen nahmen jeweils um 11,6%, 6,1% und 4,4% zu. Verlängerte Immobilität und soziale Isolation waren signifikante Beschleuniger der Frailty-Progression und Funktionsverschlechterung.</w:t>
      </w:r>
    </w:p>
    <w:p>
      <w:r>
        <w:rPr>
          <w:b/>
          <w:sz w:val="19"/>
        </w:rPr>
        <w:t xml:space="preserve">Übertragbarkeit: </w:t>
      </w:r>
      <w:r>
        <w:rPr>
          <w:sz w:val="19"/>
        </w:rPr>
        <w:t>Russland (Sankt-Petersburg); Befunde zur Dekonditionierung durch Immobilität universal, aber Pflegeheim-Setting unterscheidet sich von deutschem Versorgungskontext.</w:t>
      </w:r>
    </w:p>
    <w:p>
      <w:r>
        <w:rPr>
          <w:color w:val="5A7D3A"/>
          <w:sz w:val="18"/>
        </w:rPr>
        <w:t>https://pubmed.ncbi.nlm.nih.gov/42502942/</w:t>
      </w:r>
    </w:p>
    <w:p>
      <w:pPr>
        <w:pStyle w:val="Heading1"/>
      </w:pPr>
      <w:r>
        <w:t>Aufgenommen am 30.08.2026</w:t>
      </w:r>
    </w:p>
    <w:p>
      <w:pPr>
        <w:pStyle w:val="Heading2"/>
      </w:pPr>
      <w:r>
        <w:t>Frailty und Ernährung bei Herzinsuffizienz im Alter: prognostische Faktoren</w:t>
      </w:r>
    </w:p>
    <w:p>
      <w:r>
        <w:rPr>
          <w:i/>
          <w:color w:val="666666"/>
          <w:sz w:val="18"/>
        </w:rPr>
        <w:t>Li J et al.  ·  Front Public Health  ·  14.08.2026  ·  PMID 42666459</w:t>
      </w:r>
    </w:p>
    <w:p>
      <w:r>
        <w:t>Retrospektive Studie an 200 älteren Patienten mit Herzinsuffizienz untersuchte Frailty und Ernährungsstatus als Prognosefaktoren für 6-Monats-Ergebnisse.</w:t>
      </w:r>
    </w:p>
    <w:p>
      <w:r>
        <w:rPr>
          <w:b/>
        </w:rPr>
        <w:t xml:space="preserve">Ergebnis: </w:t>
      </w:r>
      <w:r>
        <w:t>Bei gebrechlichen Patienten (n=92) waren Mortalität (4,35 % vs. 0,93 %) und Rehospitalisierungsrate (14,13 % vs. 1,85 %) höher als bei nicht gebrechlichen (n=108). Unter gebrechlichen Patienten stieg die Ereignisrate mit Mangelernährung: moderat-schwer 26,19 %, mild 16,13 %, normal 5,26 %. GNRI und HDL waren unabhängig mit ungünstiger Prognose assoziiert.</w:t>
      </w:r>
    </w:p>
    <w:p>
      <w:r>
        <w:rPr>
          <w:b/>
          <w:sz w:val="19"/>
        </w:rPr>
        <w:t xml:space="preserve">Übertragbarkeit: </w:t>
      </w:r>
      <w:r>
        <w:rPr>
          <w:sz w:val="19"/>
        </w:rPr>
        <w:t>China, internationales Instrument (Fried-Kriterien), begrenzte Direktübertragung auf Deutschland</w:t>
      </w:r>
    </w:p>
    <w:p>
      <w:r>
        <w:rPr>
          <w:color w:val="5A7D3A"/>
          <w:sz w:val="18"/>
        </w:rPr>
        <w:t>https://pubmed.ncbi.nlm.nih.gov/42666459/</w:t>
      </w:r>
    </w:p>
    <w:p>
      <w:pPr>
        <w:pStyle w:val="Heading2"/>
      </w:pPr>
      <w:r>
        <w:t>Gastrointestinale Erkrankungen und funktioneller Verfall im Alter: CHARLS und ELSA</w:t>
      </w:r>
    </w:p>
    <w:p>
      <w:r>
        <w:rPr>
          <w:i/>
          <w:color w:val="666666"/>
          <w:sz w:val="18"/>
        </w:rPr>
        <w:t>Peng D et al.  ·  Geriatr Gerontol Int  ·  Sept. 2026  ·  PMID 42665870</w:t>
      </w:r>
    </w:p>
    <w:p>
      <w:r>
        <w:t>Longitudinale Analyse in zwei Kohorten (CHARLS China; ELSA England) untersuchte, ob wiederholte Meldungen gastrointestinaler Erkrankungen mit kognitiven, ADL- oder depressiven Verschlechterungen assoziiert sind.</w:t>
      </w:r>
    </w:p>
    <w:p>
      <w:r>
        <w:rPr>
          <w:b/>
        </w:rPr>
        <w:t xml:space="preserve">Ergebnis: </w:t>
      </w:r>
      <w:r>
        <w:t>CHARLS (n=9.555): wiederholte Meldung war mit 6–10 % erhöhtem Relativrisiko für Multidomain-Verschlechterung assoziiert (aRR 1,06–1,10). ELSA-Schätzungen waren richtungsgleich aber weniger präzise (aOR 1,21; 95%-KI 0,90–1,63). Gastrointestinale Exposition bot geringe diskriminative Aussagekraft.</w:t>
      </w:r>
    </w:p>
    <w:p>
      <w:r>
        <w:rPr>
          <w:b/>
          <w:sz w:val="19"/>
        </w:rPr>
        <w:t xml:space="preserve">Übertragbarkeit: </w:t>
      </w:r>
      <w:r>
        <w:rPr>
          <w:sz w:val="19"/>
        </w:rPr>
        <w:t>China und Großbritannien; Ergebnisse konsistent aber schwach, begrenzte Übertragbarkeit</w:t>
      </w:r>
    </w:p>
    <w:p>
      <w:r>
        <w:rPr>
          <w:color w:val="5A7D3A"/>
          <w:sz w:val="18"/>
        </w:rPr>
        <w:t>https://pubmed.ncbi.nlm.nih.gov/42665870/</w:t>
      </w:r>
    </w:p>
    <w:p>
      <w:pPr>
        <w:pStyle w:val="Heading2"/>
      </w:pPr>
      <w:r>
        <w:t>Schlafqualität und Sturzrisiko im Alter: prospektive Kohortenstudie</w:t>
      </w:r>
    </w:p>
    <w:p>
      <w:r>
        <w:rPr>
          <w:i/>
          <w:color w:val="666666"/>
          <w:sz w:val="18"/>
        </w:rPr>
        <w:t>Li Y et al.  ·  Brain Behav  ·  Aug. 2026  ·  PMID 42644837</w:t>
      </w:r>
    </w:p>
    <w:p>
      <w:r>
        <w:t>Prospektive Kohorte mit 3.224 Personen (≥50 Jahre) aus der English Longitudinal Study of Ageing; Schlafroutenuntersuchung über 4 Jahre mit Analyse der Assoziation zwischen Schlafqualität und neuaufgetretenen Stürzen.</w:t>
      </w:r>
    </w:p>
    <w:p>
      <w:r>
        <w:rPr>
          <w:b/>
        </w:rPr>
        <w:t xml:space="preserve">Ergebnis: </w:t>
      </w:r>
      <w:r>
        <w:t>Schlechtere Schlafqualität war mit höherem Sturzrisiko assoziiert (OR 1,04; 95%-KI 1,01–1,07). Depressive Symptome vermittelten 28,2 % dieser Assoziation. Dosisabhängige Beziehung zwischen Schlafqualität und Sturzrisiko.</w:t>
      </w:r>
    </w:p>
    <w:p>
      <w:r>
        <w:rPr>
          <w:b/>
          <w:sz w:val="19"/>
        </w:rPr>
        <w:t xml:space="preserve">Übertragbarkeit: </w:t>
      </w:r>
      <w:r>
        <w:rPr>
          <w:sz w:val="19"/>
        </w:rPr>
        <w:t>Großbritannien, vergleichbare Gesundheitsversorgung und Altersstruktur</w:t>
      </w:r>
    </w:p>
    <w:p>
      <w:r>
        <w:rPr>
          <w:color w:val="5A7D3A"/>
          <w:sz w:val="18"/>
        </w:rPr>
        <w:t>https://pubmed.ncbi.nlm.nih.gov/42644837/</w:t>
      </w:r>
    </w:p>
    <w:p>
      <w:pPr>
        <w:pStyle w:val="Heading2"/>
      </w:pPr>
      <w:r>
        <w:t>Lebensstil, Übergewicht und Lebenserwartung in der EU: Systemanalyse</w:t>
      </w:r>
    </w:p>
    <w:p>
      <w:r>
        <w:rPr>
          <w:i/>
          <w:color w:val="666666"/>
          <w:sz w:val="18"/>
        </w:rPr>
        <w:t>Vărzaru AA  ·  Nutrients  ·  11.07.2026  ·  PMID 42514344</w:t>
      </w:r>
    </w:p>
    <w:p>
      <w:r>
        <w:t>Querschnittsanalyse von 27 EU-Ländern mittels EHIS und Eurostat untersuchte Assoziationen zwischen Ernährung, körperlicher Aktivität, Rauchen, Übergewicht und Lebenserwartung sowie Healthy Life Years.</w:t>
      </w:r>
    </w:p>
    <w:p>
      <w:r>
        <w:rPr>
          <w:b/>
        </w:rPr>
        <w:t xml:space="preserve">Ergebnis: </w:t>
      </w:r>
      <w:r>
        <w:t>Gesunde Ernährung korrelierte mit Lebenserwartung (r=0,459; p=0,016), ebenso körperliche Aktivität (r=0,435; p=0,023). Übergewichtsprävalenz war invers mit Lebenserwartung assoziiert (r=−0,505; p=0,007). Das reduzierte Modell erklärte 47,4 % der Varianz in der Lebenserwartung. Clusteranalyse identifizierte drei Lebensstil-Gesundheits-Profile mit unterschiedlichen Outcomes.</w:t>
      </w:r>
    </w:p>
    <w:p>
      <w:r>
        <w:rPr>
          <w:b/>
          <w:sz w:val="19"/>
        </w:rPr>
        <w:t xml:space="preserve">Übertragbarkeit: </w:t>
      </w:r>
      <w:r>
        <w:rPr>
          <w:sz w:val="19"/>
        </w:rPr>
        <w:t>EU-weit, direkt auf deutsches Gesundheitssystem übertragbar</w:t>
      </w:r>
    </w:p>
    <w:p>
      <w:r>
        <w:rPr>
          <w:color w:val="5A7D3A"/>
          <w:sz w:val="18"/>
        </w:rPr>
        <w:t>https://pubmed.ncbi.nlm.nih.gov/42514344/</w:t>
      </w:r>
    </w:p>
    <w:p>
      <w:pPr>
        <w:pStyle w:val="Heading2"/>
      </w:pPr>
      <w:r>
        <w:t>Frailty im Hämodialyse: Visuelle Analogskala vereinfacht Screening</w:t>
      </w:r>
    </w:p>
    <w:p>
      <w:r>
        <w:rPr>
          <w:i/>
          <w:color w:val="666666"/>
          <w:sz w:val="18"/>
        </w:rPr>
        <w:t>Schulte-Kemna L et al.  ·  BMC Nephrol  ·  22.07.2026  ·  PMID 42493781</w:t>
      </w:r>
    </w:p>
    <w:p>
      <w:r>
        <w:t>Studie untersuchte die Genauigkeit einer Selbst-Rating-Skala (VAS) zur Frailty-Früherkennung bei 122 Hämodialysepatienten und identifizierte klinische Prädiktoren der Gebrechlichkeit anhand modifizierter Fried-Kriterien.</w:t>
      </w:r>
    </w:p>
    <w:p>
      <w:r>
        <w:rPr>
          <w:b/>
        </w:rPr>
        <w:t xml:space="preserve">Ergebnis: </w:t>
      </w:r>
      <w:r>
        <w:t>Die VAS hatte gute Spezifität (94,3%), übersah aber viele gebrechliche Patienten (Sensitivität 36,5%). Ein Modell mit Routineparametern zeigte gute Vorhersageleistung (AUC 0,816). Patienten mit Fried-Frailty hatten häufiger zentrale Venenkatheter, niedrigere Diurese, Kreatinin und Albumin sowie mehr Herz-Kreislauf-Erkrankungen.</w:t>
      </w:r>
    </w:p>
    <w:p>
      <w:r>
        <w:rPr>
          <w:b/>
          <w:sz w:val="19"/>
        </w:rPr>
        <w:t xml:space="preserve">Übertragbarkeit: </w:t>
      </w:r>
      <w:r>
        <w:rPr>
          <w:sz w:val="19"/>
        </w:rPr>
        <w:t>Deutsche Kliniken, vergleichbare Dialysedokumentation und Versorgungsstrukturen</w:t>
      </w:r>
    </w:p>
    <w:p>
      <w:r>
        <w:rPr>
          <w:color w:val="5A7D3A"/>
          <w:sz w:val="18"/>
        </w:rPr>
        <w:t>https://pubmed.ncbi.nlm.nih.gov/42493781/</w:t>
      </w:r>
    </w:p>
    <w:p>
      <w:pPr>
        <w:pStyle w:val="Heading2"/>
      </w:pPr>
      <w:r>
        <w:t>Diabetes-Epidemiologie in Dänemark: Trends von 1996 bis 2024</w:t>
      </w:r>
    </w:p>
    <w:p>
      <w:r>
        <w:rPr>
          <w:i/>
          <w:color w:val="666666"/>
          <w:sz w:val="18"/>
        </w:rPr>
        <w:t>Wibaek R et al.  ·  BMJ Open Diabetes Res Care  ·  10.07.2026  ·  PMID 42431705</w:t>
      </w:r>
    </w:p>
    <w:p>
      <w:r>
        <w:t>Nationale Register-Kohortenstudie (1996–2024) quantifizierte Trends in Prävalenz, Inzidenz, Mortalität und Lebensjahren verloren durch Diabetes in Dänemark.</w:t>
      </w:r>
    </w:p>
    <w:p>
      <w:r>
        <w:rPr>
          <w:b/>
        </w:rPr>
        <w:t xml:space="preserve">Ergebnis: </w:t>
      </w:r>
      <w:r>
        <w:t>Diabetes-Prävalenz verdreifachte sich auf 6,1 % (366.174 Personen); Typ 2 Diabetes stieg jährlich ~4,1 %. Typ 1 Inzidenz sank um 1,1 % pro Jahr. Mortalität sank bis 2012, dann Stabilisierung. Standardisierte Mortalitätsquoten sanken für Typ 1 (nach 2008), stiegen aber für Typ 2. Männer hatten höhere Typ 2 Inzidenz als Frauen.</w:t>
      </w:r>
    </w:p>
    <w:p>
      <w:r>
        <w:rPr>
          <w:b/>
          <w:sz w:val="19"/>
        </w:rPr>
        <w:t xml:space="preserve">Übertragbarkeit: </w:t>
      </w:r>
      <w:r>
        <w:rPr>
          <w:sz w:val="19"/>
        </w:rPr>
        <w:t>Skandinavien, vergleichbares Sozialversicherungssystem und Datenzugang</w:t>
      </w:r>
    </w:p>
    <w:p>
      <w:r>
        <w:rPr>
          <w:color w:val="5A7D3A"/>
          <w:sz w:val="18"/>
        </w:rPr>
        <w:t>https://pubmed.ncbi.nlm.nih.gov/42431705/</w:t>
      </w:r>
    </w:p>
    <w:p>
      <w:pPr>
        <w:pStyle w:val="Heading2"/>
      </w:pPr>
      <w:r>
        <w:t>Darmmikrobiota und Frailty bei älteren Frauen: europäische Validierung</w:t>
      </w:r>
    </w:p>
    <w:p>
      <w:r>
        <w:rPr>
          <w:i/>
          <w:color w:val="666666"/>
          <w:sz w:val="18"/>
        </w:rPr>
        <w:t>Vilar Geraldi M et al.  ·  Nat Commun  ·  08.07.2026  ·  PMID 42420265</w:t>
      </w:r>
    </w:p>
    <w:p>
      <w:r>
        <w:t>Studie analysierte Darmmetagenomik-Profile bei 2.081 schwedischen Frauen (75-80 Jahre) im Bezug auf einen entwickelten Frailty-Mortality-Index (FMI) und validierte Ergebnisse in einer chinesischen Kohorte.</w:t>
      </w:r>
    </w:p>
    <w:p>
      <w:r>
        <w:rPr>
          <w:b/>
        </w:rPr>
        <w:t xml:space="preserve">Ergebnis: </w:t>
      </w:r>
      <w:r>
        <w:t>FMI war invers assoziiert mit mikrobieller Diversität, Genreichtum und funktionaler Kapazität. 404 Bakterienarten waren signifikant mit FMI assoziiert; die meisten zeigten konsistente Assoziationen in der chinesischen Kohorte (n=1.448). Mikrobielle Signaturen waren mit Mortalität und funktioneller Einschränkung verknüpft.</w:t>
      </w:r>
    </w:p>
    <w:p>
      <w:r>
        <w:rPr>
          <w:b/>
          <w:sz w:val="19"/>
        </w:rPr>
        <w:t xml:space="preserve">Übertragbarkeit: </w:t>
      </w:r>
      <w:r>
        <w:rPr>
          <w:sz w:val="19"/>
        </w:rPr>
        <w:t>Skandinavien, ähnliche Sozialversicherung und Alterspopulation</w:t>
      </w:r>
    </w:p>
    <w:p>
      <w:r>
        <w:rPr>
          <w:color w:val="5A7D3A"/>
          <w:sz w:val="18"/>
        </w:rPr>
        <w:t>https://pubmed.ncbi.nlm.nih.gov/42420265/</w:t>
      </w:r>
    </w:p>
    <w:p>
      <w:pPr>
        <w:pStyle w:val="Heading1"/>
      </w:pPr>
      <w:r>
        <w:t>Aufgenommen am 29.08.2026</w:t>
      </w:r>
    </w:p>
    <w:p>
      <w:pPr>
        <w:pStyle w:val="Heading2"/>
      </w:pPr>
      <w:r>
        <w:t>Frailty verdoppelt Mortalität und Pflegebedarf bei hospitalisierten Älteren</w:t>
      </w:r>
    </w:p>
    <w:p>
      <w:r>
        <w:rPr>
          <w:i/>
          <w:color w:val="666666"/>
          <w:sz w:val="18"/>
        </w:rPr>
        <w:t>Kamo T et al.  ·  Geriatr Gerontol Int  ·  Sept. 2026  ·  PMID 42642794</w:t>
      </w:r>
    </w:p>
    <w:p>
      <w:r>
        <w:t>Systematische Übersicht und Metaanalyse von 57 Kohortenstudien zu Auswirkungen von Frailty auf Aktivitäten des täglichen Lebens und klinische Outcomes bei hospitalisierten älteren Erwachsenen (≥65 Jahre).</w:t>
      </w:r>
    </w:p>
    <w:p>
      <w:r>
        <w:rPr>
          <w:b/>
        </w:rPr>
        <w:t xml:space="preserve">Ergebnis: </w:t>
      </w:r>
      <w:r>
        <w:t>Frailty war assoziiert mit schlechterer ADL-Funktionsfähigkeit (SMD –1,04), höherer Mortalität (RR 2,26), niedrigerer Wahrscheinlichkeit von Entlassung nach Hause (RR 0,79) und höherem Wiederaufnahmerisiko in 30 Tagen (RR 1,47). Diese Effekte waren konsistent über Studien hinweg.</w:t>
      </w:r>
    </w:p>
    <w:p>
      <w:r>
        <w:rPr>
          <w:b/>
          <w:sz w:val="19"/>
        </w:rPr>
        <w:t xml:space="preserve">Übertragbarkeit: </w:t>
      </w:r>
      <w:r>
        <w:rPr>
          <w:sz w:val="19"/>
        </w:rPr>
        <w:t>Überwiegend anglo-amerikanische und europäische Studien; Frailty-Screening ist systemübergreifend anwendbar</w:t>
      </w:r>
    </w:p>
    <w:p>
      <w:r>
        <w:rPr>
          <w:color w:val="5A7D3A"/>
          <w:sz w:val="18"/>
        </w:rPr>
        <w:t>https://pubmed.ncbi.nlm.nih.gov/42642794/</w:t>
      </w:r>
    </w:p>
    <w:p>
      <w:pPr>
        <w:pStyle w:val="Heading2"/>
      </w:pPr>
      <w:r>
        <w:t>Plasma-Biomarker p-tau217 bei älteren Patienten: Nierenfunktion erklärt mehr Varianz als Gebrechlichkeit</w:t>
      </w:r>
    </w:p>
    <w:p>
      <w:r>
        <w:rPr>
          <w:i/>
          <w:color w:val="666666"/>
          <w:sz w:val="18"/>
        </w:rPr>
        <w:t>Goll J et al.  ·  Alzheimers Dement  ·  Aug. 2026  ·  PMID 42625502</w:t>
      </w:r>
    </w:p>
    <w:p>
      <w:r>
        <w:t>Querschnittsuntersuchung von 283 älteren Patienten (Norfrail- und Dementia-Cohort) zur Assoziation zwischen Gebrechlichkeit und Plasma-Biomarkern (p-tau217, Neurofilament-Leichte-Kette, GFAP) für Alzheimer-Pathologie.</w:t>
      </w:r>
    </w:p>
    <w:p>
      <w:r>
        <w:rPr>
          <w:b/>
        </w:rPr>
        <w:t xml:space="preserve">Ergebnis: </w:t>
      </w:r>
      <w:r>
        <w:t>Keine signifikante Assoziation zwischen p-tau217 und Gebrechlichkeit; die eGFR erklärte 27% der p-tau217-Varianz (p &lt; 0,001). Neurofilament-Leichte-Kette war einziger Biomarker signifikant mit Gebrechlichkeit assoziiert (p &lt; 0,01). Kliniker müssen Nierenfunktion bei Interpretation berücksichtigen.</w:t>
      </w:r>
    </w:p>
    <w:p>
      <w:r>
        <w:rPr>
          <w:b/>
          <w:sz w:val="19"/>
        </w:rPr>
        <w:t xml:space="preserve">Übertragbarkeit: </w:t>
      </w:r>
      <w:r>
        <w:rPr>
          <w:sz w:val="19"/>
        </w:rPr>
        <w:t>Norwegen, europäisches Gesundheitssystem; Befund zum Niereneinflusses auf Blutbiomarker ist systemunabhängig</w:t>
      </w:r>
    </w:p>
    <w:p>
      <w:r>
        <w:rPr>
          <w:color w:val="5A7D3A"/>
          <w:sz w:val="18"/>
        </w:rPr>
        <w:t>https://pubmed.ncbi.nlm.nih.gov/42625502/</w:t>
      </w:r>
    </w:p>
    <w:p>
      <w:pPr>
        <w:pStyle w:val="Heading2"/>
      </w:pPr>
      <w:r>
        <w:t>Frühe Zuckerrestriktion reduziert Krebsrisiko um 30–70% und verlangsamt biologisches Altern</w:t>
      </w:r>
    </w:p>
    <w:p>
      <w:r>
        <w:rPr>
          <w:i/>
          <w:color w:val="666666"/>
          <w:sz w:val="18"/>
        </w:rPr>
        <w:t>Zhu C et al.  ·  Proc Natl Acad Sci U S A  ·  11.08.2026  ·  PMID 42550905</w:t>
      </w:r>
    </w:p>
    <w:p>
      <w:r>
        <w:t>Kausalitätsanalyse mittels natürliches Experiment (Ende der UK-Zuckerrationierung 1953) mit 64.761 Biobank-Teilnehmern geboren 1951–1956, zur Langzeitwirkung früher Zuckerexposition auf Krebsinzidenz und biologisches Altern.</w:t>
      </w:r>
    </w:p>
    <w:p>
      <w:r>
        <w:rPr>
          <w:b/>
        </w:rPr>
        <w:t xml:space="preserve">Ergebnis: </w:t>
      </w:r>
      <w:r>
        <w:t>Geburtskohortenunter Rationierung zeigten dosisabhängig reduzierte Krebsraten: Leber (HR 0,31), Rektum (HR 0,60), Lunge (HR 0,59), Prostata (HR 0,48), Brust (HR 0,64). Mechanismen: Persistente gesündere Ernährungsgewohnheiten (verhaltoral) und längere Telomere (2,2 Jahre weniger biologisches Altern), niedrigeres Granzym B. Kausalitätsevidenzen für frühe Ernährungsprägung.</w:t>
      </w:r>
    </w:p>
    <w:p>
      <w:r>
        <w:rPr>
          <w:b/>
          <w:sz w:val="19"/>
        </w:rPr>
        <w:t xml:space="preserve">Übertragbarkeit: </w:t>
      </w:r>
      <w:r>
        <w:rPr>
          <w:sz w:val="19"/>
        </w:rPr>
        <w:t>Großbritannien, vergleichbare Geburtskohortenstruktur; Befund zu prägenden Effekten früher Ernährung fundamental, aber Realisierbarkeit in Deutschland unterschiedlich</w:t>
      </w:r>
    </w:p>
    <w:p>
      <w:r>
        <w:rPr>
          <w:color w:val="5A7D3A"/>
          <w:sz w:val="18"/>
        </w:rPr>
        <w:t>https://pubmed.ncbi.nlm.nih.gov/42550905/</w:t>
      </w:r>
    </w:p>
    <w:p>
      <w:pPr>
        <w:pStyle w:val="Heading2"/>
      </w:pPr>
      <w:r>
        <w:t>Immediate orthostatic hypotension zeigt keine Assoziation mit Stürzen und Synkopen im Alter</w:t>
      </w:r>
    </w:p>
    <w:p>
      <w:r>
        <w:rPr>
          <w:i/>
          <w:color w:val="666666"/>
          <w:sz w:val="18"/>
        </w:rPr>
        <w:t>Reddin C et al.  ·  Age Ageing  ·  02.07.2026  ·  PMID 42462204</w:t>
      </w:r>
    </w:p>
    <w:p>
      <w:r>
        <w:t>Querschnitts- und prospektive Kohortenstudie mit 4.596 älteren Erwachsenen über 8 Jahre, die die Assoziation von orthosensitiver Hypotonie (OH) und unmittelbarer OH mit Stürzen und Synkopen untersuchte.</w:t>
      </w:r>
    </w:p>
    <w:p>
      <w:r>
        <w:rPr>
          <w:b/>
        </w:rPr>
        <w:t xml:space="preserve">Ergebnis: </w:t>
      </w:r>
      <w:r>
        <w:t>Unmittelbare OH kam bei 20,7% vor und war nicht signifikant mit Stürzen/Synkopen assoziiert (OR 1,22, 95% KI 0,93–1,57); hingegen war persistente OH assoziiert (OR 1,31, 95% KI 1,04–1,66, p &lt; 0,05). Die Unterscheidung zwischen beiden Varianten ist klinisch relevant.</w:t>
      </w:r>
    </w:p>
    <w:p>
      <w:r>
        <w:rPr>
          <w:b/>
          <w:sz w:val="19"/>
        </w:rPr>
        <w:t xml:space="preserve">Übertragbarkeit: </w:t>
      </w:r>
      <w:r>
        <w:rPr>
          <w:sz w:val="19"/>
        </w:rPr>
        <w:t>Irland, vergleichbares europäisches Gesundheitssystem, bevölkerungsrepräsentative Stichprobe</w:t>
      </w:r>
    </w:p>
    <w:p>
      <w:r>
        <w:rPr>
          <w:color w:val="5A7D3A"/>
          <w:sz w:val="18"/>
        </w:rPr>
        <w:t>https://pubmed.ncbi.nlm.nih.gov/42462204/</w:t>
      </w:r>
    </w:p>
    <w:p>
      <w:pPr>
        <w:pStyle w:val="Heading2"/>
      </w:pPr>
      <w:r>
        <w:t>Gebrechlichkeit in etablierten Surveys messbar – ein Framework für nationale Monitoring in Europa</w:t>
      </w:r>
    </w:p>
    <w:p>
      <w:r>
        <w:rPr>
          <w:i/>
          <w:color w:val="666666"/>
          <w:sz w:val="18"/>
        </w:rPr>
        <w:t>Aicardi T et al.  ·  Eur J Public Health  ·  10.06.2026  ·  PMID 42452852</w:t>
      </w:r>
    </w:p>
    <w:p>
      <w:r>
        <w:t>Querschnittsstudie mit drei etablierten Frailty-Indikatoren (Tilburg, Groningen, Edmonton) in vier italienischen Bevölkerungssurveillance-Datensätzen (SHARE, EU-SILC, EHIS, AVQ).</w:t>
      </w:r>
    </w:p>
    <w:p>
      <w:r>
        <w:rPr>
          <w:b/>
        </w:rPr>
        <w:t xml:space="preserve">Ergebnis: </w:t>
      </w:r>
      <w:r>
        <w:t>Der Groningen Frailty Indicator war am replizierbaren über Surveys hinweg; die Edmonton Frail Scale zeigte stärkste Vorhersagekraft. EHIS-Daten waren optimal für Messungen geeignet. Gebrechlichkeit erklärte Gesundheitsoutcomes besser als Chronologisches Alter allein; klarer Nord-Süd-Gradient in Italien (p &lt; 0,001).</w:t>
      </w:r>
    </w:p>
    <w:p>
      <w:r>
        <w:rPr>
          <w:b/>
          <w:sz w:val="19"/>
        </w:rPr>
        <w:t xml:space="preserve">Übertragbarkeit: </w:t>
      </w:r>
      <w:r>
        <w:rPr>
          <w:sz w:val="19"/>
        </w:rPr>
        <w:t>Italien, EU-Mitgliedstaaten, vergleichbare Datensysteme mit Deutschland übertragbar</w:t>
      </w:r>
    </w:p>
    <w:p>
      <w:r>
        <w:rPr>
          <w:color w:val="5A7D3A"/>
          <w:sz w:val="18"/>
        </w:rPr>
        <w:t>https://pubmed.ncbi.nlm.nih.gov/42452852/</w:t>
      </w:r>
    </w:p>
    <w:p>
      <w:pPr>
        <w:pStyle w:val="Heading2"/>
      </w:pPr>
      <w:r>
        <w:t>Gesunde Lebensjahre regional stark abhängig von Einkommen und sozialen Faktoren</w:t>
      </w:r>
    </w:p>
    <w:p>
      <w:r>
        <w:rPr>
          <w:i/>
          <w:color w:val="666666"/>
          <w:sz w:val="18"/>
        </w:rPr>
        <w:t>Bachmann M et al.  ·  BMJ Open  ·  13.07.2026  ·  PMID 42442804</w:t>
      </w:r>
    </w:p>
    <w:p>
      <w:r>
        <w:t>Querschnittsanalyse zur Variabilität der gesunden Lebenserwartung (HLE) und Risikofaktoren in 128 kleinen geografischen Bereichen eines britischen integrierten Versorgungssystems.</w:t>
      </w:r>
    </w:p>
    <w:p>
      <w:r>
        <w:rPr>
          <w:b/>
        </w:rPr>
        <w:t xml:space="preserve">Ergebnis: </w:t>
      </w:r>
      <w:r>
        <w:t>HLE betrug durchschnittlich 66,5 Jahre (Männer, Spannweite 52–73) und 67,5 Jahre (Frauen, Spannweite 56–74). £100 höheres Wocheneinkommen war assoziiert mit 4,4 (95% KI 3,5–5,2) beziehungsweise 4,6 (95% KI 3,8–5,4) zusätzlichen HLE-Jahren. Alleinsein älterer Personen, körperliche Inaktivität und Deprivation zeigten starke Assoziationen mit niedrigerer HLE.</w:t>
      </w:r>
    </w:p>
    <w:p>
      <w:r>
        <w:rPr>
          <w:b/>
          <w:sz w:val="19"/>
        </w:rPr>
        <w:t xml:space="preserve">Übertragbarkeit: </w:t>
      </w:r>
      <w:r>
        <w:rPr>
          <w:sz w:val="19"/>
        </w:rPr>
        <w:t>Großbritannien, NHS-ähnliche Systeme; Ungleichheitsmessung direkt auf deutsche Regionen übertragbar</w:t>
      </w:r>
    </w:p>
    <w:p>
      <w:r>
        <w:rPr>
          <w:color w:val="5A7D3A"/>
          <w:sz w:val="18"/>
        </w:rPr>
        <w:t>https://pubmed.ncbi.nlm.nih.gov/42442804/</w:t>
      </w:r>
    </w:p>
    <w:p>
      <w:pPr>
        <w:pStyle w:val="Heading1"/>
      </w:pPr>
      <w:r>
        <w:t>Aufgenommen am 28.08.2026</w:t>
      </w:r>
    </w:p>
    <w:p>
      <w:pPr>
        <w:pStyle w:val="Heading2"/>
      </w:pPr>
      <w:r>
        <w:t>Territoriale Ungleichheiten von Gebrechlichkeit und Langlebigkeit in Italien</w:t>
      </w:r>
    </w:p>
    <w:p>
      <w:r>
        <w:rPr>
          <w:i/>
          <w:color w:val="666666"/>
          <w:sz w:val="18"/>
        </w:rPr>
        <w:t>Maccheroni C et al.  ·  Int J Environ Res Public Health  ·  23.07.2026  ·  PMID 42652263</w:t>
      </w:r>
    </w:p>
    <w:p>
      <w:r>
        <w:t>Analyse der geografischen Verteilung von Frailty, funktionalen Einschränkungen und Anspruch auf öffentliche Unterstützung in 21 italienischen Regionen auf Basis von Istat-, Eurostat- und INPS-Daten.</w:t>
      </w:r>
    </w:p>
    <w:p>
      <w:r>
        <w:rPr>
          <w:b/>
        </w:rPr>
        <w:t xml:space="preserve">Ergebnis: </w:t>
      </w:r>
      <w:r>
        <w:t>Italien zeigt hohe Lebenserwartung (Frauen 85,4, Männer 81,4 Jahre), aber gesunde Lebensjahre von nur 69,6 bzw. 68,5 Jahren. Der Süden und die Inseln weisen deutlich höhere Frailty-Prävalenz, mehr funktionale Einschränkungen und höhere Ansprüche auf öffentliche Hilfe auf als Zentrum-Nord. Frauen erleben längere Leben mit mehr Behinderung und Abhängigkeit.</w:t>
      </w:r>
    </w:p>
    <w:p>
      <w:r>
        <w:rPr>
          <w:b/>
          <w:sz w:val="19"/>
        </w:rPr>
        <w:t xml:space="preserve">Übertragbarkeit: </w:t>
      </w:r>
      <w:r>
        <w:rPr>
          <w:sz w:val="19"/>
        </w:rPr>
        <w:t>Italien, vollständige nationale Registeranalyse, europäisches Wohlfahrtssystem</w:t>
      </w:r>
    </w:p>
    <w:p>
      <w:r>
        <w:rPr>
          <w:color w:val="5A7D3A"/>
          <w:sz w:val="18"/>
        </w:rPr>
        <w:t>https://pubmed.ncbi.nlm.nih.gov/42652263/</w:t>
      </w:r>
    </w:p>
    <w:p>
      <w:pPr>
        <w:pStyle w:val="Heading2"/>
      </w:pPr>
      <w:r>
        <w:t>Kognitive Frailty bei älteren Herzinsuffizienzpatienten: systematische Übersicht</w:t>
      </w:r>
    </w:p>
    <w:p>
      <w:r>
        <w:rPr>
          <w:i/>
          <w:color w:val="666666"/>
          <w:sz w:val="18"/>
        </w:rPr>
        <w:t>Cheng M et al.  ·  Front Public Health  ·  11.08.2026  ·  PMID 42644078</w:t>
      </w:r>
    </w:p>
    <w:p>
      <w:r>
        <w:t>Systematische Übersicht und Metaanalyse von 22 Kohortenstudien (8.892 Patienten ≥65 Jahre mit Herzinsuffizienz) zur Prävalenz und Faktoren kognitiver Frailty.</w:t>
      </w:r>
    </w:p>
    <w:p>
      <w:r>
        <w:rPr>
          <w:b/>
        </w:rPr>
        <w:t xml:space="preserve">Ergebnis: </w:t>
      </w:r>
      <w:r>
        <w:t>Gepoolte Prävalenz kognitiver Frailty: 32 % (95%-KI 27–37 %). Bei Frauen 37 %, bei Männern 31 %. Nach NYHA-Klassifikation bei Klasse IV 44 %, Klasse II–III 28 %. Mit COPD-Komorbidität 46 %. Höheres Alter (bereinigt OR 1,12, 95%-KI 1,06–1,18) und Depression assoziiert mit höheren Odds; körperliche Aktivität und intellektuelle Aktivität mit niedrigeren Odds.</w:t>
      </w:r>
    </w:p>
    <w:p>
      <w:r>
        <w:rPr>
          <w:b/>
          <w:sz w:val="19"/>
        </w:rPr>
        <w:t xml:space="preserve">Übertragbarkeit: </w:t>
      </w:r>
      <w:r>
        <w:rPr>
          <w:sz w:val="19"/>
        </w:rPr>
        <w:t>Mehrländerstudie, überwiegend observativ, Versorgungsrelevanz für Herzinsuffizienz</w:t>
      </w:r>
    </w:p>
    <w:p>
      <w:r>
        <w:rPr>
          <w:color w:val="5A7D3A"/>
          <w:sz w:val="18"/>
        </w:rPr>
        <w:t>https://pubmed.ncbi.nlm.nih.gov/42644078/</w:t>
      </w:r>
    </w:p>
    <w:p>
      <w:pPr>
        <w:pStyle w:val="Heading2"/>
      </w:pPr>
      <w:r>
        <w:t>Erhöhte Arbeitsunfälle durch verzögerte Pensionierung im Alter</w:t>
      </w:r>
    </w:p>
    <w:p>
      <w:r>
        <w:rPr>
          <w:i/>
          <w:color w:val="666666"/>
          <w:sz w:val="18"/>
        </w:rPr>
        <w:t>Ardito C et al.  ·  Econ Hum Biol  ·  10.08.2026  ·  PMID 42617339</w:t>
      </w:r>
    </w:p>
    <w:p>
      <w:r>
        <w:t>Evaluation des Effekts der italienischen Rentenreform 2012 (Erhöhung der Anspruchsaltersgrenze) auf Arbeitsunfallrisiken bei älteren Erwerbstätigen mittels administrativer Daten aus der Privatwirtschaft.</w:t>
      </w:r>
    </w:p>
    <w:p>
      <w:r>
        <w:rPr>
          <w:b/>
        </w:rPr>
        <w:t xml:space="preserve">Ergebnis: </w:t>
      </w:r>
      <w:r>
        <w:t>Verzögerte Pensionierung führte zu statistisch signifikantem Anstieg krankheitsbedingter Abwesenheit durch Arbeitsunfälle um 2,6 % gegenüber dem Ausgangswert. Der Effekt konzentriert sich auf Kleinbetriebe (unter 15 Angestellten) und körperlich oder kognitiv fordernde Sektoren wie Fertigung. Kein Spillover-Effekt auf Arbeitskollegen.</w:t>
      </w:r>
    </w:p>
    <w:p>
      <w:r>
        <w:rPr>
          <w:b/>
          <w:sz w:val="19"/>
        </w:rPr>
        <w:t xml:space="preserve">Übertragbarkeit: </w:t>
      </w:r>
      <w:r>
        <w:rPr>
          <w:sz w:val="19"/>
        </w:rPr>
        <w:t>Italien, administrative Privatwirtschaftsdaten, vergleichbare Sozialversicherungssysteme</w:t>
      </w:r>
    </w:p>
    <w:p>
      <w:r>
        <w:rPr>
          <w:color w:val="5A7D3A"/>
          <w:sz w:val="18"/>
        </w:rPr>
        <w:t>https://pubmed.ncbi.nlm.nih.gov/42617339/</w:t>
      </w:r>
    </w:p>
    <w:p>
      <w:pPr>
        <w:pStyle w:val="Heading2"/>
      </w:pPr>
      <w:r>
        <w:t>Lebenserwartung und Gesundheitslebensjahre von Migranten in England und Wales</w:t>
      </w:r>
    </w:p>
    <w:p>
      <w:r>
        <w:rPr>
          <w:i/>
          <w:color w:val="666666"/>
          <w:sz w:val="18"/>
        </w:rPr>
        <w:t>Harrison J et al.  ·  PLoS One  ·  19.08.2026  ·  PMID 42616754</w:t>
      </w:r>
    </w:p>
    <w:p>
      <w:r>
        <w:t>Vergleich der Lebenserwartung und behinderungsfreien Lebensjahre bei 37 Ländern von Geburtsort in England und Wales über drei Zeitpunkte (2000–02, 2010–12, 2020–22) mittels Lebenstafeln und Sullivan-Methode.</w:t>
      </w:r>
    </w:p>
    <w:p>
      <w:r>
        <w:rPr>
          <w:b/>
        </w:rPr>
        <w:t xml:space="preserve">Ergebnis: </w:t>
      </w:r>
      <w:r>
        <w:t>Heterogene Muster: Die meisten Migrantengruppen zeigten höhere Lebenserwartung und behinderungsfreie Lebensjahre als in England und Wales geborene; einige der größten Migrantengruppen (Schottland, Irland, Polen, Litauen) zeigten niedrigere Lebenserwartung und höhere Behinderungslasten. Frauen aus Pakistan und Bangladesch lebten länger, aber mit mehr Behinderung.</w:t>
      </w:r>
    </w:p>
    <w:p>
      <w:r>
        <w:rPr>
          <w:b/>
          <w:sz w:val="19"/>
        </w:rPr>
        <w:t xml:space="preserve">Übertragbarkeit: </w:t>
      </w:r>
      <w:r>
        <w:rPr>
          <w:sz w:val="19"/>
        </w:rPr>
        <w:t>Großbritannien, nationale Zensus- und Mortalitätsdaten, vergleichbares Versicherungssystem</w:t>
      </w:r>
    </w:p>
    <w:p>
      <w:r>
        <w:rPr>
          <w:color w:val="5A7D3A"/>
          <w:sz w:val="18"/>
        </w:rPr>
        <w:t>https://pubmed.ncbi.nlm.nih.gov/42616754/</w:t>
      </w:r>
    </w:p>
    <w:p>
      <w:pPr>
        <w:pStyle w:val="Heading2"/>
      </w:pPr>
      <w:r>
        <w:t>Milde Bewegungstremor korreliert mit kognitiver Beeinträchtigung im Alter</w:t>
      </w:r>
    </w:p>
    <w:p>
      <w:r>
        <w:rPr>
          <w:i/>
          <w:color w:val="666666"/>
          <w:sz w:val="18"/>
        </w:rPr>
        <w:t>Kuhlenbäumer G et al.  ·  J Neurol  ·  11.08.2026  ·  PMID 42581283</w:t>
      </w:r>
    </w:p>
    <w:p>
      <w:r>
        <w:t>Querschnittsanalyse der KORA-Age-Studie (65–93 Jahre) zur Assoziation zwischen Tremorschweregrad (Archimedes-Spiral-Rating) und kognitiver Leistung (TICS-m) unter Verwendung multivariater Regression.</w:t>
      </w:r>
    </w:p>
    <w:p>
      <w:r>
        <w:rPr>
          <w:b/>
        </w:rPr>
        <w:t xml:space="preserve">Ergebnis: </w:t>
      </w:r>
      <w:r>
        <w:t>Tremorschweregrad war unabhängig mit kognitiver Leistung assoziiert. Im finalen Modell waren wichtigste Prädiktoren: Alter, Geschlecht, Parkinson-Score, Frailty und Tremor. Sensitivitätsanalysen unter Ausschluss wahrscheinlich pathologischer Tremoren attenuierten die Assoziation nicht. Altersbedingte Hirnveränderungen könnten gemeinsame Ursache sein.</w:t>
      </w:r>
    </w:p>
    <w:p>
      <w:r>
        <w:rPr>
          <w:b/>
          <w:sz w:val="19"/>
        </w:rPr>
        <w:t xml:space="preserve">Übertragbarkeit: </w:t>
      </w:r>
      <w:r>
        <w:rPr>
          <w:sz w:val="19"/>
        </w:rPr>
        <w:t>Deutschland, KORA-Bevölkerungskohort, nationale Datengrundlage</w:t>
      </w:r>
    </w:p>
    <w:p>
      <w:r>
        <w:rPr>
          <w:color w:val="5A7D3A"/>
          <w:sz w:val="18"/>
        </w:rPr>
        <w:t>https://pubmed.ncbi.nlm.nih.gov/42581283/</w:t>
      </w:r>
    </w:p>
    <w:p>
      <w:pPr>
        <w:pStyle w:val="Heading2"/>
      </w:pPr>
      <w:r>
        <w:t>Geriatrische Rehabilitation verbessert Funktionalität bei Mangelernährungsrisiko</w:t>
      </w:r>
    </w:p>
    <w:p>
      <w:r>
        <w:rPr>
          <w:i/>
          <w:color w:val="666666"/>
          <w:sz w:val="18"/>
        </w:rPr>
        <w:t>Runikhina NK et al.  ·  Adv Gerontol  ·  2026  ·  PMID 42502926</w:t>
      </w:r>
    </w:p>
    <w:p>
      <w:r>
        <w:t>Evaluierung von 21-Tage-Rehabilitationsprogrammen bei 482 älteren Patienten (60+ Jahre) mit (96, 19,9 %) und ohne Mangelernährungsrisiko durch umfassende geriatrische Bewertung vor und nach Intervention.</w:t>
      </w:r>
    </w:p>
    <w:p>
      <w:r>
        <w:rPr>
          <w:b/>
        </w:rPr>
        <w:t xml:space="preserve">Ergebnis: </w:t>
      </w:r>
      <w:r>
        <w:t>Beide Gruppen verbesserten sich signifikant in Funktionalität, kognitiver Leistung und Schmerz/Schlaf/Depression. Patienten mit Mangelernährungsrisiko waren älter (80,3 vs. 78,2 Jahre), hatten mehr Frailty (52,1 % vs. 30,9 %), mehr Stürze (36,8 % vs. 25,3 %) und Depression (40,6 % vs. 20,8 %). Diese Gruppe zeigte deutlich größere Verbesserungen in basaler und instrumenteller Funktionalität.</w:t>
      </w:r>
    </w:p>
    <w:p>
      <w:r>
        <w:rPr>
          <w:b/>
          <w:sz w:val="19"/>
        </w:rPr>
        <w:t xml:space="preserve">Übertragbarkeit: </w:t>
      </w:r>
      <w:r>
        <w:rPr>
          <w:sz w:val="19"/>
        </w:rPr>
        <w:t>Russland, Pirogov-Universitätsklinik, europäischer Gesundheitsauftrag vergleichbar</w:t>
      </w:r>
    </w:p>
    <w:p>
      <w:r>
        <w:rPr>
          <w:color w:val="5A7D3A"/>
          <w:sz w:val="18"/>
        </w:rPr>
        <w:t>https://pubmed.ncbi.nlm.nih.gov/42502926/</w:t>
      </w:r>
    </w:p>
    <w:p>
      <w:pPr>
        <w:pStyle w:val="Heading1"/>
      </w:pPr>
      <w:r>
        <w:t>Aufgenommen am 27.08.2026</w:t>
      </w:r>
    </w:p>
    <w:p>
      <w:pPr>
        <w:pStyle w:val="Heading2"/>
      </w:pPr>
      <w:r>
        <w:t>Verzögerte Sterblichkeit und Multimorbiditätsaufbau bei Nachkommen von Hundertjährigen</w:t>
      </w:r>
    </w:p>
    <w:p>
      <w:r>
        <w:rPr>
          <w:i/>
          <w:color w:val="666666"/>
          <w:sz w:val="18"/>
        </w:rPr>
        <w:t>Reed ER et al.  ·  JAMA Netw Open  ·  03.08.2026  ·  PMID 42646838</w:t>
      </w:r>
    </w:p>
    <w:p>
      <w:r>
        <w:t>Studie an drei unabhängigen Kohorten (LonGenity, NECS, UK Biobank) verglich Sterblichkeit und Erkrankungsbeginn bei Nachkommen von Hundertjährigen (≥100 Jahre) mit Kontrollpersonen.</w:t>
      </w:r>
    </w:p>
    <w:p>
      <w:r>
        <w:rPr>
          <w:b/>
        </w:rPr>
        <w:t xml:space="preserve">Ergebnis: </w:t>
      </w:r>
      <w:r>
        <w:t>Hundertjährige-Nachkommen zeigten reduzierte Mortalität (HR 0,58; 95%-KI 0,41–0,81), verzögerter Beginn von Herzerkrankungen (HR 0,67) und Hypertonie (HR 0,68; Verzögerung 5,21 Jahre). Der Effekt ist konsistent über drei Länder und zeigt, dass Longevität familial transmittiert wird.</w:t>
      </w:r>
    </w:p>
    <w:p>
      <w:r>
        <w:rPr>
          <w:b/>
          <w:sz w:val="19"/>
        </w:rPr>
        <w:t xml:space="preserve">Übertragbarkeit: </w:t>
      </w:r>
      <w:r>
        <w:rPr>
          <w:sz w:val="19"/>
        </w:rPr>
        <w:t>USA und Großbritannien; Generalisierbarkeit durch multiple Länder hoch</w:t>
      </w:r>
    </w:p>
    <w:p>
      <w:r>
        <w:rPr>
          <w:color w:val="5A7D3A"/>
          <w:sz w:val="18"/>
        </w:rPr>
        <w:t>https://pubmed.ncbi.nlm.nih.gov/42646838/</w:t>
      </w:r>
    </w:p>
    <w:p>
      <w:pPr>
        <w:pStyle w:val="Heading2"/>
      </w:pPr>
      <w:r>
        <w:t>Gebrechlichkeit und periphere Schwindel-Inzidenz: Dosis-Wirkungs-Befund in UK Biobank</w:t>
      </w:r>
    </w:p>
    <w:p>
      <w:r>
        <w:rPr>
          <w:i/>
          <w:color w:val="666666"/>
          <w:sz w:val="18"/>
        </w:rPr>
        <w:t>Zhai Z et al.  ·  Front Neurol  ·  11.08.2026  ·  PMID 42643260</w:t>
      </w:r>
    </w:p>
    <w:p>
      <w:r>
        <w:t>489266 UK-Biobank-Teilnehmer wurden auf Assoziationen zwischen Frailty-Status (Fried-Phänotyp) und Inzidenz von Schwindel (Vertigo) über 13,2 Jahre Nachverfolgung untersucht.</w:t>
      </w:r>
    </w:p>
    <w:p>
      <w:r>
        <w:rPr>
          <w:b/>
        </w:rPr>
        <w:t xml:space="preserve">Ergebnis: </w:t>
      </w:r>
      <w:r>
        <w:t>Präfrailty (HR 1,36; 95%-KI 1,26–1,48) und Frailty (HR 2,05; 95%-KI 1,77–2,37) waren unabhängig mit erhöhtem Schwindel-Risiko assoziiert. Linearer Dosis-Wirkungs-Trend: jeder Punkt Frailty-Score erhöhte Risiko um 24% (95%-KI 19–29%). Effekt stärker bei Frauen.</w:t>
      </w:r>
    </w:p>
    <w:p>
      <w:r>
        <w:rPr>
          <w:b/>
          <w:sz w:val="19"/>
        </w:rPr>
        <w:t xml:space="preserve">Übertragbarkeit: </w:t>
      </w:r>
      <w:r>
        <w:rPr>
          <w:sz w:val="19"/>
        </w:rPr>
        <w:t>UK Biobank, vergleichbare Dokumentation; relevanter Befund für Sturzrisiko-Assessment</w:t>
      </w:r>
    </w:p>
    <w:p>
      <w:r>
        <w:rPr>
          <w:color w:val="5A7D3A"/>
          <w:sz w:val="18"/>
        </w:rPr>
        <w:t>https://pubmed.ncbi.nlm.nih.gov/42643260/</w:t>
      </w:r>
    </w:p>
    <w:p>
      <w:pPr>
        <w:pStyle w:val="Heading2"/>
      </w:pPr>
      <w:r>
        <w:t>Mobiltelefonnutzung und körperliche Gebrechlichkeit: temporale Querschnittsanalyse ohne kausale Assoziation</w:t>
      </w:r>
    </w:p>
    <w:p>
      <w:r>
        <w:rPr>
          <w:i/>
          <w:color w:val="666666"/>
          <w:sz w:val="18"/>
        </w:rPr>
        <w:t>Kong S et al.  ·  Front Public Health  ·  10.08.2026  ·  PMID 42638665</w:t>
      </w:r>
    </w:p>
    <w:p>
      <w:r>
        <w:t>5533 Personen der UK Biobank (40–70 Jahre) wurden über drei Wellen auf zeitliche Beziehungen zwischen wöchentlicher Telefonanrufdauer und vier Dimensionen von Frailty untersucht.</w:t>
      </w:r>
    </w:p>
    <w:p>
      <w:r>
        <w:rPr>
          <w:b/>
        </w:rPr>
        <w:t xml:space="preserve">Ergebnis: </w:t>
      </w:r>
      <w:r>
        <w:t>Nach Korrektur für multiples Testen (FDR) zeigten sich nur zwei schwache, intermittierende Assoziationen: psychische Frailty T1→Telefonzeit T2 (β 0,086, p_FDR 0,048) und soziale Frailty T2→Telefonzeit T3 (β 0,078, p_FDR 0,033). Keine robusten bidirektionalen Effekte.</w:t>
      </w:r>
    </w:p>
    <w:p>
      <w:r>
        <w:rPr>
          <w:b/>
          <w:sz w:val="19"/>
        </w:rPr>
        <w:t xml:space="preserve">Übertragbarkeit: </w:t>
      </w:r>
      <w:r>
        <w:rPr>
          <w:sz w:val="19"/>
        </w:rPr>
        <w:t>UK Biobank, aber Ergebnis negativ (keine Effekt); Übertragbarkeit für Aussage 'kein Zusammenhang' gegeben</w:t>
      </w:r>
    </w:p>
    <w:p>
      <w:r>
        <w:rPr>
          <w:color w:val="5A7D3A"/>
          <w:sz w:val="18"/>
        </w:rPr>
        <w:t>https://pubmed.ncbi.nlm.nih.gov/42638665/</w:t>
      </w:r>
    </w:p>
    <w:p>
      <w:pPr>
        <w:pStyle w:val="Heading2"/>
      </w:pPr>
      <w:r>
        <w:t>Impfbotschaften im Fokus "gesundes Altern" erhöhen Impfintention bei älteren Erwachsenen</w:t>
      </w:r>
    </w:p>
    <w:p>
      <w:r>
        <w:rPr>
          <w:i/>
          <w:color w:val="666666"/>
          <w:sz w:val="18"/>
        </w:rPr>
        <w:t>Addario A et al.  ·  Vaccine  ·  17.09.2026  ·  PMID 42594637</w:t>
      </w:r>
    </w:p>
    <w:p>
      <w:r>
        <w:t>Querschnittsumfrage bei 2416 Personen ≥60 Jahren in Frankreich zu Effektivität von Impfbotschaften unter Einsatz von Social Marketing; drei Verhaltensadhärenz-Profile.</w:t>
      </w:r>
    </w:p>
    <w:p>
      <w:r>
        <w:rPr>
          <w:b/>
        </w:rPr>
        <w:t xml:space="preserve">Ergebnis: </w:t>
      </w:r>
      <w:r>
        <w:t>Zustimmung zu 'Impfung trägt zu gesundem Altern bei' stieg von 3% (niedrige Adhärenz) auf 56% (mittlere) und 78% (hohe). Botschaften zu Schlaganfall- und Herzinfarktreduktion zeigten höchste Impfabsicht (69% und 67% in hoher-Adhärenz-Gruppe). Vertrauenswürdige Gesundheitsfachleute waren Informationsquelle Nr. 1 (93–95%). Impfgutscheine: 57% (mittlere) bis 81% (hohe Adhärenz) würden sich impfen lassen.</w:t>
      </w:r>
    </w:p>
    <w:p>
      <w:r>
        <w:rPr>
          <w:b/>
          <w:sz w:val="19"/>
        </w:rPr>
        <w:t xml:space="preserve">Übertragbarkeit: </w:t>
      </w:r>
      <w:r>
        <w:rPr>
          <w:sz w:val="19"/>
        </w:rPr>
        <w:t>Frankreich, europäisches Gesundheitssystem; Transfer für Kommunikationsstrategie hoch</w:t>
      </w:r>
    </w:p>
    <w:p>
      <w:r>
        <w:rPr>
          <w:color w:val="5A7D3A"/>
          <w:sz w:val="18"/>
        </w:rPr>
        <w:t>https://pubmed.ncbi.nlm.nih.gov/42594637/</w:t>
      </w:r>
    </w:p>
    <w:p>
      <w:pPr>
        <w:pStyle w:val="Heading2"/>
      </w:pPr>
      <w:r>
        <w:t>Chair-Stand-Test als Mortalitätsprädiktor bei hochfunktionalen älteren Erwachsenen</w:t>
      </w:r>
    </w:p>
    <w:p>
      <w:r>
        <w:rPr>
          <w:i/>
          <w:color w:val="666666"/>
          <w:sz w:val="18"/>
        </w:rPr>
        <w:t>Máximo RO et al.  ·  Maturitas  ·  04.08.2026  ·  PMID 42570528</w:t>
      </w:r>
    </w:p>
    <w:p>
      <w:r>
        <w:t>2747 hochfunktionale ältere Erwachsene (Gehgeschwindigkeit &gt;0,8 oder &gt;1,0 m/s) der English Longitudinal Study of Ageing wurden 15 Jahre lang verfolgt; Mortalität nach Chair Stand Test und SPPB verglichen.</w:t>
      </w:r>
    </w:p>
    <w:p>
      <w:r>
        <w:rPr>
          <w:b/>
        </w:rPr>
        <w:t xml:space="preserve">Ergebnis: </w:t>
      </w:r>
      <w:r>
        <w:t>Mortalitätsraten: CST &gt;15 s: 41,4 pro 1000 Personenjahre vs. ≤15 s: 21,9. HR für CST &gt;15 s: 1,36 (95%-KI 1,13–1,62); für SPPB ≤10: HR 1,31 (95%-KI 1,12–1,54). Bei Gehgeschwindigkeit &gt;1,0 m/s: CST-HR 1,75 (95%-KI 1,30–2,36). CST ist einfacher anwendbar.</w:t>
      </w:r>
    </w:p>
    <w:p>
      <w:r>
        <w:rPr>
          <w:b/>
          <w:sz w:val="19"/>
        </w:rPr>
        <w:t xml:space="preserve">Übertragbarkeit: </w:t>
      </w:r>
      <w:r>
        <w:rPr>
          <w:sz w:val="19"/>
        </w:rPr>
        <w:t>England, vergleichbare Klinikpopulationen; schnelles, praktisches Test-Screening</w:t>
      </w:r>
    </w:p>
    <w:p>
      <w:r>
        <w:rPr>
          <w:color w:val="5A7D3A"/>
          <w:sz w:val="18"/>
        </w:rPr>
        <w:t>https://pubmed.ncbi.nlm.nih.gov/42570528/</w:t>
      </w:r>
    </w:p>
    <w:p>
      <w:pPr>
        <w:pStyle w:val="Heading2"/>
      </w:pPr>
      <w:r>
        <w:t>Renteneintritt und psychische Gesundheit: Kurzfristig besser, langfristig Erholung begrenzt</w:t>
      </w:r>
    </w:p>
    <w:p>
      <w:r>
        <w:rPr>
          <w:i/>
          <w:color w:val="666666"/>
          <w:sz w:val="18"/>
        </w:rPr>
        <w:t>Maddock J et al.  ·  Epidemiol Psychiatr Sci  ·  05.08.2026  ·  PMID 42552948</w:t>
      </w:r>
    </w:p>
    <w:p>
      <w:r>
        <w:t>Multilevel und instrumentale Variable Analyse bei 10698 Personen (48815 Beobachtungen) aus Survey of Health, Ageing and Retirement in Europe über 20 Jahre (10 Länder); Renteneintritt und Depressivität (EURO-D-Skala).</w:t>
      </w:r>
    </w:p>
    <w:p>
      <w:r>
        <w:rPr>
          <w:b/>
        </w:rPr>
        <w:t xml:space="preserve">Ergebnis: </w:t>
      </w:r>
      <w:r>
        <w:t>Spline-Modelle: minimal Veränderung vor Rente. Bei Renteneintritt leichte EURO-D-Reduktion (–0,07 Punkte/Jahr; 95%-KI –0,13 bis –0,0003), dann ab 2 Jahre post-Rente Anstieg (0,09/Jahr; 95%-KI 0,02–0,16). IV-Analyse: Rente assoziiert mit weniger Depressionssymptomen (–0,26; 95%-KI –0,45 bis –0,07). Alleinstehende berichteten höhere Depressivität, aber Wohnstatus moderierte Effekt nicht.</w:t>
      </w:r>
    </w:p>
    <w:p>
      <w:r>
        <w:rPr>
          <w:b/>
          <w:sz w:val="19"/>
        </w:rPr>
        <w:t xml:space="preserve">Übertragbarkeit: </w:t>
      </w:r>
      <w:r>
        <w:rPr>
          <w:sz w:val="19"/>
        </w:rPr>
        <w:t>10 europäische Länder, vergleichbare Rentensysteme; Evidenz für deutsche Sozialversicherung relevant</w:t>
      </w:r>
    </w:p>
    <w:p>
      <w:r>
        <w:rPr>
          <w:color w:val="5A7D3A"/>
          <w:sz w:val="18"/>
        </w:rPr>
        <w:t>https://pubmed.ncbi.nlm.nih.gov/42552948/</w:t>
      </w:r>
    </w:p>
    <w:p>
      <w:pPr>
        <w:pStyle w:val="Heading2"/>
      </w:pPr>
      <w:r>
        <w:t>Sexuelle Gesundheit älterer Menschen in Hausarztpraxen: Barrieren und Handlungsempfehlungen</w:t>
      </w:r>
    </w:p>
    <w:p>
      <w:r>
        <w:rPr>
          <w:i/>
          <w:color w:val="666666"/>
          <w:sz w:val="18"/>
        </w:rPr>
        <w:t>Kocurkova A et al.  ·  Age Ageing  ·  02.07.2026  ·  PMID 42506889</w:t>
      </w:r>
    </w:p>
    <w:p>
      <w:r>
        <w:t>Qualitative Studie (16 halbstrukturierte Interviews) mit NHS-Hausarztfachkräften in England zur Erfahrung bei Gesprächen über Sexualität mit älteren Patienten.</w:t>
      </w:r>
    </w:p>
    <w:p>
      <w:r>
        <w:rPr>
          <w:b/>
        </w:rPr>
        <w:t xml:space="preserve">Ergebnis: </w:t>
      </w:r>
      <w:r>
        <w:t>Drei Hauptthemen identifiziert: (1) Unbewusste Annahmen, Fachleute-Unbehagen und Zeitmangel begrenzen Diskussionen; (2) körperliche Symptome sind 'natürliche Öffner', Gespräche bleiben aber medizinisch-fokussiert; (3) minimale Nutzung von Leitlinien, stattdessen Intuition/Erfahrung. Fachkräfte fordern klare, prägnante, psychologisch informierte Werkzeuge und Training. Sexuelle Gesundheit wird nicht als Qualitätsaspekt im Alter normalisiert.</w:t>
      </w:r>
    </w:p>
    <w:p>
      <w:r>
        <w:rPr>
          <w:b/>
          <w:sz w:val="19"/>
        </w:rPr>
        <w:t xml:space="preserve">Übertragbarkeit: </w:t>
      </w:r>
      <w:r>
        <w:rPr>
          <w:sz w:val="19"/>
        </w:rPr>
        <w:t>England, NHS-Setting; Befunde zu Versorgungspraxen direkt übertragbar</w:t>
      </w:r>
    </w:p>
    <w:p>
      <w:r>
        <w:rPr>
          <w:color w:val="5A7D3A"/>
          <w:sz w:val="18"/>
        </w:rPr>
        <w:t>https://pubmed.ncbi.nlm.nih.gov/42506889/</w:t>
      </w:r>
    </w:p>
    <w:p>
      <w:pPr>
        <w:pStyle w:val="Heading1"/>
      </w:pPr>
      <w:r>
        <w:t>Aufgenommen am 26.08.2026</w:t>
      </w:r>
    </w:p>
    <w:p>
      <w:pPr>
        <w:pStyle w:val="Heading2"/>
      </w:pPr>
      <w:r>
        <w:t>Geriatrisches Assessment senkt Aufenthaltsdauer bei älteren Krankenhauspatienten</w:t>
      </w:r>
    </w:p>
    <w:p>
      <w:r>
        <w:rPr>
          <w:i/>
          <w:color w:val="666666"/>
          <w:sz w:val="18"/>
        </w:rPr>
        <w:t>Ahmed R et al.  ·  Ir Med J  ·  20.08.2026  ·  PMID 42640196</w:t>
      </w:r>
    </w:p>
    <w:p>
      <w:r>
        <w:t>Evaluierung eines neu eingeführten spezialistischen Geriatrie-Service mit Comprehensive Geriatric Assessment (CGA) in einem irischen Privatspital bei Patienten ab 75 Jahren.</w:t>
      </w:r>
    </w:p>
    <w:p>
      <w:r>
        <w:rPr>
          <w:b/>
        </w:rPr>
        <w:t xml:space="preserve">Ergebnis: </w:t>
      </w:r>
      <w:r>
        <w:t>84% der Patienten (42/50) wurden innerhalb von 48 Stunden geriatrisch untersucht (Median 29 Stunden). Multidisziplinäres Team-Engagement stieg von 45% auf 70%, Aufenthaltsdauer sank um 22% (von 8,7 auf 6,8 Tage), 66% wurden direkt nach Hause entlassen, 30-Tage-Wiederaufnahmen 10%.</w:t>
      </w:r>
    </w:p>
    <w:p>
      <w:r>
        <w:rPr>
          <w:b/>
          <w:sz w:val="19"/>
        </w:rPr>
        <w:t xml:space="preserve">Übertragbarkeit: </w:t>
      </w:r>
      <w:r>
        <w:rPr>
          <w:sz w:val="19"/>
        </w:rPr>
        <w:t>Irland, vergleichbare europäische Privatklinik-Strukturen, HSE-Qualitätsstandards</w:t>
      </w:r>
    </w:p>
    <w:p>
      <w:r>
        <w:rPr>
          <w:color w:val="5A7D3A"/>
          <w:sz w:val="18"/>
        </w:rPr>
        <w:t>https://pubmed.ncbi.nlm.nih.gov/42640196/</w:t>
      </w:r>
    </w:p>
    <w:p>
      <w:pPr>
        <w:pStyle w:val="Heading1"/>
      </w:pPr>
      <w:r>
        <w:t>Aufgenommen am 25.08.2026</w:t>
      </w:r>
    </w:p>
    <w:p>
      <w:pPr>
        <w:pStyle w:val="Heading2"/>
      </w:pPr>
      <w:r>
        <w:t>Langzeitverläufe der intrinsischen Kapazität vorhersagen Pflegeheimaufnahme und Mortalität</w:t>
      </w:r>
    </w:p>
    <w:p>
      <w:r>
        <w:rPr>
          <w:i/>
          <w:color w:val="666666"/>
          <w:sz w:val="18"/>
        </w:rPr>
        <w:t>Egbujie BA et al.  ·  Age Ageing  ·  03.08.2026  ·  PMID 42632919</w:t>
      </w:r>
    </w:p>
    <w:p>
      <w:r>
        <w:t>Kanadische Populationsstudie zu Längsmustern der intrinsischen Kapazität (Mobilität, Vitalität, Kognition, Psychisches, Sensorik) bei 302.467 Patienten häuslicher Pflege und Vorhersage von Outcomes.</w:t>
      </w:r>
    </w:p>
    <w:p>
      <w:r>
        <w:rPr>
          <w:b/>
        </w:rPr>
        <w:t xml:space="preserve">Ergebnis: </w:t>
      </w:r>
      <w:r>
        <w:t>Fünf distinkte Trajektorienmuster identifiziert; kognitive Beeinträchtigung war mit ungünstigen Trajectories assoziiert. Wichtig: Baseline-Kapazität allein war prognostisch unzureichend. Personen mit mäßiger Baseline-Kapazität zeigten höhere LTC-Einweisung als Personen mit niedriger Kapazität, die sich verbesserten (48,4 % vs. 38,1 %).</w:t>
      </w:r>
    </w:p>
    <w:p>
      <w:r>
        <w:rPr>
          <w:b/>
          <w:sz w:val="19"/>
        </w:rPr>
        <w:t xml:space="preserve">Übertragbarkeit: </w:t>
      </w:r>
      <w:r>
        <w:rPr>
          <w:sz w:val="19"/>
        </w:rPr>
        <w:t>Kanada, interRAI Home Care Routinedaten, Ansatz auf deutsches Assessment übertragbar.</w:t>
      </w:r>
    </w:p>
    <w:p>
      <w:r>
        <w:rPr>
          <w:color w:val="5A7D3A"/>
          <w:sz w:val="18"/>
        </w:rPr>
        <w:t>https://pubmed.ncbi.nlm.nih.gov/42632919/</w:t>
      </w:r>
    </w:p>
    <w:p>
      <w:pPr>
        <w:pStyle w:val="Heading2"/>
      </w:pPr>
      <w:r>
        <w:t>Gemeinsamer Gedächtnis- und Kognitionsverfall erhöht Risiko für Funktionsabhängigkeit im Alter</w:t>
      </w:r>
    </w:p>
    <w:p>
      <w:r>
        <w:rPr>
          <w:i/>
          <w:color w:val="666666"/>
          <w:sz w:val="18"/>
        </w:rPr>
        <w:t>Yin X et al.  ·  Alzheimers Dement  ·  Aug. 2026  ·  PMID 42630086</w:t>
      </w:r>
    </w:p>
    <w:p>
      <w:r>
        <w:t>Harmonisierte Längsschnittanalyse von vier Kohorten (China, USA, England, Europa) zur Vorhersage funktioneller Abhängigkeit durch gleichzeitige Veränderungen subjektiver und objektiver kognitiver Parameter.</w:t>
      </w:r>
    </w:p>
    <w:p>
      <w:r>
        <w:rPr>
          <w:b/>
        </w:rPr>
        <w:t xml:space="preserve">Ergebnis: </w:t>
      </w:r>
      <w:r>
        <w:t>Unter 62.329 Teilnehmern mit vollständiger Analyse war gleichzeitiger kognitiver Verfall am stärksten mit funktioneller Abhängigkeit assoziiert (Hazard Ratio 1,47; 95%-KI 1,38–1,57), stärker als einzelne Defizite (subjektiv-nur HR 1,22; objektiv-nur HR 1,12). In Konkurrenzrisiko-Analysen blieb der Zusammenhang robust (gepoolte HR 1,39; 95%-KI 1,27–1,51).</w:t>
      </w:r>
    </w:p>
    <w:p>
      <w:r>
        <w:rPr>
          <w:b/>
          <w:sz w:val="19"/>
        </w:rPr>
        <w:t xml:space="preserve">Übertragbarkeit: </w:t>
      </w:r>
      <w:r>
        <w:rPr>
          <w:sz w:val="19"/>
        </w:rPr>
        <w:t>Vier Kontinente, bevölkerungsrepräsentative Kohorten mit konsistenten Mustern.</w:t>
      </w:r>
    </w:p>
    <w:p>
      <w:r>
        <w:rPr>
          <w:color w:val="5A7D3A"/>
          <w:sz w:val="18"/>
        </w:rPr>
        <w:t>https://pubmed.ncbi.nlm.nih.gov/42630086/</w:t>
      </w:r>
    </w:p>
    <w:p>
      <w:pPr>
        <w:pStyle w:val="Heading1"/>
      </w:pPr>
      <w:r>
        <w:t>Aufgenommen am 24.08.2026</w:t>
      </w:r>
    </w:p>
    <w:p>
      <w:pPr>
        <w:pStyle w:val="Heading2"/>
      </w:pPr>
      <w:r>
        <w:t>Frailty-bedingte Nachfrage nach Gemeindeversorgung in England 2025–2040: Simulationen zeigen Potenzial von Frailty-Prävention, aber anhaltende Steigerung der Leistungsnutzung</w:t>
      </w:r>
    </w:p>
    <w:p>
      <w:r>
        <w:rPr>
          <w:i/>
          <w:color w:val="666666"/>
          <w:sz w:val="18"/>
        </w:rPr>
        <w:t>Walsh B et al.  ·  Age Ageing  ·  03.08.2026  ·  PMID 42632917</w:t>
      </w:r>
    </w:p>
    <w:p>
      <w:r>
        <w:t>Simulationsmodellierung auf englischen Routinedaten projiziert die Nachfrage nach psychosozialer Unterstützung, Gemeindegesundheit und Sozialhilfe für Menschen ≥50 Jahren mit Frailty bis 2040.</w:t>
      </w:r>
    </w:p>
    <w:p>
      <w:r>
        <w:rPr>
          <w:b/>
        </w:rPr>
        <w:t xml:space="preserve">Ergebnis: </w:t>
      </w:r>
      <w:r>
        <w:t>Mentale Gesundheit, Gemeindegesundheit und kommunale Sozialhilfe werden bis 2040 um 16 %, 30 % bzw. 30 % zunehmen. Senkung der Frailty-Inzidenz könnte zwischen 2025 und 2040 mentale Gesundheitskontakte um 1,4 Mio., Gemeindegesundheitskontakte um 10 Mio. und Sozialhilfefallanfragen um 400.000 reduzieren. Nachfrage wird trotz Prävention weiter wachsen, da bereits viele Menschen mit milder bis moderater Frailty leben.</w:t>
      </w:r>
    </w:p>
    <w:p>
      <w:r>
        <w:rPr>
          <w:b/>
          <w:sz w:val="19"/>
        </w:rPr>
        <w:t xml:space="preserve">Übertragbarkeit: </w:t>
      </w:r>
      <w:r>
        <w:rPr>
          <w:sz w:val="19"/>
        </w:rPr>
        <w:t>Englische NHS-Daten, die Ergebnisse sind für deutsches Gesundheitswesen gut übertragbar bezüglich Versorgungsplanung älter werdender Bevölkerung.</w:t>
      </w:r>
    </w:p>
    <w:p>
      <w:r>
        <w:rPr>
          <w:color w:val="5A7D3A"/>
          <w:sz w:val="18"/>
        </w:rPr>
        <w:t>https://pubmed.ncbi.nlm.nih.gov/42632917/</w:t>
      </w:r>
    </w:p>
    <w:p>
      <w:pPr>
        <w:pStyle w:val="Heading2"/>
      </w:pPr>
      <w:r>
        <w:t>Temporäre Mitarbeitende in der schwedischen Altenhilfe erschweren Kontinuität und belasten Stammpersonal: qualitative Managerstudie</w:t>
      </w:r>
    </w:p>
    <w:p>
      <w:r>
        <w:rPr>
          <w:i/>
          <w:color w:val="666666"/>
          <w:sz w:val="18"/>
        </w:rPr>
        <w:t>Lindmark T et al.  ·  BMC Health Serv Res  ·  29.07.2026  ·  PMID 42527915</w:t>
      </w:r>
    </w:p>
    <w:p>
      <w:r>
        <w:t>16 qualitative Interviews mit Managern auf vier Ebenen der schwedischen Altenhilfe (Heime, Ambulante Dienste, Administration) zu Chancen und Herausforderungen temporärer Beschäftigung.</w:t>
      </w:r>
    </w:p>
    <w:p>
      <w:r>
        <w:rPr>
          <w:b/>
        </w:rPr>
        <w:t xml:space="preserve">Ergebnis: </w:t>
      </w:r>
      <w:r>
        <w:t>Drei Themen: Balance zwischen Personaldeckung und Improvisation, Mangel an lokaler Kontrollierbarkeit der Rekrutierung, Spannung zwischen Flexibilität und Stabilität. Temporäre Mitarbeitende decken Lücken, erhöhen aber die Last auf Stammpersonal und erschweren Kontinuität. Erste-Linie-Manager fokussieren auf Tagesdeckung und Mitarbeiterschutz, höhere Manager auf Langzeitplanung. Zentrale Personalentscheidungen bevorzugen kurzfristige Deckung über Stabilität.</w:t>
      </w:r>
    </w:p>
    <w:p>
      <w:r>
        <w:rPr>
          <w:b/>
          <w:sz w:val="19"/>
        </w:rPr>
        <w:t xml:space="preserve">Übertragbarkeit: </w:t>
      </w:r>
      <w:r>
        <w:rPr>
          <w:sz w:val="19"/>
        </w:rPr>
        <w:t>Schweden, nordisches Sozialsystem mit öffentlicher Altenhilfe – Befunde zu Personalmanagement übertragbar auf Deutschland.</w:t>
      </w:r>
    </w:p>
    <w:p>
      <w:r>
        <w:rPr>
          <w:color w:val="5A7D3A"/>
          <w:sz w:val="18"/>
        </w:rPr>
        <w:t>https://pubmed.ncbi.nlm.nih.gov/42527915/</w:t>
      </w:r>
    </w:p>
    <w:p>
      <w:pPr>
        <w:pStyle w:val="Heading1"/>
      </w:pPr>
      <w:r>
        <w:t>Aufgenommen am 23.08.2026</w:t>
      </w:r>
    </w:p>
    <w:p>
      <w:pPr>
        <w:pStyle w:val="Heading2"/>
      </w:pPr>
      <w:r>
        <w:t>Psychosoziale und wirtschaftliche Faktoren gesunden Alterns in Europa: systematische Übersicht mit Syntheserahmen</w:t>
      </w:r>
    </w:p>
    <w:p>
      <w:r>
        <w:rPr>
          <w:i/>
          <w:color w:val="666666"/>
          <w:sz w:val="18"/>
        </w:rPr>
        <w:t>Wypych-Ślusarska A et al.  ·  Front Public Health  ·  06.08.2026  ·  PMID 42625570</w:t>
      </w:r>
    </w:p>
    <w:p>
      <w:r>
        <w:t>Systematische Übersicht europäischer Studien (2019-2024) zur Evidenz für psychosoziale und sozioökonomische Determinanten gesunden Alterns bei Älteren ≥65 Jahren in Europa.</w:t>
      </w:r>
    </w:p>
    <w:p>
      <w:r>
        <w:rPr>
          <w:b/>
        </w:rPr>
        <w:t xml:space="preserve">Ergebnis: </w:t>
      </w:r>
      <w:r>
        <w:t>Konsistente Evidenz für Schutzfunktion von sozialen Netzen, sozialer Integration und verminderter Einsamkeit für Gesundheit, Wohlbefinden und kognitive Funktionsfähigkeit. Autonomie und Unabhängigkeit traten als zentrale Elemente positiven Alterns hervor, ebenso Engagement in sozialen, physischen und beruflichen Aktivitäten. Literatur unterstreicht Bedarf für Public-Health-Politiken und Gemeindeumgebungen, die positives Altern durch integrierte physische, psychosoziale und soziale Strategien unterstützen. Die beiden übergeordneten Themenbereiche: psychosoziale und wirtschaftliche Determinanten, und soziale Programme/gemeindegestützte Interventionen.</w:t>
      </w:r>
    </w:p>
    <w:p>
      <w:r>
        <w:rPr>
          <w:b/>
          <w:sz w:val="19"/>
        </w:rPr>
        <w:t xml:space="preserve">Übertragbarkeit: </w:t>
      </w:r>
      <w:r>
        <w:rPr>
          <w:sz w:val="19"/>
        </w:rPr>
        <w:t>Europäische Studienbasis einschließlich Deutschland, vergleichbare Sozialversicherungssysteme</w:t>
      </w:r>
    </w:p>
    <w:p>
      <w:r>
        <w:rPr>
          <w:color w:val="5A7D3A"/>
          <w:sz w:val="18"/>
        </w:rPr>
        <w:t>https://pubmed.ncbi.nlm.nih.gov/42625570/</w:t>
      </w:r>
    </w:p>
    <w:p>
      <w:pPr>
        <w:pStyle w:val="Heading1"/>
      </w:pPr>
      <w:r>
        <w:t>Aufgenommen am 22.08.2026</w:t>
      </w:r>
    </w:p>
    <w:p>
      <w:pPr>
        <w:pStyle w:val="Heading2"/>
      </w:pPr>
      <w:r>
        <w:t>Körperliches Training reduziert kognitive Gebrechlichkeit zu 35 % über Stärkung der Selbstwirksamkeit</w:t>
      </w:r>
    </w:p>
    <w:p>
      <w:r>
        <w:rPr>
          <w:i/>
          <w:color w:val="666666"/>
          <w:sz w:val="18"/>
        </w:rPr>
        <w:t>Liang D et al.  ·  Front Public Health  ·  06.08.2026  ·  PMID 42625706</w:t>
      </w:r>
    </w:p>
    <w:p>
      <w:r>
        <w:t>Querschnittbefragung von 563 Gemeindemitbewohnern (≥60 J.) in Henan, China zu Zusammenhang zwischen körperlichem Training, Selbstwirksamkeit und kognitiver Gebrechlichkeit (Frailty + Kognition).</w:t>
      </w:r>
    </w:p>
    <w:p>
      <w:r>
        <w:rPr>
          <w:b/>
        </w:rPr>
        <w:t xml:space="preserve">Ergebnis: </w:t>
      </w:r>
      <w:r>
        <w:t>Prävalenz kognitive Gebrechlichkeit 21,3 %. Körperliches Training assoziiert mit weniger kognitiver Gebrechlichkeit; Selbstwirksamkeit mediiert 35,17 % dieses Effekts. Vollständiges Mediationsmodell unterstützt indirekten Weg über Selbstvertrauen.</w:t>
      </w:r>
    </w:p>
    <w:p>
      <w:r>
        <w:rPr>
          <w:b/>
          <w:sz w:val="19"/>
        </w:rPr>
        <w:t xml:space="preserve">Übertragbarkeit: </w:t>
      </w:r>
      <w:r>
        <w:rPr>
          <w:sz w:val="19"/>
        </w:rPr>
        <w:t>China-Studie mit großer Stichprobe, aber kulturelle und Gesundheitssystem-Unterschiede beachten – Mechanismus (Selbstwirksamkeit) transnational relevant.</w:t>
      </w:r>
    </w:p>
    <w:p>
      <w:r>
        <w:rPr>
          <w:color w:val="5A7D3A"/>
          <w:sz w:val="18"/>
        </w:rPr>
        <w:t>https://pubmed.ncbi.nlm.nih.gov/42625706/</w:t>
      </w:r>
    </w:p>
    <w:p>
      <w:pPr>
        <w:pStyle w:val="Heading2"/>
      </w:pPr>
      <w:r>
        <w:t>Loneliness and social isolation verringern die verbleibenden gesunden Lebensjahre deutlicher als physische Erkrankungen</w:t>
      </w:r>
    </w:p>
    <w:p>
      <w:r>
        <w:rPr>
          <w:i/>
          <w:color w:val="666666"/>
          <w:sz w:val="18"/>
        </w:rPr>
        <w:t>Wang X et al.  ·  Nat Commun  ·  20.08.2026  ·  PMID 42624836</w:t>
      </w:r>
    </w:p>
    <w:p>
      <w:r>
        <w:t>Querschnittanalyse von 277.489 britischen Erwachsenen ohne Erkrankungen zum Zusammenhang zwischen Einsamkeit, sozialer Isolation und der Lebensdauer frei von Krankheit.</w:t>
      </w:r>
    </w:p>
    <w:p>
      <w:r>
        <w:rPr>
          <w:b/>
        </w:rPr>
        <w:t xml:space="preserve">Ergebnis: </w:t>
      </w:r>
      <w:r>
        <w:t>Frauen mit Einsamkeit und sozialer Isolation verlieren 2,4 Jahre physisch krankheitsfrei und 3,7 Jahre mental krankheitsfrei; Männer verlieren 1,7 bzw. 5,8 Jahre. Soziale Isolation lässt sich durch gesunde Lebensstile teilweise ausgleichen (signifikant), nicht aber Einsamkeit.</w:t>
      </w:r>
    </w:p>
    <w:p>
      <w:r>
        <w:rPr>
          <w:b/>
          <w:sz w:val="19"/>
        </w:rPr>
        <w:t xml:space="preserve">Übertragbarkeit: </w:t>
      </w:r>
      <w:r>
        <w:rPr>
          <w:sz w:val="19"/>
        </w:rPr>
        <w:t>UK Biobank, vergleichbare Altersstruktur und Sozialversicherung; übertragbar auf deutsche Verhältnisse.</w:t>
      </w:r>
    </w:p>
    <w:p>
      <w:r>
        <w:rPr>
          <w:color w:val="5A7D3A"/>
          <w:sz w:val="18"/>
        </w:rPr>
        <w:t>https://pubmed.ncbi.nlm.nih.gov/42624836/</w:t>
      </w:r>
    </w:p>
    <w:p>
      <w:pPr>
        <w:pStyle w:val="Heading1"/>
      </w:pPr>
      <w:r>
        <w:t>Aufgenommen am 21.08.2026</w:t>
      </w:r>
    </w:p>
    <w:p>
      <w:pPr>
        <w:pStyle w:val="Heading2"/>
      </w:pPr>
      <w:r>
        <w:t>Heimgestützte multikomponenten Intervention bei Frailty und Prefrailty in älteren Krebsüberlebenden: Pilotuntersuchung</w:t>
      </w:r>
    </w:p>
    <w:p>
      <w:r>
        <w:rPr>
          <w:i/>
          <w:color w:val="666666"/>
          <w:sz w:val="18"/>
        </w:rPr>
        <w:t>Drevet S et al.  ·  Age Ageing  ·  03.08.2026  ·  PMID 42621847</w:t>
      </w:r>
    </w:p>
    <w:p>
      <w:r>
        <w:t>Quasi-experimentelle Vorher-Nachher-Studie (6 Monate) mit 110 Patienten ≥70 Jahren in Remission (Fried-Kriterien erfüllt). Intervention: betreute Übungen + Ernährungsunterstützung. Primärer Endpunkt: Anteil mit Frailty-/Prefrailty-Verbesserung von Baseline (M0) zu M6.</w:t>
      </w:r>
    </w:p>
    <w:p>
      <w:r>
        <w:rPr>
          <w:b/>
        </w:rPr>
        <w:t xml:space="preserve">Ergebnis: </w:t>
      </w:r>
      <w:r>
        <w:t>81 von 110 Teilnehmern vollendeten die Intervention. Baseline: 45% frail, 0% robust. Bei M6: 62% verbesserten ihren Frailty-Status; 78% der Frail zeigten Besserung, 51% der Prefrail wurden robust. Frailty-Schweregrad sank bei 74% der Teilnehmer. Vitamin-D zeigte Gruppen×Zeit-Interaktion; unterschiedliche Frailty-Trajektorien je nach Vitamin-D-Status. Funktionelle und physische Maße bei Baseline assoziiert mit Frailty (p&lt;0,05), nicht aber Tumor-Charakteristika.</w:t>
      </w:r>
    </w:p>
    <w:p>
      <w:r>
        <w:rPr>
          <w:b/>
          <w:sz w:val="19"/>
        </w:rPr>
        <w:t xml:space="preserve">Übertragbarkeit: </w:t>
      </w:r>
      <w:r>
        <w:rPr>
          <w:sz w:val="19"/>
        </w:rPr>
        <w:t>Frankreich, geriatrische Rehab in Praxis; multikomponenten Ansatz auch auf deutsches Versorgungssystem übertragbar</w:t>
      </w:r>
    </w:p>
    <w:p>
      <w:r>
        <w:rPr>
          <w:color w:val="5A7D3A"/>
          <w:sz w:val="18"/>
        </w:rPr>
        <w:t>https://pubmed.ncbi.nlm.nih.gov/42621847/</w:t>
      </w:r>
    </w:p>
    <w:p>
      <w:pPr>
        <w:pStyle w:val="Heading2"/>
      </w:pPr>
      <w:r>
        <w:t>Verankering älterer Menschen in globalen Klimaanpassungsplänen: Analyse von 204 Ländern</w:t>
      </w:r>
    </w:p>
    <w:p>
      <w:r>
        <w:rPr>
          <w:i/>
          <w:color w:val="666666"/>
          <w:sz w:val="18"/>
        </w:rPr>
        <w:t>Katz GM et al.  ·  Lancet Healthy Longev  ·  12.08.2026  ·  PMID 42586104</w:t>
      </w:r>
    </w:p>
    <w:p>
      <w:r>
        <w:t>Dokumentenanalyse von 204 Nationalstaaten zu Berücksichtigung älterer Menschen (≥65 Jahre) in Klimaanpassungsplänen. Identifiziert 16 Adaptationsthemen (Temperaturschutz, Partizipation, Katastrophenvorsorge, etc.) und deren Häufigkeit in nationalen Strategien.</w:t>
      </w:r>
    </w:p>
    <w:p>
      <w:r>
        <w:rPr>
          <w:b/>
        </w:rPr>
        <w:t xml:space="preserve">Ergebnis: </w:t>
      </w:r>
      <w:r>
        <w:t>125 Länder (61,3%) integrieren 1–5 Themen, 2 Länder (1,0%) sechs bis zehn, 1 Land (0,5%) ≥11 Themen, 77 Länder (37,7%) keine Themen. Häufigste Themen: extreme Hitze, Partizipation Älterer, Katastrophenprävention. Nur 47 Länder (23%) beschreiben konkrete Maßnahmen, Programme oder Finanzierungszusagen für ältere Menschen. Befund: erhebliche Lücken in der Berücksichtigung älterter Menschen in Klimapolitik.</w:t>
      </w:r>
    </w:p>
    <w:p>
      <w:r>
        <w:rPr>
          <w:b/>
          <w:sz w:val="19"/>
        </w:rPr>
        <w:t xml:space="preserve">Übertragbarkeit: </w:t>
      </w:r>
      <w:r>
        <w:rPr>
          <w:sz w:val="19"/>
        </w:rPr>
        <w:t>Globale Perspektive, Deutschland in Stichprobe enthalten, zeigt Governance-Gap bei Umwelt und Gerontologie</w:t>
      </w:r>
    </w:p>
    <w:p>
      <w:r>
        <w:rPr>
          <w:color w:val="5A7D3A"/>
          <w:sz w:val="18"/>
        </w:rPr>
        <w:t>https://pubmed.ncbi.nlm.nih.gov/42586104/</w:t>
      </w:r>
    </w:p>
    <w:p>
      <w:pPr>
        <w:pStyle w:val="Heading1"/>
      </w:pPr>
      <w:r>
        <w:t>Aufgenommen am 20.08.2026</w:t>
      </w:r>
    </w:p>
    <w:p>
      <w:pPr>
        <w:pStyle w:val="Heading2"/>
      </w:pPr>
      <w:r>
        <w:t>Konzept des gesunden Alterns in Norwegen: Qualitative Analyse von Perspektiven älterer Menschen, Fachkräfte und Entscheidungsträger</w:t>
      </w:r>
    </w:p>
    <w:p>
      <w:r>
        <w:rPr>
          <w:i/>
          <w:color w:val="666666"/>
          <w:sz w:val="18"/>
        </w:rPr>
        <w:t>Bikova M et al.  ·  BMC Health Serv Res  ·  14.08.2026  ·  PMID 42613606</w:t>
      </w:r>
    </w:p>
    <w:p>
      <w:r>
        <w:t>Qualitative Studie mit 23 semi-strukturierten Interviews (ältere Menschen, Fachkräfte, Entscheidungsträger) zur Interpretation des UN-Jahrzehnts des gesunden Alterns in einer norwegischen Kommune.</w:t>
      </w:r>
    </w:p>
    <w:p>
      <w:r>
        <w:rPr>
          <w:b/>
        </w:rPr>
        <w:t xml:space="preserve">Ergebnis: </w:t>
      </w:r>
      <w:r>
        <w:t>Drei zentrale Themen: Strategien zur Bewältigung, gemischte Alterswahrnehmungen, Gesundheitsdienste. Ergebnis: Altern wird als kollektive Verantwortung betont, aber zunehmend Älteren selbst übertragen; Digitalisierung ist Barriere für vulnerable Gruppen; kommunale Dienste werden als qualitativ hochwertig, aber ressourcengeprägt wahrgenommen. Schnelle Digitalisierung und Individualisierung verschärfen Ungleichheiten.</w:t>
      </w:r>
    </w:p>
    <w:p>
      <w:r>
        <w:rPr>
          <w:b/>
          <w:sz w:val="19"/>
        </w:rPr>
        <w:t xml:space="preserve">Übertragbarkeit: </w:t>
      </w:r>
      <w:r>
        <w:rPr>
          <w:sz w:val="19"/>
        </w:rPr>
        <w:t>Norwegen, skandinavisches Wohlfahrtssystem; Befunde zu Digitalisierungsbarrieren und Equity-Risiken übertragbar auf vergleichbare europäische Kontexte.</w:t>
      </w:r>
    </w:p>
    <w:p>
      <w:r>
        <w:rPr>
          <w:color w:val="5A7D3A"/>
          <w:sz w:val="18"/>
        </w:rPr>
        <w:t>https://pubmed.ncbi.nlm.nih.gov/42613606/</w:t>
      </w:r>
    </w:p>
    <w:p>
      <w:pPr>
        <w:pStyle w:val="Heading2"/>
      </w:pPr>
      <w:r>
        <w:t>Funktionale Performance im WHO-ICOPE-Rahmen: Brasilien und Europa zeigen zehn Jahre Unterschied in Funktionsverlust</w:t>
      </w:r>
    </w:p>
    <w:p>
      <w:r>
        <w:rPr>
          <w:i/>
          <w:color w:val="666666"/>
          <w:sz w:val="18"/>
        </w:rPr>
        <w:t>Oliveira VR et al.  ·  PLoS One  ·  05.08.2026  ·  PMID 42555548</w:t>
      </w:r>
    </w:p>
    <w:p>
      <w:r>
        <w:t>Vergleich von Determinanten der Funktionsfähigkeit (BADL/IADL) anhand von ELSI-Brasil (n=4825) und SHARE (n=25978) mit Analyse intrinsischer Kapazitätsdimensionen nach WHO-ICOPE-Modell.</w:t>
      </w:r>
    </w:p>
    <w:p>
      <w:r>
        <w:rPr>
          <w:b/>
        </w:rPr>
        <w:t xml:space="preserve">Ergebnis: </w:t>
      </w:r>
      <w:r>
        <w:t>Funktioneller Rückgang beginnt in Brasilien eine Dekade früher als in Europa. Risikomuster differieren: Mobilität–Handkraft schützender in Europa, Gehgeschwindigkeit Risikofaktor nur in Brasilien (OR 1,16); Depression höheres Risiko in Europa (OR 1,67–1,71) vs. Brasilien (OR 1,26–1,53); schlechte Selbsteinschätzung der Gesundheit stärkerer BADL-Risikofaktor in Brasilien (OR 2,72 vs. 2,07).</w:t>
      </w:r>
    </w:p>
    <w:p>
      <w:r>
        <w:rPr>
          <w:b/>
          <w:sz w:val="19"/>
        </w:rPr>
        <w:t xml:space="preserve">Übertragbarkeit: </w:t>
      </w:r>
      <w:r>
        <w:rPr>
          <w:sz w:val="19"/>
        </w:rPr>
        <w:t>Brasilien und Europa (SHARE), unterschiedliche Sozioökonomie; Befund zeigt kontextabhängige Risikofaktoren; ICOPE-Strategien müssen sozioökonomischen Unterschieden Rechnung tragen.</w:t>
      </w:r>
    </w:p>
    <w:p>
      <w:r>
        <w:rPr>
          <w:color w:val="5A7D3A"/>
          <w:sz w:val="18"/>
        </w:rPr>
        <w:t>https://pubmed.ncbi.nlm.nih.gov/42555548/</w:t>
      </w:r>
    </w:p>
    <w:p>
      <w:pPr>
        <w:pStyle w:val="Heading1"/>
      </w:pPr>
      <w:r>
        <w:t>Aufgenommen am 19.08.2026</w:t>
      </w:r>
    </w:p>
    <w:p>
      <w:pPr>
        <w:pStyle w:val="Heading2"/>
      </w:pPr>
      <w:r>
        <w:t>Frailty und kognitive Beeinträchtigung: Prospektive Assoziationen in fünf multinationalen Kohorten mit gepoolten Hazard Ratios</w:t>
      </w:r>
    </w:p>
    <w:p>
      <w:r>
        <w:rPr>
          <w:i/>
          <w:color w:val="666666"/>
          <w:sz w:val="18"/>
        </w:rPr>
        <w:t>Peng L et al.  ·  BMC Public Health  ·  25.07.2026  ·  PMID 42595986</w:t>
      </w:r>
    </w:p>
    <w:p>
      <w:r>
        <w:t>Länderübergreifende Metaanalyse von fünf Longitudinal-Kohorten (USA, England, Europa, China, Korea) mit insgesamt 47429 Teilnehmern zur Assoziation zwischen Baseline-Frailty-Status und kognitiver Beeinträchtigung sowie Frailty-Trajektorien und kognitiven Outcomes über 4–10 Jahre.</w:t>
      </w:r>
    </w:p>
    <w:p>
      <w:r>
        <w:rPr>
          <w:b/>
        </w:rPr>
        <w:t xml:space="preserve">Ergebnis: </w:t>
      </w:r>
      <w:r>
        <w:t>Pre-Frailty: gepoolte adjustierte HR 1,25 (95% CI 1,18–1,33) für kognitive Beeinträchtigung; Frailty: HR 1,69 (95% CI 1,50–1,90). Frailty-Trajektorien waren signifikant mit kognitiven Outcomes assoziiert (höhere Trajektorie: OR 1,45–4,37 für kognitive Beeinträchtigung; niedrigere: OR 0,46–0,72 protektiv). Befunde konsistent über alle Kohorten.</w:t>
      </w:r>
    </w:p>
    <w:p>
      <w:r>
        <w:rPr>
          <w:b/>
          <w:sz w:val="19"/>
        </w:rPr>
        <w:t xml:space="preserve">Übertragbarkeit: </w:t>
      </w:r>
      <w:r>
        <w:rPr>
          <w:sz w:val="19"/>
        </w:rPr>
        <w:t>HRS, ELSA, SHARE, CHARLS, KLoSA – europäische und non-europäische Daten, jedoch nur weil robust repliziert</w:t>
      </w:r>
    </w:p>
    <w:p>
      <w:r>
        <w:rPr>
          <w:color w:val="5A7D3A"/>
          <w:sz w:val="18"/>
        </w:rPr>
        <w:t>https://pubmed.ncbi.nlm.nih.gov/42595986/</w:t>
      </w:r>
    </w:p>
    <w:p>
      <w:pPr>
        <w:pStyle w:val="Heading2"/>
      </w:pPr>
      <w:r>
        <w:t>Akutgeriatrische Versorgungsmodelle in Dänemark: Nationale Bestandsaufnahme und Variabilität der Assessment-Praktiken</w:t>
      </w:r>
    </w:p>
    <w:p>
      <w:r>
        <w:rPr>
          <w:i/>
          <w:color w:val="666666"/>
          <w:sz w:val="18"/>
        </w:rPr>
        <w:t>Brockhattingen KK et al.  ·  Dan Med J  ·  02.07.2026  ·  PMID 42563704</w:t>
      </w:r>
    </w:p>
    <w:p>
      <w:r>
        <w:t>Nationale Querschnittsbefragung aller 20 Krankenhaus-Geriatriestationen in Dänemark zur Struktur, Teamzusammensetzung und Assessment-Funktionen in akutgeriatrischen Modellen für Patienten ≥65 Jahre mit akuter medizinischer Erkrankung.</w:t>
      </w:r>
    </w:p>
    <w:p>
      <w:r>
        <w:rPr>
          <w:b/>
        </w:rPr>
        <w:t xml:space="preserve">Ergebnis: </w:t>
      </w:r>
      <w:r>
        <w:t>Zwölf von 20 Stationen (60%) melden aktive akutgeriatrische Funktionen. Alle 12 führen diagnostische Bewertung, patientenzentrierte Evaluation und Basis-Assessments durch. Andere Elemente variabel: EKG (n=4–10/12), Ultraschall, Frailty-Assessment, interdisziplinäre Review, Koordination mit Community-Care (4–10/12). Erkenntnis: Große Variation in Struktur und Inhalten trotz Flächendeckung.</w:t>
      </w:r>
    </w:p>
    <w:p>
      <w:r>
        <w:rPr>
          <w:b/>
          <w:sz w:val="19"/>
        </w:rPr>
        <w:t xml:space="preserve">Übertragbarkeit: </w:t>
      </w:r>
      <w:r>
        <w:rPr>
          <w:sz w:val="19"/>
        </w:rPr>
        <w:t>Dänemark, europäisches Gesundheitssystem, vergleichbar mit deutschem Modell</w:t>
      </w:r>
    </w:p>
    <w:p>
      <w:r>
        <w:rPr>
          <w:color w:val="5A7D3A"/>
          <w:sz w:val="18"/>
        </w:rPr>
        <w:t>https://pubmed.ncbi.nlm.nih.gov/42563704/</w:t>
      </w:r>
    </w:p>
    <w:p>
      <w:pPr>
        <w:pStyle w:val="Heading1"/>
      </w:pPr>
      <w:r>
        <w:t>Aufgenommen am 18.08.2026</w:t>
      </w:r>
    </w:p>
    <w:p>
      <w:pPr>
        <w:pStyle w:val="Heading2"/>
      </w:pPr>
      <w:r>
        <w:t>Frailty-Verteilung und Sterblichkeit in Europa: Ländervergleich zeigt höchste Last in USA und Südosteuropa</w:t>
      </w:r>
    </w:p>
    <w:p>
      <w:r>
        <w:rPr>
          <w:i/>
          <w:color w:val="666666"/>
          <w:sz w:val="18"/>
        </w:rPr>
        <w:t>Drijver-Headley S et al.  ·  Age Ageing  ·  03.08.2026  ·  PMID 42607277</w:t>
      </w:r>
    </w:p>
    <w:p>
      <w:r>
        <w:t>Vergleichende Analyse von Frailty-Indizes, Sterblichkeit und Frailty-Progression in 17 Ländern mit unterschiedlichen Gesundheitssystemen.</w:t>
      </w:r>
    </w:p>
    <w:p>
      <w:r>
        <w:rPr>
          <w:b/>
        </w:rPr>
        <w:t xml:space="preserve">Ergebnis: </w:t>
      </w:r>
      <w:r>
        <w:t>In der USA, Mexiko und Südosteuropa war Gebrechlichkeit am höchsten, in Nord- und Zentraleuropa am niedrigsten; Sterblichkeit und Defizitakkumulation differierten erheblich zwischen Ländern, mit höchsten Werten in Mexiko. Meta-analytische Methoden zeigen, dass Frailty-Unterschiede zwischen Ländern wesentlich mit lokalen Einkommens- und Versorgungsstrukturen assoziiert sind.</w:t>
      </w:r>
    </w:p>
    <w:p>
      <w:r>
        <w:rPr>
          <w:b/>
          <w:sz w:val="19"/>
        </w:rPr>
        <w:t xml:space="preserve">Übertragbarkeit: </w:t>
      </w:r>
      <w:r>
        <w:rPr>
          <w:sz w:val="19"/>
        </w:rPr>
        <w:t>SHARE und ELSA (Europa) direkt vergleichbar; USA/Mexiko zeigen Effekte unterschiedlicher Finanzierung und sozialer Ungleichheit.</w:t>
      </w:r>
    </w:p>
    <w:p>
      <w:r>
        <w:rPr>
          <w:color w:val="5A7D3A"/>
          <w:sz w:val="18"/>
        </w:rPr>
        <w:t>https://pubmed.ncbi.nlm.nih.gov/42607277/</w:t>
      </w:r>
    </w:p>
    <w:p>
      <w:pPr>
        <w:pStyle w:val="Heading2"/>
      </w:pPr>
      <w:r>
        <w:t>Funktionelles Altern und Vermögensungleichheit: England und Kanada zeigen unterschiedliche Ungleichheitsgradienten</w:t>
      </w:r>
    </w:p>
    <w:p>
      <w:r>
        <w:rPr>
          <w:i/>
          <w:color w:val="666666"/>
          <w:sz w:val="18"/>
        </w:rPr>
        <w:t>Schrempft S et al.  ·  PLoS Med  ·  13.08.2026  ·  PMID 42594078</w:t>
      </w:r>
    </w:p>
    <w:p>
      <w:r>
        <w:t>Längsschnittstudie der Assoziation zwischen Vermögen und körperlicher Funktionsfähigkeit (Ganggeschwindigkeit, Griffstärke, Mobilitätseinschränkungen, ADL/IADL) in England und Kanada über 10 Jahre.</w:t>
      </w:r>
    </w:p>
    <w:p>
      <w:r>
        <w:rPr>
          <w:b/>
        </w:rPr>
        <w:t xml:space="preserve">Ergebnis: </w:t>
      </w:r>
      <w:r>
        <w:t>Bei weniger Vermögen: 15 Jahre Funktionsverlust bei Ganggeschwindigkeit in England vs. 9 Jahre in Kanada; 20 Jahre Funktionsverlust bei ADL-Schwierigkeiten in England vs. 9 Jahre in Kanada. Vermögensungleichheiten in der Funktionsfähigkeit waren größer in England trotz ähnlicher Gesundheitssysteme, bleiben nach Anpassung für Komorbiditäten bestehen.</w:t>
      </w:r>
    </w:p>
    <w:p>
      <w:r>
        <w:rPr>
          <w:b/>
          <w:sz w:val="19"/>
        </w:rPr>
        <w:t xml:space="preserve">Übertragbarkeit: </w:t>
      </w:r>
      <w:r>
        <w:rPr>
          <w:sz w:val="19"/>
        </w:rPr>
        <w:t>England und Kanada – beide gemäßigte Einkommen und ähnliche Sozialversicherung; Unterschied verdeutlicht Bedeutung von Vermögen neben Systemfinanzierung.</w:t>
      </w:r>
    </w:p>
    <w:p>
      <w:r>
        <w:rPr>
          <w:color w:val="5A7D3A"/>
          <w:sz w:val="18"/>
        </w:rPr>
        <w:t>https://pubmed.ncbi.nlm.nih.gov/42594078/</w:t>
      </w:r>
    </w:p>
    <w:p>
      <w:pPr>
        <w:pStyle w:val="Heading2"/>
      </w:pPr>
      <w:r>
        <w:t>Körperliche Aktivität schützt Nervenfasern im Gehirn – stärkster Effekt bei älteren und bewegungsarmen Personen</w:t>
      </w:r>
    </w:p>
    <w:p>
      <w:r>
        <w:rPr>
          <w:i/>
          <w:color w:val="666666"/>
          <w:sz w:val="18"/>
        </w:rPr>
        <w:t>Saxler E et al.  ·  Aging Cell  ·  Aug. 2026  ·  PMID 42568043</w:t>
      </w:r>
    </w:p>
    <w:p>
      <w:r>
        <w:t>Querschnittsstudie von 4.188 Teilnehmern (mittleres Alter 55,4 Jahre) der Rhineland-Studie zur Assoziation zwischen Beschleunigungsmesser-gemessener körperlicher Aktivität und Mikrostruktur weißer Substanz (Diffusions-MRT) mit Vermittlung durch Körpergewicht und kardiometabolische Faktoren.</w:t>
      </w:r>
    </w:p>
    <w:p>
      <w:r>
        <w:rPr>
          <w:b/>
        </w:rPr>
        <w:t xml:space="preserve">Ergebnis: </w:t>
      </w:r>
      <w:r>
        <w:t>Höherer Energieverbrauch assoziiert mit niedrigerem Richtungsdispersion-Index (β=–0,153 [–0,183 bis –0,122], p&lt;0,001), quadratischer Effekt leveling off (β=0,034 [0,017–0,051], p&lt;0,001). Mit zunehmendem Alter: körperliche Aktivität stärker mit höherer Neuritendichte und niedriger mittlerer Diffusivität assoziiert; Effekt am größten bei älteren und sedentären Personen, vermittelt durch Körpergewicht, kardiometabolische und entzündliche Faktoren.</w:t>
      </w:r>
    </w:p>
    <w:p>
      <w:r>
        <w:rPr>
          <w:b/>
          <w:sz w:val="19"/>
        </w:rPr>
        <w:t xml:space="preserve">Übertragbarkeit: </w:t>
      </w:r>
      <w:r>
        <w:rPr>
          <w:sz w:val="19"/>
        </w:rPr>
        <w:t>Deutschland (Bonn) – Populationsstichprobe, vergleichbare Versorgung, direkt auf Altenprävention übertragbar.</w:t>
      </w:r>
    </w:p>
    <w:p>
      <w:r>
        <w:rPr>
          <w:color w:val="5A7D3A"/>
          <w:sz w:val="18"/>
        </w:rPr>
        <w:t>https://pubmed.ncbi.nlm.nih.gov/42568043/</w:t>
      </w:r>
    </w:p>
    <w:p>
      <w:pPr>
        <w:pStyle w:val="Heading2"/>
      </w:pPr>
      <w:r>
        <w:t>Gebrechlichkeit verschlechtert Operationsergebnisse nach Notfall-Chirurgie bei älteren Erwachsenen um das Dreifache</w:t>
      </w:r>
    </w:p>
    <w:p>
      <w:r>
        <w:rPr>
          <w:i/>
          <w:color w:val="666666"/>
          <w:sz w:val="18"/>
        </w:rPr>
        <w:t>Fehlmann CA et al.  ·  Swiss Med Wkly  ·  26.06.2026  ·  PMID 42537629</w:t>
      </w:r>
    </w:p>
    <w:p>
      <w:r>
        <w:t>Retrospektive Kohortenstudie der Assoziation zwischen Gebrechlichkeit (Clinical Frailty Scale ≥5) und einjähriger Mortalität, Komplikationen, Krankenhausaufenthalt und Entlassungsort bei älteren Patienten (≥65 Jahre) nach elektiven Notfall-Eingriffen.</w:t>
      </w:r>
    </w:p>
    <w:p>
      <w:r>
        <w:rPr>
          <w:b/>
        </w:rPr>
        <w:t xml:space="preserve">Ergebnis: </w:t>
      </w:r>
      <w:r>
        <w:t>38,2 % waren gebrechlich; einjährige Mortalität 25,6 % (gebrechlich) vs. 6,6 % (nicht gebrechlich), adjustierte OR 3,0 [95%-KI 1,7–5,1]; Komplikationen OR 2,3 [1,5–3,6]; Krankenhausaufenthalt +46,4 % [26,8–69,0 %]; Entlassung nicht nach Hause OR 2,1 [1,4–3,2]. Frailty ist ein starker unabhängiger Risikofaktor für schlechte Ergebnisse.</w:t>
      </w:r>
    </w:p>
    <w:p>
      <w:r>
        <w:rPr>
          <w:b/>
          <w:sz w:val="19"/>
        </w:rPr>
        <w:t xml:space="preserve">Übertragbarkeit: </w:t>
      </w:r>
      <w:r>
        <w:rPr>
          <w:sz w:val="19"/>
        </w:rPr>
        <w:t>Schweiz – dem deutschsprachigen Raum ähnliches System, vergleichbare Klinikdokumentation und Risikostratifizierung.</w:t>
      </w:r>
    </w:p>
    <w:p>
      <w:r>
        <w:rPr>
          <w:color w:val="5A7D3A"/>
          <w:sz w:val="18"/>
        </w:rPr>
        <w:t>https://pubmed.ncbi.nlm.nih.gov/42537629/</w:t>
      </w:r>
    </w:p>
    <w:p>
      <w:pPr>
        <w:pStyle w:val="Heading2"/>
      </w:pPr>
      <w:r>
        <w:t>Schlaganfallmortalität in Europa: Zwei Jahrzehnte Rückgang getrieben durch bessere akute Versorgung, nicht durch Behinderungsreduktion</w:t>
      </w:r>
    </w:p>
    <w:p>
      <w:r>
        <w:rPr>
          <w:i/>
          <w:color w:val="666666"/>
          <w:sz w:val="18"/>
        </w:rPr>
        <w:t>Brigo F et al.  ·  Eur Stroke J  ·  06.07.2026  ·  PMID 42479895</w:t>
      </w:r>
    </w:p>
    <w:p>
      <w:r>
        <w:t>Analyse von Global Burden of Disease-Daten (1990–2023) zu Trends in Behinderungsjahren (DALYs), vorzeitige Todesfälle (YLLs) und Jahre mit Behinderung (YLDs) durch ischämische Schlaganfälle in europäischen Ländern.</w:t>
      </w:r>
    </w:p>
    <w:p>
      <w:r>
        <w:rPr>
          <w:b/>
        </w:rPr>
        <w:t xml:space="preserve">Ergebnis: </w:t>
      </w:r>
      <w:r>
        <w:t>DALY-Raten sanken in allen europäischen Ländern; durchschnittliche jährliche prozentuale Veränderung (EAPC) –3,40 % [–3,74 bis –3,05]; YLL-Rückgang –1,26 % [–1,43 bis –1,09]; YLD-Rückgang –3,86 % [–4,26 bis –3,46]. Rückgang der vorzeitigen Mortalität war Haupttreiber; YLD-Fortschritt blieb heterogen und geringer, regionale Unterschiede in Zentral-/Westeuropa vs. Ost-/Südosteuropa.</w:t>
      </w:r>
    </w:p>
    <w:p>
      <w:r>
        <w:rPr>
          <w:b/>
          <w:sz w:val="19"/>
        </w:rPr>
        <w:t xml:space="preserve">Übertragbarkeit: </w:t>
      </w:r>
      <w:r>
        <w:rPr>
          <w:sz w:val="19"/>
        </w:rPr>
        <w:t>Alle europäischen Länder – direkt vergleichbar mit Deutschland; GBD-Daten ermöglichen Vergleich von Versorgungsqualität und Prevention.</w:t>
      </w:r>
    </w:p>
    <w:p>
      <w:r>
        <w:rPr>
          <w:color w:val="5A7D3A"/>
          <w:sz w:val="18"/>
        </w:rPr>
        <w:t>https://pubmed.ncbi.nlm.nih.gov/42479895/</w:t>
      </w:r>
    </w:p>
    <w:p>
      <w:pPr>
        <w:pStyle w:val="Heading2"/>
      </w:pPr>
      <w:r>
        <w:t>Geriatrisches Assessment und sektorenübergreifende Versorgung reduzieren Pflegebedürftigkeit: Deutscher Konsens zu modernem Altersmanagement</w:t>
      </w:r>
    </w:p>
    <w:p>
      <w:r>
        <w:rPr>
          <w:i/>
          <w:color w:val="666666"/>
          <w:sz w:val="18"/>
        </w:rPr>
        <w:t>Gosch M et al.  ·  Z Gerontol Geriatr  ·  21.07.2026  ·  PMID 42479140</w:t>
      </w:r>
    </w:p>
    <w:p>
      <w:r>
        <w:t>Expertenpapier deutscher Geriater zu aktuellem Stand, evidenzbasierter Praxis und Zukunft geriatrischer Medizin, einschließlich Effekte von umfassendem Assessment und multiprofessionellen Modellen.</w:t>
      </w:r>
    </w:p>
    <w:p>
      <w:r>
        <w:rPr>
          <w:b/>
        </w:rPr>
        <w:t xml:space="preserve">Ergebnis: </w:t>
      </w:r>
      <w:r>
        <w:t>Zahlreiche Studien belegen: geriatrisches Assessment verbessert funktionelle Fähigkeiten, reduziert Pflegebedürftigkeit und verkürzt/verkürzt Krankenhausaufenthalte. Defizite bestehen in flächendeckender Versorgung, Finanzierung, Fachkräftemangel und Integration in andere Fachgebiete.</w:t>
      </w:r>
    </w:p>
    <w:p>
      <w:r>
        <w:rPr>
          <w:b/>
          <w:sz w:val="19"/>
        </w:rPr>
        <w:t xml:space="preserve">Übertragbarkeit: </w:t>
      </w:r>
      <w:r>
        <w:rPr>
          <w:sz w:val="19"/>
        </w:rPr>
        <w:t>Deutschland – direkte Evidenz zur deutschen Versorgungssituation und politischen Handlungsfelder für Systemreformen.</w:t>
      </w:r>
    </w:p>
    <w:p>
      <w:r>
        <w:rPr>
          <w:color w:val="5A7D3A"/>
          <w:sz w:val="18"/>
        </w:rPr>
        <w:t>https://pubmed.ncbi.nlm.nih.gov/42479140/</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Studienarchiv - Gesundes Altern und Longevity</dc:title>
  <dc:subject/>
  <dc:creator>Monitor Versorgungsforschung</dc:creator>
  <cp:keywords/>
  <dc:description>generated by python-docx</dc:description>
  <cp:lastModifiedBy/>
  <cp:revision>1</cp:revision>
  <dcterms:created xsi:type="dcterms:W3CDTF">2026-09-02T06:00:00Z</dcterms:created>
  <dcterms:modified xsi:type="dcterms:W3CDTF">2026-09-02T06:00:00Z</dcterms:modified>
  <cp:category/>
</cp:coreProperties>
</file>