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10.09.2026  |  6 Studien  |  longevity.m-vf.de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Altersgerechte Umgebungen reduzieren Motoric-Cognitive-Risk-Syndrom</w:t>
      </w:r>
    </w:p>
    <w:p>
      <w:r>
        <w:rPr>
          <w:i/>
          <w:color w:val="666666"/>
          <w:sz w:val="18"/>
        </w:rPr>
        <w:t>Zhang H et al.  ·  Alzheimers Dement  ·  Sept. 2026  ·  PMID 42712112</w:t>
      </w:r>
    </w:p>
    <w:p>
      <w:r>
        <w:t>Prospektive Kohortenstudie aus den USA, die den Zusammenhang zwischen altersgerechten Lebensumgebungen und Inzidenz des Motoric Cognitive Risk Syndrome (Prädemenzsyndrom) untersucht.</w:t>
      </w:r>
    </w:p>
    <w:p>
      <w:r>
        <w:rPr>
          <w:b/>
        </w:rPr>
        <w:t xml:space="preserve">Ergebnis: </w:t>
      </w:r>
      <w:r>
        <w:t>Über 4 Jahre Nachbeobachtung: 801 Neuerkrankungen bei 7.608 älteren Erwachsenen (Durchschnittsalter 76,8 Jahre). Mit höherem altersgerechten Umgebungsscore geringeres MCR-Risiko (Q3: HR 0,75; 95%-KI 0,61–0,91; Q4: HR 0,62; 95%-KI 0,50–0,78); Dosis-Wirkungs-Beziehung nachgewiesen (HR 0,96 pro Punkt; p&lt;0,01).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 – Umweltgestaltung ist länderübergreifend adaptierbar, Outcome-Messung jedoch populationsspezifisch.</w:t>
      </w:r>
    </w:p>
    <w:p>
      <w:r>
        <w:rPr>
          <w:color w:val="5A7D3A"/>
          <w:sz w:val="18"/>
        </w:rPr>
        <w:t>https://pubmed.ncbi.nlm.nih.gov/42712112/</w:t>
      </w:r>
    </w:p>
    <w:p>
      <w:pPr>
        <w:pStyle w:val="Heading2"/>
      </w:pPr>
      <w:r>
        <w:t>Mundgesundheit und Gebrechlichkeit bei Krebspatienten: Metaanalyse</w:t>
      </w:r>
    </w:p>
    <w:p>
      <w:r>
        <w:rPr>
          <w:i/>
          <w:color w:val="666666"/>
          <w:sz w:val="18"/>
        </w:rPr>
        <w:t>Liu W et al.  ·  Front Public Health  ·  24.08.2026  ·  PMID 42707137</w:t>
      </w:r>
    </w:p>
    <w:p>
      <w:r>
        <w:t>Systematische Übersicht und Metaanalyse von 13 Studien (n=3.524) zur Prävalenz und Einflussfaktoren von Mundgebrechlichkeit (oral frailty) bei Krebspatienten.</w:t>
      </w:r>
    </w:p>
    <w:p>
      <w:r>
        <w:rPr>
          <w:b/>
        </w:rPr>
        <w:t xml:space="preserve">Ergebnis: </w:t>
      </w:r>
      <w:r>
        <w:t>Mundgebrechlichkeit-Prävalenz 52 % (95%-KI: 46–59 %). Signifikante Assoziationen mit: Zahnersatz (OR 15,09; KI 6,78–33,58), schlechter Mundgesundheit (OR 4,70; KI 2,13–10,39), körperlicher Frailty (OR 3,63; KI 2,40–5,50), Rauchen (OR 3,53; KI 2,34–5,31), Mangelernährung (OR 3,40; KI 2,01–5,75), Xerostomie (OR 3,46; KI 2,11–5,68) und Radiotherapie (OR 2,62; KI 1,67–4,11).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Metaanalyse – risikofaktoren geriatrierelevant, aber Mundhygiene-Standards regional unterschiedlich.</w:t>
      </w:r>
    </w:p>
    <w:p>
      <w:r>
        <w:rPr>
          <w:color w:val="5A7D3A"/>
          <w:sz w:val="18"/>
        </w:rPr>
        <w:t>https://pubmed.ncbi.nlm.nih.gov/42707137/</w:t>
      </w:r>
    </w:p>
    <w:p>
      <w:pPr>
        <w:pStyle w:val="Heading2"/>
      </w:pPr>
      <w:r>
        <w:t>Demenzkonversion bei milder kognitiver Beeinträchtigung: Inzidenzraten in Brasilien</w:t>
      </w:r>
    </w:p>
    <w:p>
      <w:r>
        <w:rPr>
          <w:i/>
          <w:color w:val="666666"/>
          <w:sz w:val="18"/>
        </w:rPr>
        <w:t>Engelmann GTO et al.  ·  Alzheimers Dement  ·  Sept. 2026  ·  PMID 42706593</w:t>
      </w:r>
    </w:p>
    <w:p>
      <w:r>
        <w:t>15-Jahres-Kohortenstudie der kognitiven Entwicklung brasilianischer Älterer, die Übergangsraten von milder kognitiver Beeinträchtigung zu Demenz vom Alzheimer-Typ quantifiziert.</w:t>
      </w:r>
    </w:p>
    <w:p>
      <w:r>
        <w:rPr>
          <w:b/>
        </w:rPr>
        <w:t xml:space="preserve">Ergebnis: </w:t>
      </w:r>
      <w:r>
        <w:t>Jährliche Demenzkonversionsrate in der MCI-Gruppe 10,72 pro 100 Personenjahre (95%-KI: 8,54–13,29 %); kumulative Inzidenz nach 3 Jahren 29,85 % (95%-KI: 22,74–36,96 %), unter Berücksichtigung von Sterblichkeit als konkurrierende Ereignis. Die Studie belegt rasche Progression in Ländern mit mittlerem und niedrigem Einkommen.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- Daten für Länder mit niedrigerer Lebenserwartung; Übertragbarkeit auf Deutschland begrenzt.</w:t>
      </w:r>
    </w:p>
    <w:p>
      <w:r>
        <w:rPr>
          <w:color w:val="5A7D3A"/>
          <w:sz w:val="18"/>
        </w:rPr>
        <w:t>https://pubmed.ncbi.nlm.nih.gov/42706593/</w:t>
      </w:r>
    </w:p>
    <w:p>
      <w:pPr>
        <w:pStyle w:val="Heading2"/>
      </w:pPr>
      <w:r>
        <w:t>Lifestyle und Telomerlänge bei psychischen Erkrankungen</w:t>
      </w:r>
    </w:p>
    <w:p>
      <w:r>
        <w:rPr>
          <w:i/>
          <w:color w:val="666666"/>
          <w:sz w:val="18"/>
        </w:rPr>
        <w:t>Mlakar V et al.  ·  Transl Psychiatry  ·  02.09.2026  ·  PMID 42706234</w:t>
      </w:r>
    </w:p>
    <w:p>
      <w:r>
        <w:t>Querschnittstudie, die den Zusammenhang zwischen Lebensstilfaktoren und biologischem Alterungsmarker (Telomerlänge) bei 410 Personen mit schweren psychischen Störungen untersucht.</w:t>
      </w:r>
    </w:p>
    <w:p>
      <w:r>
        <w:rPr>
          <w:b/>
        </w:rPr>
        <w:t xml:space="preserve">Ergebnis: </w:t>
      </w:r>
      <w:r>
        <w:t>Personen mit ungesundem Lebensstil hatten kürzere Telomere als solche mit gesundem Lebensstil (Cohens d = 0,58, F = 8,62, p = 0,004). Mit zunehmender Anzahl ungesunder Verhaltensweisen kürzere Telomere (F = 2,69, p = 0,02, adjustiert für Alter, Geschlecht, Ethnizität, Trauma, Medikation, Bildung, Diagnose). Gesunder Lebensstil assoziiert mit etwa 6 Jahren niedrigerem biologischem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Norwegen-England – psychische Grundpopulation, methodisch solid; Übertragbarkeit auf deutsches Versorgungssystem moderat.</w:t>
      </w:r>
    </w:p>
    <w:p>
      <w:r>
        <w:rPr>
          <w:color w:val="5A7D3A"/>
          <w:sz w:val="18"/>
        </w:rPr>
        <w:t>https://pubmed.ncbi.nlm.nih.gov/42706234/</w:t>
      </w:r>
    </w:p>
    <w:p>
      <w:pPr>
        <w:pStyle w:val="Heading2"/>
      </w:pPr>
      <w:r>
        <w:t>Perspektivenübernahme reduziert Altersstereotypen bei Onlineinterventionen</w:t>
      </w:r>
    </w:p>
    <w:p>
      <w:r>
        <w:rPr>
          <w:i/>
          <w:color w:val="666666"/>
          <w:sz w:val="18"/>
        </w:rPr>
        <w:t>Stecker L et al.  ·  J Aging Stud  ·  08.08.2026  ·  PMID 42705830</w:t>
      </w:r>
    </w:p>
    <w:p>
      <w:r>
        <w:t>Experimentelle Studie, welche von drei Kurzzeitinterventionen gegen Altersdiskriminierung und Hassrede im Internet die Wirksamkeit vergleicht.</w:t>
      </w:r>
    </w:p>
    <w:p>
      <w:r>
        <w:rPr>
          <w:b/>
        </w:rPr>
        <w:t xml:space="preserve">Ergebnis: </w:t>
      </w:r>
      <w:r>
        <w:t>Perspektivenübernahme war die einzige Intervention, die explizite Stereotype signifikant reduzierte (zwischen den Gruppen gemessen mit IAT und Likert-Skalen); implizite Ageism-Verzerrung wurde durch keine der drei kurzen Interventionen verschoben. Altersangst moderierte die Effektivität nicht, sagte aber explizite Altersdiskriminierung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- universitäre Stichprobe, aber Onlineformat länderübergreifend einsetzbar.</w:t>
      </w:r>
    </w:p>
    <w:p>
      <w:r>
        <w:rPr>
          <w:color w:val="5A7D3A"/>
          <w:sz w:val="18"/>
        </w:rPr>
        <w:t>https://pubmed.ncbi.nlm.nih.gov/42705830/</w:t>
      </w:r>
    </w:p>
    <w:p>
      <w:pPr>
        <w:pStyle w:val="Heading2"/>
      </w:pPr>
      <w:r>
        <w:t>Schichtarbeit, biologische Altersbeschleunigung und Sterblichkeit</w:t>
      </w:r>
    </w:p>
    <w:p>
      <w:r>
        <w:rPr>
          <w:i/>
          <w:color w:val="666666"/>
          <w:sz w:val="18"/>
        </w:rPr>
        <w:t>Wang R et al.  ·  Int Arch Occup Environ Health  ·  06.09.2026  ·  PMID 42701914</w:t>
      </w:r>
    </w:p>
    <w:p>
      <w:r>
        <w:t>Prospektive Kohortenstudie von 7.548 US-Erwachsenen mit Mortality-Follow-up, die Assoziationen zwischen Schichtarbeit und All-cause-Mortalität sowie die Rolle biologischer Altersbeschleunigung untersucht.</w:t>
      </w:r>
    </w:p>
    <w:p>
      <w:r>
        <w:rPr>
          <w:b/>
        </w:rPr>
        <w:t xml:space="preserve">Ergebnis: </w:t>
      </w:r>
      <w:r>
        <w:t>Schichtarbeit assoziiert mit erhöhter Gesamtsterblichkeit (HR 1,52; 95%-KI 1,09–2,13). Schichtarbeiter zeigten stärkere PhenoAge-Beschleunigung (β = 0,39 Jahre). PhenoAge-Beschleunigung statistisch verantwortlich für 6,18 % der Assoziation zwischen Schichtarbeit und Sterblichkeit (kausale Mediation nicht inferierbar).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USA-NHANES-Daten – Schichtarbeit-Definition international vergleichbar, aber Arbeitsmarkt und Sozialversicherung unterscheiden sich erheblich.</w:t>
      </w:r>
    </w:p>
    <w:p>
      <w:r>
        <w:rPr>
          <w:color w:val="5A7D3A"/>
          <w:sz w:val="18"/>
        </w:rPr>
        <w:t>https://pubmed.ncbi.nlm.nih.gov/42701914/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