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27.09.2026  |  6 Studien  |  longevity.m-vf.de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Vorhersagemodell für postoperative Frailty bei Brustkrebspatienten</w:t>
      </w:r>
    </w:p>
    <w:p>
      <w:r>
        <w:rPr>
          <w:i/>
          <w:color w:val="666666"/>
          <w:sz w:val="18"/>
        </w:rPr>
        <w:t>Zhou Y et al.  ·  PeerJ  ·  22.09.2026  ·  PMID 42799450</w:t>
      </w:r>
    </w:p>
    <w:p>
      <w:r>
        <w:t>Querschnittsstudie mit 286 Brustkrebspatienten nach Operation; Frailty erfasst mit Tilburg Frailty Indicator (TFI), Schlafqualität mit Pittsburgh Sleep Quality Index (PSQI); logistische Regressionsmodellierung mit ROC-Kurven-Validierung.</w:t>
      </w:r>
    </w:p>
    <w:p>
      <w:r>
        <w:rPr>
          <w:b/>
        </w:rPr>
        <w:t xml:space="preserve">Ergebnis: </w:t>
      </w:r>
      <w:r>
        <w:t>Postoperative Frailty-Prävalenz: 29,37 %. Signifikante Einflussfaktoren waren Diabetes-Vorgeschichte, schlechte Schlafqualität, Cholesterin und BMI, Kinder als Hauptpflegeperson und Krankenversicherungstyp. Das Modell erzielte eine AUC von 0,813 nach interner 10-fach-Kreuzvalidierung. Hosmer-Lemeshow χ² = 4,436, p = 0,816.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anderes Gesundheitssystem; nur Frailty-Identifikation ist übertragbar.</w:t>
      </w:r>
    </w:p>
    <w:p>
      <w:r>
        <w:rPr>
          <w:color w:val="5A7D3A"/>
          <w:sz w:val="18"/>
        </w:rPr>
        <w:t>https://pubmed.ncbi.nlm.nih.gov/42799450/</w:t>
      </w:r>
    </w:p>
    <w:p>
      <w:pPr>
        <w:pStyle w:val="Heading2"/>
      </w:pPr>
      <w:r>
        <w:t>Ernährungsadäquanz in der Gemeinschaft: Ältere vs. jüngere Deutsche im BASE-II-Vergleich</w:t>
      </w:r>
    </w:p>
    <w:p>
      <w:r>
        <w:rPr>
          <w:i/>
          <w:color w:val="666666"/>
          <w:sz w:val="18"/>
        </w:rPr>
        <w:t>Heimberg K et al.  ·  Nutrients  ·  20.09.2026  ·  PMID 42797060</w:t>
      </w:r>
    </w:p>
    <w:p>
      <w:r>
        <w:t>Querschnittsstudie zur Nährstoffaufnahme bei 1.671 Personen im Alter von 60–84 Jahren aus der Berliner Altersstudie II (BASE-II), verglichen mit 500 jüngeren Erwachsenen (22–36 Jahre).</w:t>
      </w:r>
    </w:p>
    <w:p>
      <w:r>
        <w:rPr>
          <w:b/>
        </w:rPr>
        <w:t xml:space="preserve">Ergebnis: </w:t>
      </w:r>
      <w:r>
        <w:t>Ältere Erwachsene hatten kein generell schlechteres Nährstoffprofil als Jüngere. Jedoch lag das Osteoporoserisiko durch Calciummangel bei älteren Personen höher (34 % vs. 26 %). Vitamin-D-Mangel betraf über 15 % in beiden Altersgruppen. Supplementnutzung war bei Älteren häufiger (47,3 % vs. 43,0 %), unterschied sich aber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Kohortendaten (BASE-II), vergleichbare Bevölkerungsstruktur und Ernährungsrichtlinien.</w:t>
      </w:r>
    </w:p>
    <w:p>
      <w:r>
        <w:rPr>
          <w:color w:val="5A7D3A"/>
          <w:sz w:val="18"/>
        </w:rPr>
        <w:t>https://pubmed.ncbi.nlm.nih.gov/42797060/</w:t>
      </w:r>
    </w:p>
    <w:p>
      <w:pPr>
        <w:pStyle w:val="Heading2"/>
      </w:pPr>
      <w:r>
        <w:t>Ganggeschwindigkeit als Prognostischer Marker für Überleben bei älteren Krebspatienten</w:t>
      </w:r>
    </w:p>
    <w:p>
      <w:r>
        <w:rPr>
          <w:i/>
          <w:color w:val="666666"/>
          <w:sz w:val="18"/>
        </w:rPr>
        <w:t>Ünlü B et al.  ·  Medicina (Kaunas)  ·  21.09.2026  ·  PMID 42796422</w:t>
      </w:r>
    </w:p>
    <w:p>
      <w:r>
        <w:t>Prospektive Studie bei 102 chemotherapie-naiven Patienten ≥65 Jahre mit Gangtests vor Behandlung und Nachverfolgung von Überleben, Therapieansprechen und Toxizität.</w:t>
      </w:r>
    </w:p>
    <w:p>
      <w:r>
        <w:rPr>
          <w:b/>
        </w:rPr>
        <w:t xml:space="preserve">Ergebnis: </w:t>
      </w:r>
      <w:r>
        <w:t>Mittlere Ganggeschwindigkeit 0,481 ± 0,176 m/s. Bei metastasierten Patienten war höhere Ganggeschwindigkeit mit niedrigerer Mortalität assoziiert (univariat HR = 0,752, 95%-KI 0,605–0,934, p = 0,010; adjustiert HR = 0,647, 95%-KI 0,490–0,853, p = 0,002). Keine signifikanten Assoziationen mit progressionsfreiem Überleben oder Grad-≥3-Toxizität.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Türkei; funktionelle Messung übertragbar, aber Kohorte klein und explorativ.</w:t>
      </w:r>
    </w:p>
    <w:p>
      <w:r>
        <w:rPr>
          <w:color w:val="5A7D3A"/>
          <w:sz w:val="18"/>
        </w:rPr>
        <w:t>https://pubmed.ncbi.nlm.nih.gov/42796422/</w:t>
      </w:r>
    </w:p>
    <w:p>
      <w:pPr>
        <w:pStyle w:val="Heading2"/>
      </w:pPr>
      <w:r>
        <w:t>Frailty-assoziierte Lungenfunktionstrajektor nach Lungentransplantation</w:t>
      </w:r>
    </w:p>
    <w:p>
      <w:r>
        <w:rPr>
          <w:i/>
          <w:color w:val="666666"/>
          <w:sz w:val="18"/>
        </w:rPr>
        <w:t>Ceolin C et al.  ·  Respir Res  ·  25.09.2026  ·  PMID 42791578</w:t>
      </w:r>
    </w:p>
    <w:p>
      <w:r>
        <w:t>Prospektive Longitudinalstudie über zwei Jahre bei 155 Lungentransplantationsempfänger (Durchschnittsalter 48,7 Jahre); Fried-Phänotyp zur Frailty-Erfassung und spirometrische Parameter als Lungenfunktionsergebnis.</w:t>
      </w:r>
    </w:p>
    <w:p>
      <w:r>
        <w:rPr>
          <w:b/>
        </w:rPr>
        <w:t xml:space="preserve">Ergebnis: </w:t>
      </w:r>
      <w:r>
        <w:t>43,7 % waren robust, 40,4 % pre-frail, 15,9 % frail. Höhere Frailty-Last war mit niedrigeren Baseline-FVC-Werten assoziiert. Signifikante Frailty-by-time-Wechselwirkungen zeigten steilere longitudinale Verbesserungen bei Vital Capacity (VC, β = 2,03, p = 0,010) und FVC (β = 2,20, p = 0,003) bei Personen mit höherer Baseline-Frailty.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(Padua), europäisches Versorgungssystem, ähnliche Transplantationsprotokolle.</w:t>
      </w:r>
    </w:p>
    <w:p>
      <w:r>
        <w:rPr>
          <w:color w:val="5A7D3A"/>
          <w:sz w:val="18"/>
        </w:rPr>
        <w:t>https://pubmed.ncbi.nlm.nih.gov/42791578/</w:t>
      </w:r>
    </w:p>
    <w:p>
      <w:pPr>
        <w:pStyle w:val="Heading2"/>
      </w:pPr>
      <w:r>
        <w:t>Heidelbeeren, Protein und Bewegung gegen Frailty: STRONG-Studie Studienprotokoll</w:t>
      </w:r>
    </w:p>
    <w:p>
      <w:r>
        <w:rPr>
          <w:i/>
          <w:color w:val="666666"/>
          <w:sz w:val="18"/>
        </w:rPr>
        <w:t>Cahill LE et al.  ·  BMJ Open  ·  25.09.2026  ·  PMID 42790922</w:t>
      </w:r>
    </w:p>
    <w:p>
      <w:r>
        <w:t>Pragmatische RCT über 12 Monate mit 240 Personen ≥65 Jahren (120w/120m) in Nova Scotia; Intervention: 1 Cup Heidelbeeren/Tag, 30 g Proteinpulver/Tag und drei 60-Minuten-Multimodal-Trainingseinheiten/Woche; Kontrolle: Standardversorgung.</w:t>
      </w:r>
    </w:p>
    <w:p>
      <w:r>
        <w:rPr>
          <w:b/>
        </w:rPr>
        <w:t xml:space="preserve">Ergebnis: </w:t>
      </w:r>
      <w:r>
        <w:t>Studie noch laufend (Protokoll publiziert). Geplante Outcomes: Frailty-Scores, Balance, Sturzhäufigkeit, Lebensraum, kardiovaskuläre Risikofaktoren, 6-Minuten-Gehtest, Entzündungsmarker, Lebensqualität mit Messungen bei Baseline, 3, 6, 9, 12 und 24 Monaten.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(Nova Scotia), ähnliche Versorgungssysteme und Lebenserwartung wie deutschsprachiger Raum.</w:t>
      </w:r>
    </w:p>
    <w:p>
      <w:r>
        <w:rPr>
          <w:color w:val="5A7D3A"/>
          <w:sz w:val="18"/>
        </w:rPr>
        <w:t>https://pubmed.ncbi.nlm.nih.gov/42790922/</w:t>
      </w:r>
    </w:p>
    <w:p>
      <w:pPr>
        <w:pStyle w:val="Heading2"/>
      </w:pPr>
      <w:r>
        <w:t>Schlafstörungen und Depression als gemeinsames Risiko für Arthrose bei Älteren</w:t>
      </w:r>
    </w:p>
    <w:p>
      <w:r>
        <w:rPr>
          <w:i/>
          <w:color w:val="666666"/>
          <w:sz w:val="18"/>
        </w:rPr>
        <w:t>Deng S et al.  ·  Brain Behav  ·  Sept. 2026  ·  PMID 42779173</w:t>
      </w:r>
    </w:p>
    <w:p>
      <w:r>
        <w:t>Prospektive Kohortenstudie mit 3.604 Personen ab 50 Jahren aus der English Longitudinal Study of Ageing; Erfassung von Schlafstörung und depressiver Symptomatik über acht Jahre mittels gruppengestützter Multi-Trajektorien-Analyse.</w:t>
      </w:r>
    </w:p>
    <w:p>
      <w:r>
        <w:rPr>
          <w:b/>
        </w:rPr>
        <w:t xml:space="preserve">Ergebnis: </w:t>
      </w:r>
      <w:r>
        <w:t>Vier Trajektoriengruppen wurden identifiziert. Im Vergleich zu persistierend gutem Schlaf und keinen depressiven Symptomen zeigten Personen mit persistierend schlechtem Schlaf und hoher depressiver Symptomatik ein OR von 2,85 (95%-KI 1,90–4,28) für Arthrose-Neuauftreten; diejenigen mit schlechtem Schlaf und moderater Depression: OR 2,14 (95%-KI 1,52–3,02); moderate Schlafstörung mit niedriger Depression: OR 1,56 (95%-KI 1,20–2,03).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vergleichbares nationales Gesundheitssystem und Altersstruktur.</w:t>
      </w:r>
    </w:p>
    <w:p>
      <w:r>
        <w:rPr>
          <w:color w:val="5A7D3A"/>
          <w:sz w:val="18"/>
        </w:rPr>
        <w:t>https://pubmed.ncbi.nlm.nih.gov/42779173/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2026-09-27T06:00:00Z</dcterms:created>
  <dcterms:modified xsi:type="dcterms:W3CDTF">2026-09-27T06:00:00Z</dcterms:modified>
  <cp:category/>
</cp:coreProperties>
</file>