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09.10.2026  |  7 Studien  |  longevity.m-vf.de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Pflege-gestützte Intervention für aktives Altern bei migrierten älteren Menschen: Cluster-RCT-Protokoll</w:t>
      </w:r>
    </w:p>
    <w:p>
      <w:r>
        <w:rPr>
          <w:i/>
          <w:color w:val="666666"/>
          <w:sz w:val="18"/>
        </w:rPr>
        <w:t>Chen Z et al.  ·  J Eval Clin Pract  ·  Okt. 2026  ·  PMID 42848871</w:t>
      </w:r>
    </w:p>
    <w:p>
      <w:r>
        <w:t>Cluster-randomisierte Kontrollierte Studie plant Evaluation einer 22-Tage-Pflegeleiter-Intervention (TSAAIP-MOA) bei älteren Migranten mit Kindern in China zur Förderung aktiven Alterns.</w:t>
      </w:r>
    </w:p>
    <w:p>
      <w:r>
        <w:rPr>
          <w:b/>
        </w:rPr>
        <w:t xml:space="preserve">Ergebnis: </w:t>
      </w:r>
      <w:r>
        <w:t>Studienprotokoll: Primäroutcome ist Level aktiven Alterns; Sekundäroutcomes sind Änderungen in intrinsischer Kapazität, Gesundheitskompetenz und sozialer Teilhabe. Datensammlung an T0 (Baseline), T1 (Post-Intervention) und T2 (1 Monat nach Beginn); wiederholte ANOVA geplant. Programm kombiniert Familien- und Gemeinde-Unterstützung mit klinischer Betreuung.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Protokoll noch nicht abgeschlossen; Konzept sozialer Integration und intrinsischer Kapazität in Versorgung relevant.</w:t>
      </w:r>
    </w:p>
    <w:p>
      <w:r>
        <w:rPr>
          <w:color w:val="5A7D3A"/>
          <w:sz w:val="18"/>
        </w:rPr>
        <w:t>https://pubmed.ncbi.nlm.nih.gov/42848871/</w:t>
      </w:r>
    </w:p>
    <w:p>
      <w:pPr>
        <w:pStyle w:val="Heading2"/>
      </w:pPr>
      <w:r>
        <w:t>Hypertonie-Verlaufsmuster und Gebrechlichkeit: Progressive Hypertonie verstärkt Frailty</w:t>
      </w:r>
    </w:p>
    <w:p>
      <w:r>
        <w:rPr>
          <w:i/>
          <w:color w:val="666666"/>
          <w:sz w:val="18"/>
        </w:rPr>
        <w:t>Pi Y et al.  ·  Geriatr Gerontol Int  ·  Okt. 2026  ·  PMID 42844672</w:t>
      </w:r>
    </w:p>
    <w:p>
      <w:r>
        <w:t>Longitudinale Kohortenstudie an 6.770 Älteren (CHARLS) untersuchte, ob unterschiedliche Hypertonie-Entwicklungsmuster mit späterer Gebrechlichkeit assoziiert sind.</w:t>
      </w:r>
    </w:p>
    <w:p>
      <w:r>
        <w:rPr>
          <w:b/>
        </w:rPr>
        <w:t xml:space="preserve">Ergebnis: </w:t>
      </w:r>
      <w:r>
        <w:t>Gegenüber anhaltend normaler Blutdruck zeigten progressive Hypertonie (β = 0,013; 95 %-KI: 0,006–0,020), remittierende/fluktuierende Hypertonie (β = 0,009; 95 %-KI: 0,003–0,015) und anhaltende Hypertonie (β = 0,008; 95 %-KI: 0,002–0,014) höhere Frailty-Indizes. Systolischer Druck zeigte nichtlineare Assoziation. Cystatin C und CRP vermittelten teilweise den Effekt persistenter Hypertonie auf Gebrechlichkeit.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Kohortenstudie, aber Hypertonie-Gebrechlichkeit-Assoziation mechanistisch universell.</w:t>
      </w:r>
    </w:p>
    <w:p>
      <w:r>
        <w:rPr>
          <w:color w:val="5A7D3A"/>
          <w:sz w:val="18"/>
        </w:rPr>
        <w:t>https://pubmed.ncbi.nlm.nih.gov/42844672/</w:t>
      </w:r>
    </w:p>
    <w:p>
      <w:pPr>
        <w:pStyle w:val="Heading2"/>
      </w:pPr>
      <w:r>
        <w:t>Mikrobiota-Zusammensetzung vorhersagt Entzündung besser als chronologisches Alter</w:t>
      </w:r>
    </w:p>
    <w:p>
      <w:r>
        <w:rPr>
          <w:i/>
          <w:color w:val="666666"/>
          <w:sz w:val="18"/>
        </w:rPr>
        <w:t>Eriksen C et al.  ·  Nat Commun  ·  08.09.2026  ·  PMID 42844264</w:t>
      </w:r>
    </w:p>
    <w:p>
      <w:r>
        <w:t>Analyse von 1.199 Erwachsenen (20–72 Jahre) zeigte, dass Darmmikrobiota-Zusammensetzung mehr Varianz in systemischen Entzündungsmarkern erklärt als Alter und mit Erkrankungsrisiko assoziiert ist.</w:t>
      </w:r>
    </w:p>
    <w:p>
      <w:r>
        <w:rPr>
          <w:b/>
        </w:rPr>
        <w:t xml:space="preserve">Ergebnis: </w:t>
      </w:r>
      <w:r>
        <w:t>Mikrobiota erklärte mehr Varianz als Alter für 97 % der Zytokine und 84 % der physiologischen Variablen. Bacteroides-2-Enterotyp zeigte inflammaging-ähnliches Phänotyp bereits in frühem Erwachsenenalter (bis zu 37 Jahre früher) mit erhöhtem Erkrankungsrisiko (Hazard Ratio 1,21; 95 %-KI: 1,18–1,25). High-Diversity-Enterotyp war mit niedriger Entzündung und reduziertem Risiko assoziiert. Mikrobiota ist ein stärkerer Entzündungskorrelat als chronologisches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Bevölkerungsstudie, Mechanismus altersunabhängig, auf Deutschland übertragbar.</w:t>
      </w:r>
    </w:p>
    <w:p>
      <w:r>
        <w:rPr>
          <w:color w:val="5A7D3A"/>
          <w:sz w:val="18"/>
        </w:rPr>
        <w:t>https://pubmed.ncbi.nlm.nih.gov/42844264/</w:t>
      </w:r>
    </w:p>
    <w:p>
      <w:pPr>
        <w:pStyle w:val="Heading2"/>
      </w:pPr>
      <w:r>
        <w:t>Gebrechlichkeit bei älteren COPD-Patienten vorhersagt Exazerbationen und Klinikaufenthalte</w:t>
      </w:r>
    </w:p>
    <w:p>
      <w:r>
        <w:rPr>
          <w:i/>
          <w:color w:val="666666"/>
          <w:sz w:val="18"/>
        </w:rPr>
        <w:t>Bardakci MI et al.  ·  Colomb Med (Cali)  ·  30.03.2026  ·  PMID 42840874</w:t>
      </w:r>
    </w:p>
    <w:p>
      <w:r>
        <w:t>Querschnittstudie an 112 älteren COPD-Patienten (≥65 Jahre) prüfte, ob Gebrechlichkeit mit Krankheitsschwere, Exazerbationen und Hospitalisierungen korreliert.</w:t>
      </w:r>
    </w:p>
    <w:p>
      <w:r>
        <w:rPr>
          <w:b/>
        </w:rPr>
        <w:t xml:space="preserve">Ergebnis: </w:t>
      </w:r>
      <w:r>
        <w:t>Gebrechlichkeit-Prävalenz 49,1 % (55/112). Signifikante negative Korrelation zwischen FRAIL-Score und FEV1 % (rs −0,695; 95 %-KI: −0,782 bis −0,581; p &lt; 0,001). Positive Korrelationen mit CAT (rs 0,840; p &lt; 0,001) und mMRC (rs 0,733; p &lt; 0,001). Patienten mit höheren FRAIL-Scores hatten signifikant mehr Exazerbationen und Klinikaufenthalte (p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Türkische Studie, aber FRAIL-Score und COPD-Ergebnis international etabliert.</w:t>
      </w:r>
    </w:p>
    <w:p>
      <w:r>
        <w:rPr>
          <w:color w:val="5A7D3A"/>
          <w:sz w:val="18"/>
        </w:rPr>
        <w:t>https://pubmed.ncbi.nlm.nih.gov/42840874/</w:t>
      </w:r>
    </w:p>
    <w:p>
      <w:pPr>
        <w:pStyle w:val="Heading2"/>
      </w:pPr>
      <w:r>
        <w:t>CKM-spezifischer Aging-Index vorhersagt Mortalität besser als universelle biologische Alter</w:t>
      </w:r>
    </w:p>
    <w:p>
      <w:r>
        <w:rPr>
          <w:i/>
          <w:color w:val="666666"/>
          <w:sz w:val="18"/>
        </w:rPr>
        <w:t>Zhu Z et al.  ·  PLoS Med  ·  06.10.2026  ·  PMID 42837317</w:t>
      </w:r>
    </w:p>
    <w:p>
      <w:r>
        <w:t>Maschinelles Lernen an 6.896 NHANES-Teilnehmern entwickelte einen Cardiovascular-Kidney-Metabolic-spezifischen Aging-Index (CKMAI) zur Risikostratifizierung und Mortalitätsprognose.</w:t>
      </w:r>
    </w:p>
    <w:p>
      <w:r>
        <w:rPr>
          <w:b/>
        </w:rPr>
        <w:t xml:space="preserve">Ergebnis: </w:t>
      </w:r>
      <w:r>
        <w:t>CKMAI übertraf PhenoAge, KDM und CMI in allen Outcomes. Zeit-abhängige AUC für Gesamtmortalität: 0,893 (95 %-KI: 0,851–0,925) nach 3 Jahren, 0,907 (95 %-KI: 0,884–0,927) nach 5 Jahren, 0,890 (95 %-KI: 0,868–0,910) nach 10 Jahren. Schwellwertanalyse identifizierte Inflexionspunkte mit steileren Risikoerhöhungen darunter. Sechs Phänotypen-Cluster; Frailty-Cluster zeigte höchstes Mortalitätsrisiko (HR 11,74; 95 %-KI: 7,85–17,57).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(NHANES), aber metabolische Pathophysiologie universell, externe Validierung in China.</w:t>
      </w:r>
    </w:p>
    <w:p>
      <w:r>
        <w:rPr>
          <w:color w:val="5A7D3A"/>
          <w:sz w:val="18"/>
        </w:rPr>
        <w:t>https://pubmed.ncbi.nlm.nih.gov/42837317/</w:t>
      </w:r>
    </w:p>
    <w:p>
      <w:pPr>
        <w:pStyle w:val="Heading2"/>
      </w:pPr>
      <w:r>
        <w:t>Chronische Krisen und biologisches Altern: Stress beschleunigt Frailty und funktionalen Verfall</w:t>
      </w:r>
    </w:p>
    <w:p>
      <w:r>
        <w:rPr>
          <w:i/>
          <w:color w:val="666666"/>
          <w:sz w:val="18"/>
        </w:rPr>
        <w:t>Lushchak O et al.  ·  Biogerontology  ·  03.09.2026  ·  PMID 42690451</w:t>
      </w:r>
    </w:p>
    <w:p>
      <w:r>
        <w:t>Perspektivarbeit argumentiert, dass prolongierte Krisen (beispielsweise Krieg) chronische biologische Alterungsprozesse durch Stressachsen-Überaktivierung, Schlafstörung, Entzündung und Sarkopenie beschleunigen.</w:t>
      </w:r>
    </w:p>
    <w:p>
      <w:r>
        <w:rPr>
          <w:b/>
        </w:rPr>
        <w:t xml:space="preserve">Ergebnis: </w:t>
      </w:r>
      <w:r>
        <w:t>Konzeptrahmen verbindet HPA-Achsen-Aktivierung, Glukokortikoid-Dysregulation, ROS-Produktion, zelluläre Seneszenz und Mitochondrien-Dysfunktion mit abdominalem Übergewicht, sarkopener Adipositas, Frailty und funktionalem Verfall unter Krisenbedingungen. Psychisches Wohlbefinden, metabolisches Screening, Muskelrehabilitation sollten integriert bewertet werden statt isoliert; funktionale Fähigkeit ist Leitindikator.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Ukraine-Fallbeispiel; biologische Mechanismen krisen- und kontextabhängig, aber Prinzipien für Vulnerabilität älterer Menschen universal.</w:t>
      </w:r>
    </w:p>
    <w:p>
      <w:r>
        <w:rPr>
          <w:color w:val="5A7D3A"/>
          <w:sz w:val="18"/>
        </w:rPr>
        <w:t>https://pubmed.ncbi.nlm.nih.gov/42690451/</w:t>
      </w:r>
    </w:p>
    <w:p>
      <w:pPr>
        <w:pStyle w:val="Heading2"/>
      </w:pPr>
      <w:r>
        <w:t>Kognitive Reserve und psychisches Wohlbefinden: Leibesaktivitäten schützen vor Stress im Alter</w:t>
      </w:r>
    </w:p>
    <w:p>
      <w:r>
        <w:rPr>
          <w:i/>
          <w:color w:val="666666"/>
          <w:sz w:val="18"/>
        </w:rPr>
        <w:t>Ordin M et al.  ·  Brain Behav  ·  Sept. 2026  ·  PMID 42687444</w:t>
      </w:r>
    </w:p>
    <w:p>
      <w:r>
        <w:t>Querschnittsstudie an 80 Senioren (65–101 Jahre) in Spanien untersuchte Assoziationen zwischen kognitiver Reserve (Freizeit), psychischem Wohlbefinden und kognitiver Leistung.</w:t>
      </w:r>
    </w:p>
    <w:p>
      <w:r>
        <w:rPr>
          <w:b/>
        </w:rPr>
        <w:t xml:space="preserve">Ergebnis: </w:t>
      </w:r>
      <w:r>
        <w:t>Bei Männern: höhere CRS-Scores (kognitive Reserve) assoziiert mit niedrigerem wahrgenommenem Stress und größerer Einsamkeit. CRS-Scores korreliert mit ausgewählten Aufmerksamkeitsmaßen. Keine signifikante Assoziation zwischen CRS und Gedächtnisspanne. Geschlechtsspezifische Befunde unterschiedlich; Frauen zeigten vergleichbare Muster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Gemeindestudie; kognitive Reserve und psychisches Wohlbefinden altersunabhängig relevant.</w:t>
      </w:r>
    </w:p>
    <w:p>
      <w:r>
        <w:rPr>
          <w:color w:val="5A7D3A"/>
          <w:sz w:val="18"/>
        </w:rPr>
        <w:t>https://pubmed.ncbi.nlm.nih.gov/42687444/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