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27.10.2026  |  398 Studien  |  longevity.m-vf.de</w:t>
      </w:r>
    </w:p>
    <w:p>
      <w:pPr>
        <w:pStyle w:val="Heading1"/>
      </w:pPr>
      <w:r>
        <w:t>Aufgenommen am 27.10.2026</w:t>
      </w:r>
    </w:p>
    <w:p>
      <w:pPr>
        <w:pStyle w:val="Heading2"/>
      </w:pPr>
      <w:r>
        <w:t>Gefäßchirurgie: Geriatrisches Konsil senkt Sterblichkeit und Komplikationen bei älteren Patienten</w:t>
      </w:r>
    </w:p>
    <w:p>
      <w:r>
        <w:rPr>
          <w:i/>
          <w:color w:val="666666"/>
          <w:sz w:val="18"/>
        </w:rPr>
        <w:t>Power Foley M et al.  ·  Age Ageing  ·  03.08.2026  ·  PMID 42933995</w:t>
      </w:r>
    </w:p>
    <w:p>
      <w:r>
        <w:t>Systematische Übersicht von 8 Studien mit 2.441 Patienten, die formalisierte geriatrische Interventionen (präoperatives Comprehensive Assessment, Liaison-Service oder Co-Management) vor/während Gefäßchirurgie mit Standardversorgung verglich.</w:t>
      </w:r>
    </w:p>
    <w:p>
      <w:r>
        <w:rPr>
          <w:b/>
        </w:rPr>
        <w:t xml:space="preserve">Ergebnis: </w:t>
      </w:r>
      <w:r>
        <w:t>Geriatrische Modelle waren assoziiert mit reduziertem Risiko für Krankenhaussterblichkeit (RR 0,65; 95%-CI 0,46–0,90; p=0,010), kardiale Komplikationen (RR 0,35; p&lt;0,001) und Infektionen (RR 0,48; p&lt;0,001). Delirium-Risiko war nicht signifikant gesenkt. Verweildauer und Entlassungsort unterschieden sich nicht.</w:t>
      </w:r>
    </w:p>
    <w:p>
      <w:r>
        <w:rPr>
          <w:b/>
          <w:sz w:val="19"/>
        </w:rPr>
        <w:t xml:space="preserve">Übertragbarkeit: </w:t>
      </w:r>
      <w:r>
        <w:rPr>
          <w:sz w:val="19"/>
        </w:rPr>
        <w:t>Irland und Großbritannien; Befund übertragbar auf deutsches Gesundheitssystem mit ähnlichem Auftrag zur geriatrischen Ko-Versorgung.</w:t>
      </w:r>
    </w:p>
    <w:p>
      <w:r>
        <w:rPr>
          <w:color w:val="5A7D3A"/>
          <w:sz w:val="18"/>
        </w:rPr>
        <w:t>https://pubmed.ncbi.nlm.nih.gov/42933995/</w:t>
      </w:r>
    </w:p>
    <w:p>
      <w:pPr>
        <w:pStyle w:val="Heading2"/>
      </w:pPr>
      <w:r>
        <w:t>Depression und Frailty: Depressive Symptome verdoppeln Gebrechlichkeitsrisiko bei älteren Patienten mit Kardiometabolischer Erkrankung</w:t>
      </w:r>
    </w:p>
    <w:p>
      <w:r>
        <w:rPr>
          <w:i/>
          <w:color w:val="666666"/>
          <w:sz w:val="18"/>
        </w:rPr>
        <w:t>Kobayashi F et al.  ·  PLoS One  ·  26.10.2026  ·  PMID 42932359</w:t>
      </w:r>
    </w:p>
    <w:p>
      <w:r>
        <w:t>Längscohortenstudie von 431 Patienten ≥65 Jahren mit kardiometabolischen Erkrankungen (Nachbeobachtung Median 2,9 Jahre) zur Assoziation depressiver Symptome (GDS-15 ≥5) mit neu aufgetretener Frailty.</w:t>
      </w:r>
    </w:p>
    <w:p>
      <w:r>
        <w:rPr>
          <w:b/>
        </w:rPr>
        <w:t xml:space="preserve">Ergebnis: </w:t>
      </w:r>
      <w:r>
        <w:t>Depressive Symptome waren unabhängig assoziiert mit Frailty (adjustierte HR für mCHS-Definition 1,92; 95%-CI 1,60–2,31; für KCL-Definition 2,05; 95%-CI 1,70–2,48). Signifikante Interaktion zwischen Depression und Diabetes: Patienten mit beiden Merkmalen hatten markant erhöhtes Frailty-Risiko.</w:t>
      </w:r>
    </w:p>
    <w:p>
      <w:r>
        <w:rPr>
          <w:b/>
          <w:sz w:val="19"/>
        </w:rPr>
        <w:t xml:space="preserve">Übertragbarkeit: </w:t>
      </w:r>
      <w:r>
        <w:rPr>
          <w:sz w:val="19"/>
        </w:rPr>
        <w:t>Japan; Befund ist altersunabhängig übertragbar, aber Messinstrumente (mCHS, KCL) sind von regionaler Anwendbarkeit abhängig.</w:t>
      </w:r>
    </w:p>
    <w:p>
      <w:r>
        <w:rPr>
          <w:color w:val="5A7D3A"/>
          <w:sz w:val="18"/>
        </w:rPr>
        <w:t>https://pubmed.ncbi.nlm.nih.gov/42932359/</w:t>
      </w:r>
    </w:p>
    <w:p>
      <w:pPr>
        <w:pStyle w:val="Heading2"/>
      </w:pPr>
      <w:r>
        <w:t>Schlaganfall-Rehabilitation: Ältere Patienten über 80 Jahren profitieren weniger von koordinierter Langzeitintervention</w:t>
      </w:r>
    </w:p>
    <w:p>
      <w:r>
        <w:rPr>
          <w:i/>
          <w:color w:val="666666"/>
          <w:sz w:val="18"/>
        </w:rPr>
        <w:t>Ihle-Hansen H et al.  ·  J Rehabil Med  ·  26.10.2026  ·  PMID 42929098</w:t>
      </w:r>
    </w:p>
    <w:p>
      <w:r>
        <w:t>Randomisierte Studie an 301 norwegischen Patienten nach Schlaganfall (Durchschnittsalter 71 Jahre), die eine 18 Monate andauernde koordinierte Intervention mit monatlichen Treffen versus Standardversorgung verglich.</w:t>
      </w:r>
    </w:p>
    <w:p>
      <w:r>
        <w:rPr>
          <w:b/>
        </w:rPr>
        <w:t xml:space="preserve">Ergebnis: </w:t>
      </w:r>
      <w:r>
        <w:t>Bei Patienten ≥80 Jahren war die Wahrscheinlichkeit für günstige Funktionsergebnisse in der Interventionsgruppe signifikant niedriger als in der Kontrolle (23,4 % vs. 57,0 %; p=0,004). Bei jüngeren Patienten verbesserte die Intervention die kognitiven Testergebnisse (Trail Making Test B: −32,2 s; p=0,015). Frailty als solche modifizierte die Interventionswirkung nicht.</w:t>
      </w:r>
    </w:p>
    <w:p>
      <w:r>
        <w:rPr>
          <w:b/>
          <w:sz w:val="19"/>
        </w:rPr>
        <w:t xml:space="preserve">Übertragbarkeit: </w:t>
      </w:r>
      <w:r>
        <w:rPr>
          <w:sz w:val="19"/>
        </w:rPr>
        <w:t>Norwegen, vergleichbares europäisches Versicherungssystem; Befund zu Altersgrenze hat universelle Relevanz für Geriatrie.</w:t>
      </w:r>
    </w:p>
    <w:p>
      <w:r>
        <w:rPr>
          <w:color w:val="5A7D3A"/>
          <w:sz w:val="18"/>
        </w:rPr>
        <w:t>https://pubmed.ncbi.nlm.nih.gov/42929098/</w:t>
      </w:r>
    </w:p>
    <w:p>
      <w:pPr>
        <w:pStyle w:val="Heading2"/>
      </w:pPr>
      <w:r>
        <w:t>Umweltbelastung und Schilddrüse: Benzol-Exposition erhöht Dysfunktionsrisiko durch Beschleunigung biologischen Alterns</w:t>
      </w:r>
    </w:p>
    <w:p>
      <w:r>
        <w:rPr>
          <w:i/>
          <w:color w:val="666666"/>
          <w:sz w:val="18"/>
        </w:rPr>
        <w:t>Yu L et al.  ·  Front Public Health  ·  17.09.2026  ·  PMID 42823953</w:t>
      </w:r>
    </w:p>
    <w:p>
      <w:r>
        <w:t>Kohortenstudie von 385.130 UK-Biobank-Teilnehmern zur Assoziation chronischer Benzol-Exposition mit Hypothyreose und Hyperthyreose; Testung, ob biologisches Altern den Effekt mediiert.</w:t>
      </w:r>
    </w:p>
    <w:p>
      <w:r>
        <w:rPr>
          <w:b/>
        </w:rPr>
        <w:t xml:space="preserve">Ergebnis: </w:t>
      </w:r>
      <w:r>
        <w:t>Benzol-Exposition zeigte dosisabhängige Assoziation mit Hypothyreose (HR pro 1 μg/m³: 1,19; 95%-CI 1,16–1,21) und Hyperthyreose (HR 1,21; 95%-CI 1,18–1,25). Beschleunigte biologische Alterung mediierte 3,07 % des Benzol-Hyperthyreose-Effekts; additive Interaktion mit höherem biologischem Alter auf Hypothyreose.</w:t>
      </w:r>
    </w:p>
    <w:p>
      <w:r>
        <w:rPr>
          <w:b/>
          <w:sz w:val="19"/>
        </w:rPr>
        <w:t xml:space="preserve">Übertragbarkeit: </w:t>
      </w:r>
      <w:r>
        <w:rPr>
          <w:sz w:val="19"/>
        </w:rPr>
        <w:t>UK Biobank; Luftqualitätsdaten sind in Deutschland verfügbar; biologische Altersmarker sind populationsübergreifend einsetzbar.</w:t>
      </w:r>
    </w:p>
    <w:p>
      <w:r>
        <w:rPr>
          <w:color w:val="5A7D3A"/>
          <w:sz w:val="18"/>
        </w:rPr>
        <w:t>https://pubmed.ncbi.nlm.nih.gov/42823953/</w:t>
      </w:r>
    </w:p>
    <w:p>
      <w:pPr>
        <w:pStyle w:val="Heading2"/>
      </w:pPr>
      <w:r>
        <w:t>Beschleunigte biologische Alterung erhöht Gicht-Risiko und Sterblichkeit bei älteren Menschen</w:t>
      </w:r>
    </w:p>
    <w:p>
      <w:r>
        <w:rPr>
          <w:i/>
          <w:color w:val="666666"/>
          <w:sz w:val="18"/>
        </w:rPr>
        <w:t>Zhao H et al.  ·  Maturitas  ·  25.09.2026  ·  PMID 42815273</w:t>
      </w:r>
    </w:p>
    <w:p>
      <w:r>
        <w:t>Querschnitts- und Kohortenstudie mit 385.130 UK-Biobank-Teilnehmern und 5.228 NHANES-Erwachsenen zur Assoziation von biologischem Altern (KDMAge, PhenoAge) mit Gicht-Prävalenz, Gicht-Inzidenz und Mortalität.</w:t>
      </w:r>
    </w:p>
    <w:p>
      <w:r>
        <w:rPr>
          <w:b/>
        </w:rPr>
        <w:t xml:space="preserve">Ergebnis: </w:t>
      </w:r>
      <w:r>
        <w:t>In NHANES war jedes Jahr biologischer Alterungsbeschleunigung mit 4 % erhöhtem Gicht-Risiko verbunden (OR 1,04; 95%-CI 1,03–1,05). Im UK Biobank: HR für Gicht-Neuauftreten bei KDMAge-Beschleunigung 1,80 (95%-CI 1,71–1,90). Bei Gicht-Patienten: beschleunigte biologische Alterung war mit 21–134 % erhöhtem Sterberisiko assoziiert (HR 1,21–2,34).</w:t>
      </w:r>
    </w:p>
    <w:p>
      <w:r>
        <w:rPr>
          <w:b/>
          <w:sz w:val="19"/>
        </w:rPr>
        <w:t xml:space="preserve">Übertragbarkeit: </w:t>
      </w:r>
      <w:r>
        <w:rPr>
          <w:sz w:val="19"/>
        </w:rPr>
        <w:t>UK Biobank und NHANES; biologische Altersmarker sind populationsübergreifend relevant, aber absolute Risiken gelten nur lokal.</w:t>
      </w:r>
    </w:p>
    <w:p>
      <w:r>
        <w:rPr>
          <w:color w:val="5A7D3A"/>
          <w:sz w:val="18"/>
        </w:rPr>
        <w:t>https://pubmed.ncbi.nlm.nih.gov/42815273/</w:t>
      </w:r>
    </w:p>
    <w:p>
      <w:pPr>
        <w:pStyle w:val="Heading2"/>
      </w:pPr>
      <w:r>
        <w:t>Armmuskulatur und Frailty: Dysbalance zwischen Fett und Muskel als klinisches Marker für biologische Alterung</w:t>
      </w:r>
    </w:p>
    <w:p>
      <w:r>
        <w:rPr>
          <w:i/>
          <w:color w:val="666666"/>
          <w:sz w:val="18"/>
        </w:rPr>
        <w:t>Sun Z et al.  ·  Maturitas  ·  17.09.2026  ·  PMID 42777331</w:t>
      </w:r>
    </w:p>
    <w:p>
      <w:r>
        <w:t>Querschnittsanalyse von 445.317 UK-Biobank-Teilnehmern zur Assoziation von regionalem Fett-Muskel-Verhältnis (aus Bioimpedanz) mit Frailty-Status und proteingestütztem biologischem Altern.</w:t>
      </w:r>
    </w:p>
    <w:p>
      <w:r>
        <w:rPr>
          <w:b/>
        </w:rPr>
        <w:t xml:space="preserve">Ergebnis: </w:t>
      </w:r>
      <w:r>
        <w:t>Höhere Fett-Muskel-Quoten waren dosisabhängig assoziiert mit Pre-Frailty und Frailty; Arm-Verhältnis war stärkster regionaler Prädiktor (Frauen: OR 2,95 für Frailty; 95%-CI 2,75–3,18). Arm-Quote verbesserte die BMI-basierte Diskrimination um AUC 0,0068–0,0137. Konkordanz mit multi-organ proteingestütztem Alterungsmuster.</w:t>
      </w:r>
    </w:p>
    <w:p>
      <w:r>
        <w:rPr>
          <w:b/>
          <w:sz w:val="19"/>
        </w:rPr>
        <w:t xml:space="preserve">Übertragbarkeit: </w:t>
      </w:r>
      <w:r>
        <w:rPr>
          <w:sz w:val="19"/>
        </w:rPr>
        <w:t>UK Biobank; körperanalytische Methoden sind in Deutschland verfügbar; Befund erfordert Validierung an deutschen Kohorten.</w:t>
      </w:r>
    </w:p>
    <w:p>
      <w:r>
        <w:rPr>
          <w:color w:val="5A7D3A"/>
          <w:sz w:val="18"/>
        </w:rPr>
        <w:t>https://pubmed.ncbi.nlm.nih.gov/42777331/</w:t>
      </w:r>
    </w:p>
    <w:p>
      <w:pPr>
        <w:pStyle w:val="Heading1"/>
      </w:pPr>
      <w:r>
        <w:t>Aufgenommen am 26.10.2026</w:t>
      </w:r>
    </w:p>
    <w:p>
      <w:pPr>
        <w:pStyle w:val="Heading2"/>
      </w:pPr>
      <w:r>
        <w:t>Frailty-Assessments in präoperativer Geriatrie: systematische Übersicht von 35 Werkzeugen</w:t>
      </w:r>
    </w:p>
    <w:p>
      <w:r>
        <w:rPr>
          <w:i/>
          <w:color w:val="666666"/>
          <w:sz w:val="18"/>
        </w:rPr>
        <w:t>Chesney TR et al.  ·  BJS Open  ·  04.09.2026  ·  PMID 42925091</w:t>
      </w:r>
    </w:p>
    <w:p>
      <w:r>
        <w:t>Systematische Scoping Review von 160 Studien zu 35 Frailty-Messinstrumenten bei Personen ≥65 Jahren vor großen Operationen, untersucht anhand von 6 Performanzmetriken (Messeigenschaften, klinische Implikationen, praktische Faktoren).</w:t>
      </w:r>
    </w:p>
    <w:p>
      <w:r>
        <w:rPr>
          <w:b/>
        </w:rPr>
        <w:t xml:space="preserve">Ergebnis: </w:t>
      </w:r>
      <w:r>
        <w:t>Clinical Frailty Scale extensiv erforscht (4 von 6 Metriken), aber 40 % der Tools nur in einer Studie untersucht. Edmonton Frail Scale einziges Tool über alle 6 Metriken validiert. FRAIL scale, Geriatric 8 und Vulnerable Elders Survey-13 zeigen gute Balance zwischen Simplizität und Evidenzlage. Prädiktive Validität am meisten untersucht, während klinische Auswirkungen und Implementierungsfaktoren untererforscht.</w:t>
      </w:r>
    </w:p>
    <w:p>
      <w:r>
        <w:rPr>
          <w:b/>
          <w:sz w:val="19"/>
        </w:rPr>
        <w:t xml:space="preserve">Übertragbarkeit: </w:t>
      </w:r>
      <w:r>
        <w:rPr>
          <w:sz w:val="19"/>
        </w:rPr>
        <w:t>Kanada, Cochrane Review – internationale Standards; Auswahl übertragbar auf deutschsprachige Kliniken.</w:t>
      </w:r>
    </w:p>
    <w:p>
      <w:r>
        <w:rPr>
          <w:color w:val="5A7D3A"/>
          <w:sz w:val="18"/>
        </w:rPr>
        <w:t>https://pubmed.ncbi.nlm.nih.gov/42925091/</w:t>
      </w:r>
    </w:p>
    <w:p>
      <w:pPr>
        <w:pStyle w:val="Heading2"/>
      </w:pPr>
      <w:r>
        <w:t>Arbeitsplatzmaßnahmen für gesundes Altern: Verfügbarkeit und Effekt auf Arbeitsfähigkeit in Italien</w:t>
      </w:r>
    </w:p>
    <w:p>
      <w:r>
        <w:rPr>
          <w:i/>
          <w:color w:val="666666"/>
          <w:sz w:val="18"/>
        </w:rPr>
        <w:t>Dragano N et al.  ·  Med Lav  ·  23.10.2026  ·  PMID 42925044</w:t>
      </w:r>
    </w:p>
    <w:p>
      <w:r>
        <w:t>Querschnittstudie an 3.741 berufstätigen Personen im Alter 50–65 Jahren in Italien, die Verfügbarkeit von 20 Maßnahmen zur Förderung gesunden Alterns sowie deren Assoziationen mit dem Work Ability Index (WAI) untersuchte.</w:t>
      </w:r>
    </w:p>
    <w:p>
      <w:r>
        <w:rPr>
          <w:b/>
        </w:rPr>
        <w:t xml:space="preserve">Ergebnis: </w:t>
      </w:r>
      <w:r>
        <w:t>Durchschnittliche Verfügbarkeit von 5 von 20 Maßnahmen (viele unter 20 % der Arbeitnehmer); weniger verfügbar für Frauen, mit niedrigem Einkommen, in bestimmten Wirtschaftssektoren und bei befristeten Verträgen. Höhere Verfügbarkeit von Maßnahmen assoziiert mit besserem WAI (β = 0,107; 95%-KI 0,058–0,157). Implementierung bleibt noch deutlich ausbaubar, besonders für benachteiligte Arbeitnehmergruppen.</w:t>
      </w:r>
    </w:p>
    <w:p>
      <w:r>
        <w:rPr>
          <w:b/>
          <w:sz w:val="19"/>
        </w:rPr>
        <w:t xml:space="preserve">Übertragbarkeit: </w:t>
      </w:r>
      <w:r>
        <w:rPr>
          <w:sz w:val="19"/>
        </w:rPr>
        <w:t>Italien/DACH-Nachbar, vergleichbarer Arbeitsmarkt und Sozialversicherung.</w:t>
      </w:r>
    </w:p>
    <w:p>
      <w:r>
        <w:rPr>
          <w:color w:val="5A7D3A"/>
          <w:sz w:val="18"/>
        </w:rPr>
        <w:t>https://pubmed.ncbi.nlm.nih.gov/42925044/</w:t>
      </w:r>
    </w:p>
    <w:p>
      <w:pPr>
        <w:pStyle w:val="Heading2"/>
      </w:pPr>
      <w:r>
        <w:t>Digitale Teilhabe älterer Menschen mit Gebrechlichkeit: qualitative Analyse von fünf Nutzer-Profilen</w:t>
      </w:r>
    </w:p>
    <w:p>
      <w:r>
        <w:rPr>
          <w:i/>
          <w:color w:val="666666"/>
          <w:sz w:val="18"/>
        </w:rPr>
        <w:t>Ren K et al.  ·  Front Public Health  ·  08.10.2026  ·  PMID 42923139</w:t>
      </w:r>
    </w:p>
    <w:p>
      <w:r>
        <w:t>Qualitative Studie mit 24 älteren Erwachsenen mit Interneterfahrung, die Muster der Internetnutzung nach Gebrechlichkeit mittels semi-strukturierter Interviews und inductiver Inhaltsanalyse mit Entwicklung von fünf User-Personas analysierte.</w:t>
      </w:r>
    </w:p>
    <w:p>
      <w:r>
        <w:rPr>
          <w:b/>
        </w:rPr>
        <w:t xml:space="preserve">Ergebnis: </w:t>
      </w:r>
      <w:r>
        <w:t>Fünf Personas identifiziert: Health-Empowered Integrators, Basic-Function Adapters, Entertainment-Oriented Users, Resource-Limited Users, Health-Affected Users. Kernfindung: Gebrechlichkeit korreliert nicht direkt mit Internetnutzung; stattdessen bestimmen Gesundheitsfunktionsfähigkeit, digitale Kompetenzen, Bildungsressourcen und soziale Unterstützung gemeinsam die Muster. Gezielte Unterstützung nach Persona-Merkmalen könnte digitale Gerechtigkeit und Zugang zu Gesundheitsressourcen verbessern.</w:t>
      </w:r>
    </w:p>
    <w:p>
      <w:r>
        <w:rPr>
          <w:b/>
          <w:sz w:val="19"/>
        </w:rPr>
        <w:t xml:space="preserve">Übertragbarkeit: </w:t>
      </w:r>
      <w:r>
        <w:rPr>
          <w:sz w:val="19"/>
        </w:rPr>
        <w:t>China, qualitative Methode universell; Persona-Ansatz zur Gesundheitsdigitalisierung übertragbar.</w:t>
      </w:r>
    </w:p>
    <w:p>
      <w:r>
        <w:rPr>
          <w:color w:val="5A7D3A"/>
          <w:sz w:val="18"/>
        </w:rPr>
        <w:t>https://pubmed.ncbi.nlm.nih.gov/42923139/</w:t>
      </w:r>
    </w:p>
    <w:p>
      <w:pPr>
        <w:pStyle w:val="Heading2"/>
      </w:pPr>
      <w:r>
        <w:t>Integrierte Altenpolitik und Lebensqualität: Difference-in-Differences-Analyse über 24 Länder</w:t>
      </w:r>
    </w:p>
    <w:p>
      <w:r>
        <w:rPr>
          <w:i/>
          <w:color w:val="666666"/>
          <w:sz w:val="18"/>
        </w:rPr>
        <w:t>Tu Y et al.  ·  Front Public Health  ·  09.10.2026  ·  PMID 42920700</w:t>
      </w:r>
    </w:p>
    <w:p>
      <w:r>
        <w:t>Differenzen-in-Differenzen-Analyse mit Daten von 24 Ländern (2018–2025), vergleichend 11 Länder mit nationalen integrierten Altenpflegepolitiken (2021–2022 eingeführt) mit 13 Kontrollländern, Endpunkte Lebensqualitätsindex und Lebenserwartung mit 60 Jahren.</w:t>
      </w:r>
    </w:p>
    <w:p>
      <w:r>
        <w:rPr>
          <w:b/>
        </w:rPr>
        <w:t xml:space="preserve">Ergebnis: </w:t>
      </w:r>
      <w:r>
        <w:t>Politikadoption assoziiert mit +3,84 Punkten im Lebensqualitätsindex (95%-KI 2,39–5,30; p&lt;0,01; 0,33 SD) und +1,13 Jahren Lebenserwartung mit 60 Jahren (95%-KI 0,50–1,75; p&lt;0,01; 0,36 SD). Effekte stiegen von Jahr 1 (1,26 Punkte) auf Jahr 3 nach Einführung (3,84 Punkte). Mechanismen: Erhöhte universelle Krankenversicherung (+4,13), Ausweitung Sozialschutz (+5,28), reduzierte Selbstbeteiligung (−3,42). Effekte robuster in Ländern mit niedrigerem Einkommen.</w:t>
      </w:r>
    </w:p>
    <w:p>
      <w:r>
        <w:rPr>
          <w:b/>
          <w:sz w:val="19"/>
        </w:rPr>
        <w:t xml:space="preserve">Übertragbarkeit: </w:t>
      </w:r>
      <w:r>
        <w:rPr>
          <w:sz w:val="19"/>
        </w:rPr>
        <w:t>Globale Evidenz, DACH-orientiert; Ergebnis hängt an Finanzierungssystem – teilweise übertragbar auf deutsche Ländermodelle.</w:t>
      </w:r>
    </w:p>
    <w:p>
      <w:r>
        <w:rPr>
          <w:color w:val="5A7D3A"/>
          <w:sz w:val="18"/>
        </w:rPr>
        <w:t>https://pubmed.ncbi.nlm.nih.gov/42920700/</w:t>
      </w:r>
    </w:p>
    <w:p>
      <w:pPr>
        <w:pStyle w:val="Heading2"/>
      </w:pPr>
      <w:r>
        <w:t>Clinical Frailty Scale: Assoziationen mit Lebensqualität bei akut hospitalisierten Älteren</w:t>
      </w:r>
    </w:p>
    <w:p>
      <w:r>
        <w:rPr>
          <w:i/>
          <w:color w:val="666666"/>
          <w:sz w:val="18"/>
        </w:rPr>
        <w:t>Roa Santervas L et al.  ·  J Frailty Aging  ·  17.10.2026  ·  PMID 42891948</w:t>
      </w:r>
    </w:p>
    <w:p>
      <w:r>
        <w:t>Cross-sektonale Studie an 382 Patienten ≥70 Jahren in einer norwegischen Notfallaufnahme, die Zusammenhänge zwischen Clinical Frailty Scale und allgemeiner sowie oraler gesundheitsbezogener Lebensqualität untersuchte.</w:t>
      </w:r>
    </w:p>
    <w:p>
      <w:r>
        <w:rPr>
          <w:b/>
        </w:rPr>
        <w:t xml:space="preserve">Ergebnis: </w:t>
      </w:r>
      <w:r>
        <w:t>Zunehmende Gebrechlichkeit war signifikant mit niedrigeren 15D-Scores assoziiert (adjustiertes B −0,053; 95%-KI −0,061 bis −0,045), höheren Odds für niedrigere Lebenszufriedenheit (adjustierte OR 1,19; 95%-KI 1,02–1,39) und höheren Odds für negative Auswirkungen der Mundgesundheit (adjustierte OR 1,25; 95%-KI 1,05–1,48). Einfache Frailty-Bewertung bei akuter Aufnahme kann Patienten mit schlechterer Lebensqualität identifizieren.</w:t>
      </w:r>
    </w:p>
    <w:p>
      <w:r>
        <w:rPr>
          <w:b/>
          <w:sz w:val="19"/>
        </w:rPr>
        <w:t xml:space="preserve">Übertragbarkeit: </w:t>
      </w:r>
      <w:r>
        <w:rPr>
          <w:sz w:val="19"/>
        </w:rPr>
        <w:t>Norwegen, vergleichbares Versicherungssystem, ähnliche Notfallversorgungsstruktur.</w:t>
      </w:r>
    </w:p>
    <w:p>
      <w:r>
        <w:rPr>
          <w:color w:val="5A7D3A"/>
          <w:sz w:val="18"/>
        </w:rPr>
        <w:t>https://pubmed.ncbi.nlm.nih.gov/42891948/</w:t>
      </w:r>
    </w:p>
    <w:p>
      <w:pPr>
        <w:pStyle w:val="Heading2"/>
      </w:pPr>
      <w:r>
        <w:t>Gemeindeübungen und Funktionsbesserung bei älteren Menschen mit Gebrechlichkeit</w:t>
      </w:r>
    </w:p>
    <w:p>
      <w:r>
        <w:rPr>
          <w:i/>
          <w:color w:val="666666"/>
          <w:sz w:val="18"/>
        </w:rPr>
        <w:t>O'Shea M et al.  ·  J Frailty Aging  ·  05.10.2026  ·  PMID 42832337</w:t>
      </w:r>
    </w:p>
    <w:p>
      <w:r>
        <w:t>Prospektive Kohortenstudie mit 1.290 Teilnehmern (Durchschnittsalter 69 Jahre) in einem irischen, medizinisch betreuten Gruppentrainingsprogramm, stratifiziert nach Baseline-Gebrechlichkeit über 24 Wochen.</w:t>
      </w:r>
    </w:p>
    <w:p>
      <w:r>
        <w:rPr>
          <w:b/>
        </w:rPr>
        <w:t xml:space="preserve">Ergebnis: </w:t>
      </w:r>
      <w:r>
        <w:t>Bei Baseline 15 % fraile, 23 % präfraile, 62 % robuste Teilnehmer. Fraile Patienten zeigten Verbesserungen in Gehgeschwindigkeit, Timed Up and Go, sechsminütigem Gehtest und EQVAS zwischen Baseline und Woche 24; Präfraile in Sit-to-Stand, sechsminütigem Test und EQVAS; robuste in allen Maßnahmen. Programm war mit Funktionsverbesserungen über alle Frailty-Gruppen hinweg assoziiert.</w:t>
      </w:r>
    </w:p>
    <w:p>
      <w:r>
        <w:rPr>
          <w:b/>
          <w:sz w:val="19"/>
        </w:rPr>
        <w:t xml:space="preserve">Übertragbarkeit: </w:t>
      </w:r>
      <w:r>
        <w:rPr>
          <w:sz w:val="19"/>
        </w:rPr>
        <w:t>Irland, vergleichbares Primärversorgungssystem, Community-Setting übertragbar.</w:t>
      </w:r>
    </w:p>
    <w:p>
      <w:r>
        <w:rPr>
          <w:color w:val="5A7D3A"/>
          <w:sz w:val="18"/>
        </w:rPr>
        <w:t>https://pubmed.ncbi.nlm.nih.gov/42832337/</w:t>
      </w:r>
    </w:p>
    <w:p>
      <w:pPr>
        <w:pStyle w:val="Heading2"/>
      </w:pPr>
      <w:r>
        <w:t>Gebrechlichkeit und Palliativbedarf: Unterscheidung durch Fachleute – qualitative Fallstudiensynthese</w:t>
      </w:r>
    </w:p>
    <w:p>
      <w:r>
        <w:rPr>
          <w:i/>
          <w:color w:val="666666"/>
          <w:sz w:val="18"/>
        </w:rPr>
        <w:t>van der Ploeg T et al.  ·  J Frailty Aging  ·  05.09.2026  ·  PMID 42700391</w:t>
      </w:r>
    </w:p>
    <w:p>
      <w:r>
        <w:t>Qualitative Studie mit 15 Fallstudien, präsentiert an Fachleute in Niederlanden und Belgien (n=Respondenten mit Expertise), die Fähigkeit zur Unterscheidung zwischen Frailty-Komponenten und Palliativbedarf sowie Sicherheit dieser Urteile untersuchte.</w:t>
      </w:r>
    </w:p>
    <w:p>
      <w:r>
        <w:rPr>
          <w:b/>
        </w:rPr>
        <w:t xml:space="preserve">Ergebnis: </w:t>
      </w:r>
      <w:r>
        <w:t>Fachleute nutzen unterschiedliche Komponenten zur Klassifikation: In den meisten Fällen unterscheiden sich Frailty- und Palliativbewertungen signifikant (p&lt;0,05). Fachleute sind sicherer in der Erkennung von Frailty-Komponenten als Palliativbedarf. Erkenntnis: Patienten können Frailty-Komponenten haben ohne Palliativbedarf, aber nicht umgekehrt erkannt. Besseres Verständnis für Progression von Frailty zu Palliativbedarf könnte patientenzentrierte Versorgung und Lebensqualität verbessern.</w:t>
      </w:r>
    </w:p>
    <w:p>
      <w:r>
        <w:rPr>
          <w:b/>
          <w:sz w:val="19"/>
        </w:rPr>
        <w:t xml:space="preserve">Übertragbarkeit: </w:t>
      </w:r>
      <w:r>
        <w:rPr>
          <w:sz w:val="19"/>
        </w:rPr>
        <w:t>Niederlande/Belgien, deutschsprachige Gesundheitssysteme ähnlich; Befunde zur Versorgungsüberleitung anwendbar.</w:t>
      </w:r>
    </w:p>
    <w:p>
      <w:r>
        <w:rPr>
          <w:color w:val="5A7D3A"/>
          <w:sz w:val="18"/>
        </w:rPr>
        <w:t>https://pubmed.ncbi.nlm.nih.gov/42700391/</w:t>
      </w:r>
    </w:p>
    <w:p>
      <w:pPr>
        <w:pStyle w:val="Heading1"/>
      </w:pPr>
      <w:r>
        <w:t>Aufgenommen am 25.10.2026</w:t>
      </w:r>
    </w:p>
    <w:p>
      <w:pPr>
        <w:pStyle w:val="Heading2"/>
      </w:pPr>
      <w:r>
        <w:t>Frailty-Screening mit Prävention senkt Pflegequoten bei Älteren</w:t>
      </w:r>
    </w:p>
    <w:p>
      <w:r>
        <w:rPr>
          <w:i/>
          <w:color w:val="666666"/>
          <w:sz w:val="18"/>
        </w:rPr>
        <w:t>Soma S et al.  ·  Age Ageing  ·  03.08.2026  ·  PMID 42920343</w:t>
      </w:r>
    </w:p>
    <w:p>
      <w:r>
        <w:t>Untersucht wurde, ob ein kommunales Programm aus Frailty-Screening und Gesundheitsberatung die Quote der Pflegebedürftigkeit bei Menschen über 75 Jahren reduziert.</w:t>
      </w:r>
    </w:p>
    <w:p>
      <w:r>
        <w:rPr>
          <w:b/>
        </w:rPr>
        <w:t xml:space="preserve">Ergebnis: </w:t>
      </w:r>
      <w:r>
        <w:t>Nach Einführung des Programms nahm die altersstandardisierte Pflegequote bei den über 75-Jährigen deutlich ab: Der Trend sank um 0,974 pro Jahr (95 %-KI 0,963–0,983), sodass die Quote am Ende um 6,8 % unter der zu erwartenden Fortsetzung lag (95 %-KI 4,4–10,0 %). Dies zeigt den Nutzen von Frailty-Screening in der bevölkerungsgestützten Prävention.</w:t>
      </w:r>
    </w:p>
    <w:p>
      <w:r>
        <w:rPr>
          <w:b/>
          <w:sz w:val="19"/>
        </w:rPr>
        <w:t xml:space="preserve">Übertragbarkeit: </w:t>
      </w:r>
      <w:r>
        <w:rPr>
          <w:sz w:val="19"/>
        </w:rPr>
        <w:t>Japan, vergleichbare Langzeitpflegeversicherung; Ergebnis auf Alterungsgesellschaften übertragbar</w:t>
      </w:r>
    </w:p>
    <w:p>
      <w:r>
        <w:rPr>
          <w:color w:val="5A7D3A"/>
          <w:sz w:val="18"/>
        </w:rPr>
        <w:t>https://pubmed.ncbi.nlm.nih.gov/42920343/</w:t>
      </w:r>
    </w:p>
    <w:p>
      <w:pPr>
        <w:pStyle w:val="Heading2"/>
      </w:pPr>
      <w:r>
        <w:t>Messbare Indikatoren für Aging-in-Place bei älteren Menschen mit Frailty</w:t>
      </w:r>
    </w:p>
    <w:p>
      <w:r>
        <w:rPr>
          <w:i/>
          <w:color w:val="666666"/>
          <w:sz w:val="18"/>
        </w:rPr>
        <w:t>Dlima SD et al.  ·  BMC Geriatr  ·  28.07.2026  ·  PMID 42919131</w:t>
      </w:r>
    </w:p>
    <w:p>
      <w:r>
        <w:t>Experten-Delphi-Befragung zur Identifizierung von routinemäßig messbaren Indikatoren für gelungenes Altern zu Hause bei älteren Menschen mit oder Risiko für Frailty.</w:t>
      </w:r>
    </w:p>
    <w:p>
      <w:r>
        <w:rPr>
          <w:b/>
        </w:rPr>
        <w:t xml:space="preserve">Ergebnis: </w:t>
      </w:r>
      <w:r>
        <w:t>Nur vier Indikatoren erreichten Konsens für Wichtigkeit und praktische Machbarkeit: körperliche Leistung/Mobilität, Multimorbidität, Sinnesfunktionen und Druckgeschwüre. 27 weitere Indikatoren waren sehr wichtig, aber schwer routinemäßig zu erfassen. Technologie-Indikatoren waren weder wichtig noch machbar; Laien-Experten betonten jedoch digitale Kompetenz.</w:t>
      </w:r>
    </w:p>
    <w:p>
      <w:r>
        <w:rPr>
          <w:b/>
          <w:sz w:val="19"/>
        </w:rPr>
        <w:t xml:space="preserve">Übertragbarkeit: </w:t>
      </w:r>
      <w:r>
        <w:rPr>
          <w:sz w:val="19"/>
        </w:rPr>
        <w:t>UK (Manchester); Geriatrisches Assessment und Indikatorauswahl sind auf deutsches Versorgungssystem übertragbar</w:t>
      </w:r>
    </w:p>
    <w:p>
      <w:r>
        <w:rPr>
          <w:color w:val="5A7D3A"/>
          <w:sz w:val="18"/>
        </w:rPr>
        <w:t>https://pubmed.ncbi.nlm.nih.gov/42919131/</w:t>
      </w:r>
    </w:p>
    <w:p>
      <w:pPr>
        <w:pStyle w:val="Heading2"/>
      </w:pPr>
      <w:r>
        <w:t>Gesundheitsausgaben älterer Menschen treiben Haushalte in Armut: Versicherungslücken in Indien</w:t>
      </w:r>
    </w:p>
    <w:p>
      <w:r>
        <w:rPr>
          <w:i/>
          <w:color w:val="666666"/>
          <w:sz w:val="18"/>
        </w:rPr>
        <w:t>Soni N et al.  ·  Front Public Health  ·  07.10.2026  ·  PMID 42908591</w:t>
      </w:r>
    </w:p>
    <w:p>
      <w:r>
        <w:t>Untersucht wurde, wie Eigenleistungen für Gesundheit Haushalte mit älteren Menschen in Indien in Armut treiben und welche Faktoren dieses Risiko verschärfen oder puffern.</w:t>
      </w:r>
    </w:p>
    <w:p>
      <w:r>
        <w:rPr>
          <w:b/>
        </w:rPr>
        <w:t xml:space="preserve">Ergebnis: </w:t>
      </w:r>
      <w:r>
        <w:t>Längere Krankenhausaufenthalte, größere Haushalte, Kaste und private Gesundheitsversorgung erhöhen die Armutsquote erheblich. Krankenversicherung und Bildung reduzieren das Risiko. Trotz öffentlicher Programme ist die Abdeckung unzureichend und ungleich, weshalb ältere Menschen finanziell ungeschützt bleiben.</w:t>
      </w:r>
    </w:p>
    <w:p>
      <w:r>
        <w:rPr>
          <w:b/>
          <w:sz w:val="19"/>
        </w:rPr>
        <w:t xml:space="preserve">Übertragbarkeit: </w:t>
      </w:r>
      <w:r>
        <w:rPr>
          <w:sz w:val="19"/>
        </w:rPr>
        <w:t>Indien; zeigt Versorgungslücken in Ländern ohne Vollversicherung; für Deutschland relevant als Warnung vor Privatisierung von Altenversorgung</w:t>
      </w:r>
    </w:p>
    <w:p>
      <w:r>
        <w:rPr>
          <w:color w:val="5A7D3A"/>
          <w:sz w:val="18"/>
        </w:rPr>
        <w:t>https://pubmed.ncbi.nlm.nih.gov/42908591/</w:t>
      </w:r>
    </w:p>
    <w:p>
      <w:pPr>
        <w:pStyle w:val="Heading2"/>
      </w:pPr>
      <w:r>
        <w:t>Geriatrische Versorgung: Risikogeschichtetes Drei-Ebenen-Modell statt Checkliste</w:t>
      </w:r>
    </w:p>
    <w:p>
      <w:r>
        <w:rPr>
          <w:i/>
          <w:color w:val="666666"/>
          <w:sz w:val="18"/>
        </w:rPr>
        <w:t>Amir O et al.  ·  NEJM Catal Innov Care Deliv  ·  21.10.2026  ·  PMID 42904679</w:t>
      </w:r>
    </w:p>
    <w:p>
      <w:r>
        <w:t>Beschreibt ein risikostratifiziertes Versorgungsmodell für ältere Klinikpatienten, das die 4Ms (Mobility, Mentation, Medication, What Matters) allen Über-65-Jährigen anbietet und dann Hochrisiko-Patienten zu spezialisierten geriatrischen Teams leitet.</w:t>
      </w:r>
    </w:p>
    <w:p>
      <w:r>
        <w:rPr>
          <w:b/>
        </w:rPr>
        <w:t xml:space="preserve">Ergebnis: </w:t>
      </w:r>
      <w:r>
        <w:t>Das Modell unterscheidet: (1) universelle 4Ms-Prozesse für alle älteren Patienten, (2) spezialisierte Protokolle (z. B. Hüftfraktur) durch Generalisten mit Geriater-Aufsicht, (3) intensive Comanagement-Modelle durch spezialisierte geriatrische Teams. Dies vermeidet Ressourcen-Ineffizienz und verbessert die Ergebnisse durch angepasste Intensität.</w:t>
      </w:r>
    </w:p>
    <w:p>
      <w:r>
        <w:rPr>
          <w:b/>
          <w:sz w:val="19"/>
        </w:rPr>
        <w:t xml:space="preserve">Übertragbarkeit: </w:t>
      </w:r>
      <w:r>
        <w:rPr>
          <w:sz w:val="19"/>
        </w:rPr>
        <w:t>USA, CMS-System; Risikostratifizierung und Strukturmodell sind auf deutsches Klinikmanagement übertragbar</w:t>
      </w:r>
    </w:p>
    <w:p>
      <w:r>
        <w:rPr>
          <w:color w:val="5A7D3A"/>
          <w:sz w:val="18"/>
        </w:rPr>
        <w:t>https://pubmed.ncbi.nlm.nih.gov/42904679/</w:t>
      </w:r>
    </w:p>
    <w:p>
      <w:pPr>
        <w:pStyle w:val="Heading2"/>
      </w:pPr>
      <w:r>
        <w:t>Mobile interprofessionelle 4Ms-Versorgung für ländliche ältere Menschen</w:t>
      </w:r>
    </w:p>
    <w:p>
      <w:r>
        <w:rPr>
          <w:i/>
          <w:color w:val="666666"/>
          <w:sz w:val="18"/>
        </w:rPr>
        <w:t>Wick K et al.  ·  NEJM Catal Innov Care Deliv  ·  21.10.2026  ·  PMID 42904676</w:t>
      </w:r>
    </w:p>
    <w:p>
      <w:r>
        <w:t>Beschreibt ein mobiles interprofessionelles Klinik-Modell (MobileMOC), das die 4Ms in ländlichen Regionen über Klinikbesuche, Senior-Zentren und Lehre erbringt.</w:t>
      </w:r>
    </w:p>
    <w:p>
      <w:r>
        <w:rPr>
          <w:b/>
        </w:rPr>
        <w:t xml:space="preserve">Ergebnis: </w:t>
      </w:r>
      <w:r>
        <w:t>In den ersten 6 Monaten 2026 wurden 182 Patientenkontakte erbracht, 129 Patienten (45 % älter als 65 Jahre) erreicht, 1.579 Screenings durchgeführt, 119 Fachüberweisungen generiert und 710 Stunden klinische Lehre geleistet. Das Modell zeigt Machbarkeit, offenbart aber Messlücken und Finanzierungsgaps.</w:t>
      </w:r>
    </w:p>
    <w:p>
      <w:r>
        <w:rPr>
          <w:b/>
          <w:sz w:val="19"/>
        </w:rPr>
        <w:t xml:space="preserve">Übertragbarkeit: </w:t>
      </w:r>
      <w:r>
        <w:rPr>
          <w:sz w:val="19"/>
        </w:rPr>
        <w:t>USA; Struktur und Interprofessionalität sind auf deutsche ländliche Regionen mit Fachkräftemangel übertragbar</w:t>
      </w:r>
    </w:p>
    <w:p>
      <w:r>
        <w:rPr>
          <w:color w:val="5A7D3A"/>
          <w:sz w:val="18"/>
        </w:rPr>
        <w:t>https://pubmed.ncbi.nlm.nih.gov/42904676/</w:t>
      </w:r>
    </w:p>
    <w:p>
      <w:pPr>
        <w:pStyle w:val="Heading2"/>
      </w:pPr>
      <w:r>
        <w:t>Hundertjährige in Genua: Kohortenstudie zu kognitiver Gesundheit im höchsten Alter</w:t>
      </w:r>
    </w:p>
    <w:p>
      <w:r>
        <w:rPr>
          <w:i/>
          <w:color w:val="666666"/>
          <w:sz w:val="18"/>
        </w:rPr>
        <w:t>Di Maria E et al.  ·  Exp Gerontol  ·  01.10.2026  ·  PMID 42822552</w:t>
      </w:r>
    </w:p>
    <w:p>
      <w:r>
        <w:t>Italienische multidisziplinäre Kohorte von 88 Hundertjährigen (Alter 99–108 Jahre) zur Untersuchung von Schutzfaktoren für kognitive Funktion durch Neuropsychologie und Genomik.</w:t>
      </w:r>
    </w:p>
    <w:p>
      <w:r>
        <w:rPr>
          <w:b/>
        </w:rPr>
        <w:t xml:space="preserve">Ergebnis: </w:t>
      </w:r>
      <w:r>
        <w:t>Von 84 Hundertjährigen mit erfasstem kognitiven Status zeigte sich großes Spektrum: CDR 0–5 (Median 1), MMSE 3–30 (Median 24). 32 Patienten wurden nachbeobachtet, DNA von 67 gelagert. Protokoll ist praktikabel und wird akzeptiert. Erkenntnisse werden längerfristig genomische Varianten für kognitive Variabilität im hohen Alter aufklären.</w:t>
      </w:r>
    </w:p>
    <w:p>
      <w:r>
        <w:rPr>
          <w:b/>
          <w:sz w:val="19"/>
        </w:rPr>
        <w:t xml:space="preserve">Übertragbarkeit: </w:t>
      </w:r>
      <w:r>
        <w:rPr>
          <w:sz w:val="19"/>
        </w:rPr>
        <w:t>Italien, europäische Langzeitpflege; italienisches Alterssystem und High-Prevalence-Hundertjähriger machen Übertrag auf Deutschland begrenzt, aber kognitives Screening relevant</w:t>
      </w:r>
    </w:p>
    <w:p>
      <w:r>
        <w:rPr>
          <w:color w:val="5A7D3A"/>
          <w:sz w:val="18"/>
        </w:rPr>
        <w:t>https://pubmed.ncbi.nlm.nih.gov/42822552/</w:t>
      </w:r>
    </w:p>
    <w:p>
      <w:pPr>
        <w:pStyle w:val="Heading1"/>
      </w:pPr>
      <w:r>
        <w:t>Aufgenommen am 24.10.2026</w:t>
      </w:r>
    </w:p>
    <w:p>
      <w:pPr>
        <w:pStyle w:val="Heading2"/>
      </w:pPr>
      <w:r>
        <w:t>Frailty-Schweregrad bestimmt Überleben und Arztkostenbelastung bei älteren Menschen</w:t>
      </w:r>
    </w:p>
    <w:p>
      <w:r>
        <w:rPr>
          <w:i/>
          <w:color w:val="666666"/>
          <w:sz w:val="18"/>
        </w:rPr>
        <w:t>Pulok MH et al.  ·  Age Ageing  ·  03.08.2026  ·  PMID 42910912</w:t>
      </w:r>
    </w:p>
    <w:p>
      <w:r>
        <w:t>Retrospektive Kohortenstudie an 944 älteren Notaufnahmepatienten (Median 80,8 Jahre) zur Vorhersage von Kosten und Überleben anhand des Clinical Frailty Scale.</w:t>
      </w:r>
    </w:p>
    <w:p>
      <w:r>
        <w:rPr>
          <w:b/>
        </w:rPr>
        <w:t xml:space="preserve">Ergebnis: </w:t>
      </w:r>
      <w:r>
        <w:t>Schwer gebrechliche Patienten hatten über ein Jahr 704 CAD weniger Arztkosen als unkomplizierte – hauptsächlich durch kürzeres Überleben bedingt (41,6% starben innerhalb eines Jahres). Während der Lebenszeit fielen für alle Gebrechlichkeitsgruppen höhere Kosten an als für Nicht-Gebrechliche, was auf intensivere Nutzung bei kürzerer Dauer hindeutet. Der Frailty-Status war ein besserer Kostenprädiktor als Alter allein.</w:t>
      </w:r>
    </w:p>
    <w:p>
      <w:r>
        <w:rPr>
          <w:b/>
          <w:sz w:val="19"/>
        </w:rPr>
        <w:t xml:space="preserve">Übertragbarkeit: </w:t>
      </w:r>
      <w:r>
        <w:rPr>
          <w:sz w:val="19"/>
        </w:rPr>
        <w:t>Kanada, ähnliche Sozialversicherung und Gesundheitsfinanzierung wie Deutschland.</w:t>
      </w:r>
    </w:p>
    <w:p>
      <w:r>
        <w:rPr>
          <w:color w:val="5A7D3A"/>
          <w:sz w:val="18"/>
        </w:rPr>
        <w:t>https://pubmed.ncbi.nlm.nih.gov/42910912/</w:t>
      </w:r>
    </w:p>
    <w:p>
      <w:pPr>
        <w:pStyle w:val="Heading2"/>
      </w:pPr>
      <w:r>
        <w:t>Aktives Altern durch Betreuung und Freiwilligenarbeit: Wer profitiert, wer leidet?</w:t>
      </w:r>
    </w:p>
    <w:p>
      <w:r>
        <w:rPr>
          <w:i/>
          <w:color w:val="666666"/>
          <w:sz w:val="18"/>
        </w:rPr>
        <w:t>Cretazzo F et al.  ·  Front Public Health  ·  07.10.2026  ·  PMID 42909995</w:t>
      </w:r>
    </w:p>
    <w:p>
      <w:r>
        <w:t>Längsschnittstudie (SHARE Wellen 7–9) an älteren Europäern, die Übergänge zwischen Betreuungs- und Freiwilligentätigkeit in Bezug auf Gesundheit und psychisches Wohlbefinden verfolgten.</w:t>
      </w:r>
    </w:p>
    <w:p>
      <w:r>
        <w:rPr>
          <w:b/>
        </w:rPr>
        <w:t xml:space="preserve">Ergebnis: </w:t>
      </w:r>
      <w:r>
        <w:t>Übergänge von reiner Betreuung zu Doppelrolle („Super-Helper</w:t>
      </w:r>
    </w:p>
    <w:p>
      <w:r>
        <w:rPr>
          <w:b/>
          <w:sz w:val="19"/>
        </w:rPr>
        <w:t xml:space="preserve">Übertragbarkeit: </w:t>
      </w:r>
      <w:r>
        <w:rPr>
          <w:sz w:val="19"/>
        </w:rPr>
        <w:t>Europa, SHARE-Daten aus sozialversicherungsgestützten Systemen.</w:t>
      </w:r>
    </w:p>
    <w:p>
      <w:r>
        <w:rPr>
          <w:color w:val="5A7D3A"/>
          <w:sz w:val="18"/>
        </w:rPr>
        <w:t>https://pubmed.ncbi.nlm.nih.gov/42909995/</w:t>
      </w:r>
    </w:p>
    <w:p>
      <w:pPr>
        <w:pStyle w:val="Heading2"/>
      </w:pPr>
      <w:r>
        <w:t>Biologische Gebrechlichkeit und Chemotherapiedosis bestimmen Überleben bei älteren Darmkrebspatienten</w:t>
      </w:r>
    </w:p>
    <w:p>
      <w:r>
        <w:rPr>
          <w:i/>
          <w:color w:val="666666"/>
          <w:sz w:val="18"/>
        </w:rPr>
        <w:t>Ağaoğlu AB et al.  ·  Cancer Chemother Pharmacol  ·  23.10.2026  ·  PMID 42909624</w:t>
      </w:r>
    </w:p>
    <w:p>
      <w:r>
        <w:t>Retrospektive Studie an 94 Patienten ≥65 Jahren mit adjuvanter Chemotherapie nach Darmkrebsoperation zu Frailty-Index und Dosisintensität als Überlebensprädiktoren.</w:t>
      </w:r>
    </w:p>
    <w:p>
      <w:r>
        <w:rPr>
          <w:b/>
        </w:rPr>
        <w:t xml:space="preserve">Ergebnis: </w:t>
      </w:r>
      <w:r>
        <w:t>Laborgestützter Frailty-Index (FI-Lab) ≥0,25 sagte unabhängig schlechteres Gesamtüberleben vorher (Hazard Ratio 3,73, p=0,023) und krankheitsfreies Überleben (HR 2,81, p=0,029). Patienten ohne optimale Anfangsdosis hatten deutlich schlechtere Ergebnisse (OS HR 14,41; p=0,011). G8, mFI-5 und Charlson-Index waren nicht unabhängig prädiktiv.</w:t>
      </w:r>
    </w:p>
    <w:p>
      <w:r>
        <w:rPr>
          <w:b/>
          <w:sz w:val="19"/>
        </w:rPr>
        <w:t xml:space="preserve">Übertragbarkeit: </w:t>
      </w:r>
      <w:r>
        <w:rPr>
          <w:sz w:val="19"/>
        </w:rPr>
        <w:t>Türkei; biologische Reserve als Prädiktor ist universell, Dosisintensität und Messmethoden sind aber systemabhängig.</w:t>
      </w:r>
    </w:p>
    <w:p>
      <w:r>
        <w:rPr>
          <w:color w:val="5A7D3A"/>
          <w:sz w:val="18"/>
        </w:rPr>
        <w:t>https://pubmed.ncbi.nlm.nih.gov/42909624/</w:t>
      </w:r>
    </w:p>
    <w:p>
      <w:pPr>
        <w:pStyle w:val="Heading2"/>
      </w:pPr>
      <w:r>
        <w:t>Geriatrische Atemwegsmedizin: Künstliche Intelligenz und maßgeschneiderte Versorgung polymorber älterer Patienten</w:t>
      </w:r>
    </w:p>
    <w:p>
      <w:r>
        <w:rPr>
          <w:i/>
          <w:color w:val="666666"/>
          <w:sz w:val="18"/>
        </w:rPr>
        <w:t>Sorino C et al.  ·  Eur Respir Rev  ·  21.10.2026  ·  PMID 42906940</w:t>
      </w:r>
    </w:p>
    <w:p>
      <w:r>
        <w:t>Fachnachricht italienischer und europäischer Pneumologen zu klinischen Schnittstellen von Altern, Immunoseneszenz, Gebrechlichkeit und Lungenerkrankung im Alter mit Fokus auf praktische Versorgungsmodelle.</w:t>
      </w:r>
    </w:p>
    <w:p>
      <w:r>
        <w:rPr>
          <w:b/>
        </w:rPr>
        <w:t xml:space="preserve">Ergebnis: </w:t>
      </w:r>
      <w:r>
        <w:t>Kernbefunde: pneumonie-assoziierte Sarkopenie als Motor für Rezidivinfektion und funktionellen Niedergang; nicht-invasive Beatmungswahl muss Delirium-Risiko gegen Wirksamkeit abwägen; 20-valenter Pneumokokken- und RSV-Impfstoff als neue Präventionsstrategie; gerätegestützte Inhalationstherapie angepasst an inspiratorische Kraft statt nur Pharmakologie; Biologika (Dupilumab, Mepolizumab) ermöglichen Steroid-Einsparung; 4Ms-Modell (Mentation, Medication, Mobility, Morbidities) integriert mit KI als strukturierte Versorgung.</w:t>
      </w:r>
    </w:p>
    <w:p>
      <w:r>
        <w:rPr>
          <w:b/>
          <w:sz w:val="19"/>
        </w:rPr>
        <w:t xml:space="preserve">Übertragbarkeit: </w:t>
      </w:r>
      <w:r>
        <w:rPr>
          <w:sz w:val="19"/>
        </w:rPr>
        <w:t>Italien und Europa, Sozialversicherungssysteme; praxisorientiert für deutschsprachige Lungenkliniken.</w:t>
      </w:r>
    </w:p>
    <w:p>
      <w:r>
        <w:rPr>
          <w:color w:val="5A7D3A"/>
          <w:sz w:val="18"/>
        </w:rPr>
        <w:t>https://pubmed.ncbi.nlm.nih.gov/42906940/</w:t>
      </w:r>
    </w:p>
    <w:p>
      <w:pPr>
        <w:pStyle w:val="Heading2"/>
      </w:pPr>
      <w:r>
        <w:t>Flächendeckende Umsetzung der Age-Friendly 4Ms in 26 Krankenhäusern</w:t>
      </w:r>
    </w:p>
    <w:p>
      <w:r>
        <w:rPr>
          <w:i/>
          <w:color w:val="666666"/>
          <w:sz w:val="18"/>
        </w:rPr>
        <w:t>Ryer S et al.  ·  NEJM Catal Innov Care Deliv  ·  21.10.2026  ·  PMID 42904678</w:t>
      </w:r>
    </w:p>
    <w:p>
      <w:r>
        <w:t>Implementierungsstudie an 26 Krankenhäusern im Mittleren Westen (Wisconsin, Illinois) zur standardisierten Umsetzung der 4Ms (What Matters, Medication, Mentation, Mobility) mit Governance-Struktur, EHR-Integration und Qualitätsmessungen.</w:t>
      </w:r>
    </w:p>
    <w:p>
      <w:r>
        <w:rPr>
          <w:b/>
        </w:rPr>
        <w:t xml:space="preserve">Ergebnis: </w:t>
      </w:r>
      <w:r>
        <w:t>Implementierungsreife bei frühen Kohorten in geriatrischen stationären Einrichtungen Median 0,66, nicht-geriatrischen stationär 0,63, geriatrischen ambulant 0,47, nicht-geriatrischen ambulant 0,36 (Skala 0–1). Dokumentation What Matters und Kognitives Screening erheblich verbessert, Deliriumrate und Liegedauer reduziert. Hohe Variabilität zwischen Organisationen. Herausforderungen: Dokumentationslast, variable Adoption, konkurrierende Prioritäten.</w:t>
      </w:r>
    </w:p>
    <w:p>
      <w:r>
        <w:rPr>
          <w:b/>
          <w:sz w:val="19"/>
        </w:rPr>
        <w:t xml:space="preserve">Übertragbarkeit: </w:t>
      </w:r>
      <w:r>
        <w:rPr>
          <w:sz w:val="19"/>
        </w:rPr>
        <w:t>USA, aber Implementierungsmethode und Messrahmen sind auf deutsche Krankenhäuser übertragbar.</w:t>
      </w:r>
    </w:p>
    <w:p>
      <w:r>
        <w:rPr>
          <w:color w:val="5A7D3A"/>
          <w:sz w:val="18"/>
        </w:rPr>
        <w:t>https://pubmed.ncbi.nlm.nih.gov/42904678/</w:t>
      </w:r>
    </w:p>
    <w:p>
      <w:pPr>
        <w:pStyle w:val="Heading2"/>
      </w:pPr>
      <w:r>
        <w:t>Age-Friendly 4Ms in Sicherheitsnetzklnik: Implementierung bei älteren vulnerable Patienten</w:t>
      </w:r>
    </w:p>
    <w:p>
      <w:r>
        <w:rPr>
          <w:i/>
          <w:color w:val="666666"/>
          <w:sz w:val="18"/>
        </w:rPr>
        <w:t>Ohuabunwa UK et al.  ·  NEJM Catal Innov Care Deliv  ·  21.10.2026  ·  PMID 42904677</w:t>
      </w:r>
    </w:p>
    <w:p>
      <w:r>
        <w:t>Implementierungsstudie der 4Ms-Rahmenwerk (What Matters, Medication, Mentation, Mobility) plus Malnutrition und Übergangspflege in Safety-Net-Klinik mit 3427 älteren Patienten (79,3 Jahre, 64% Afroamerikaner).</w:t>
      </w:r>
    </w:p>
    <w:p>
      <w:r>
        <w:rPr>
          <w:b/>
        </w:rPr>
        <w:t xml:space="preserve">Ergebnis: </w:t>
      </w:r>
      <w:r>
        <w:t>Über zwei Jahre (März 2024–März 2026) erreichte die AFHS-Implementierung 100% Einhaltung bei 5 von 14 Protokollen, &gt;90% bei 5 weiteren. Was Matters-Dokumentation 74%, Delirium-Screening 98%, Funktionskapazitätsbewertung 96%. Assoziation mit Deliriumrate-Reduktion und verkürzter Krankenhausliegedauer.</w:t>
      </w:r>
    </w:p>
    <w:p>
      <w:r>
        <w:rPr>
          <w:b/>
          <w:sz w:val="19"/>
        </w:rPr>
        <w:t xml:space="preserve">Übertragbarkeit: </w:t>
      </w:r>
      <w:r>
        <w:rPr>
          <w:sz w:val="19"/>
        </w:rPr>
        <w:t>USA-Sicherheitsnetzkontext, aber 4Ms-Framework und Messmethoden sind übertragbar.</w:t>
      </w:r>
    </w:p>
    <w:p>
      <w:r>
        <w:rPr>
          <w:color w:val="5A7D3A"/>
          <w:sz w:val="18"/>
        </w:rPr>
        <w:t>https://pubmed.ncbi.nlm.nih.gov/42904677/</w:t>
      </w:r>
    </w:p>
    <w:p>
      <w:pPr>
        <w:pStyle w:val="Heading1"/>
      </w:pPr>
      <w:r>
        <w:t>Aufgenommen am 23.10.2026</w:t>
      </w:r>
    </w:p>
    <w:p>
      <w:pPr>
        <w:pStyle w:val="Heading2"/>
      </w:pPr>
      <w:r>
        <w:t>Interprofessionelle Schulung und Workflow verbessern geriatrisches Screening in Hausarztpraxen</w:t>
      </w:r>
    </w:p>
    <w:p>
      <w:r>
        <w:rPr>
          <w:i/>
          <w:color w:val="666666"/>
          <w:sz w:val="18"/>
        </w:rPr>
        <w:t>Litzelman DK et al.  ·  BMC Geriatr  ·  23.07.2026  ·  PMID 42907743</w:t>
      </w:r>
    </w:p>
    <w:p>
      <w:r>
        <w:t>US-amerikanische Studie mit 56 Hausärzten, 180 Assistenzärzten und 8818 älteren Patienten an acht Primärversorgungsstellen evaluierte ein Schulungs- und Systeminterventionsprogramm basierend auf dem Age-Friendly 4Ms-Rahmenwerk.</w:t>
      </w:r>
    </w:p>
    <w:p>
      <w:r>
        <w:rPr>
          <w:b/>
        </w:rPr>
        <w:t xml:space="preserve">Ergebnis: </w:t>
      </w:r>
      <w:r>
        <w:t>Nach Intervention verbesserten sich Screening-Raten für Demenz (OR 1,27, 95%-KI 0,98–1,63) und Sturzrisiko (OR 1,40, 95%-KI 1,00–1,95), mit Sturzrisiko-Screening zeigend die stärksten Verbesserungen (+0,64% pro Monat, p&lt;0,001). Kliniken mit stärkerer Systemintegration zeigten die robustesten Verbesserungen; Opioid-Screening und Advance-Care-Planning-Dokumentation nahmen ab.</w:t>
      </w:r>
    </w:p>
    <w:p>
      <w:r>
        <w:rPr>
          <w:b/>
          <w:sz w:val="19"/>
        </w:rPr>
        <w:t xml:space="preserve">Übertragbarkeit: </w:t>
      </w:r>
      <w:r>
        <w:rPr>
          <w:sz w:val="19"/>
        </w:rPr>
        <w:t>USA, Primärversorgung; Methoden auf deutsches Praxissystem übertragbar, aber Organisationsstruktur unterscheidet sich</w:t>
      </w:r>
    </w:p>
    <w:p>
      <w:r>
        <w:rPr>
          <w:color w:val="5A7D3A"/>
          <w:sz w:val="18"/>
        </w:rPr>
        <w:t>https://pubmed.ncbi.nlm.nih.gov/42907743/</w:t>
      </w:r>
    </w:p>
    <w:p>
      <w:pPr>
        <w:pStyle w:val="Heading2"/>
      </w:pPr>
      <w:r>
        <w:t>COVID-19 und Opioide kürzten Lebenserwartung in Kanada um 0,68 Jahre</w:t>
      </w:r>
    </w:p>
    <w:p>
      <w:r>
        <w:rPr>
          <w:i/>
          <w:color w:val="666666"/>
          <w:sz w:val="18"/>
        </w:rPr>
        <w:t>Sirag A et al.  ·  Health Rep  ·  21.10.2026  ·  PMID 42905875</w:t>
      </w:r>
    </w:p>
    <w:p>
      <w:r>
        <w:t>Kanadische Vital-Statistik-Studie verglich Sterblichkeits-Todesursachen-Stiftung zwischen 2017–2019 und 2020–2022 mittels Arriaga-Dekomposition, um die Beiträge einzelner Todesursachen zum Rückgang der Lebenserwartung bei der Geburt zu quantifizieren.</w:t>
      </w:r>
    </w:p>
    <w:p>
      <w:r>
        <w:rPr>
          <w:b/>
        </w:rPr>
        <w:t xml:space="preserve">Ergebnis: </w:t>
      </w:r>
      <w:r>
        <w:t>COVID-19 war der größte einzelne Beitrag zum Rückgang der Lebenserwartung bei der Geburt in Kanada (–0,46 Jahre für beide Geschlechter). Opioid-bedingte Todesfälle trugen –0,22 Jahre bei, während Krebserkrankungen einen geringen Anstieg (+0,17 Jahre) verursachten. Gesamtrückgang etwa 0,68 Jahre, hauptsächlich durch pandemic-direkte und indirekte Effekte.</w:t>
      </w:r>
    </w:p>
    <w:p>
      <w:r>
        <w:rPr>
          <w:b/>
          <w:sz w:val="19"/>
        </w:rPr>
        <w:t xml:space="preserve">Übertragbarkeit: </w:t>
      </w:r>
      <w:r>
        <w:rPr>
          <w:sz w:val="19"/>
        </w:rPr>
        <w:t>Kanada, vergleichbare Sozialversicherung und Lebenserwartung wie Deutschland; Methode und Prioritäten übertragbar</w:t>
      </w:r>
    </w:p>
    <w:p>
      <w:r>
        <w:rPr>
          <w:color w:val="5A7D3A"/>
          <w:sz w:val="18"/>
        </w:rPr>
        <w:t>https://pubmed.ncbi.nlm.nih.gov/42905875/</w:t>
      </w:r>
    </w:p>
    <w:p>
      <w:pPr>
        <w:pStyle w:val="Heading2"/>
      </w:pPr>
      <w:r>
        <w:t>Pflanzenbasierte Ernährung senkt Frailty-Risiko bei älteren Erwachsenen</w:t>
      </w:r>
    </w:p>
    <w:p>
      <w:r>
        <w:rPr>
          <w:i/>
          <w:color w:val="666666"/>
          <w:sz w:val="18"/>
        </w:rPr>
        <w:t>Lin J et al.  ·  Age Ageing  ·  03.08.2026  ·  PMID 42905723</w:t>
      </w:r>
    </w:p>
    <w:p>
      <w:r>
        <w:t>Studie mit 8628 älteren Erwachsenen aus drei Kohorten (CLHLS, HRS, ELSA) untersuchte die Assoziation verschiedener pflanzlicher Ernährungsmuster mit Frailty mittels Mundlak-Dekomposition.</w:t>
      </w:r>
    </w:p>
    <w:p>
      <w:r>
        <w:rPr>
          <w:b/>
        </w:rPr>
        <w:t xml:space="preserve">Ergebnis: </w:t>
      </w:r>
      <w:r>
        <w:t>Höhere Gesamtscores für pflanzenbasierte Diät waren mit niedrigerem Frailty-Risiko assoziiert (ORs 0,71–0,80 über alle drei Kohorten), während ungesunde pflanzliche Muster mit erhöhtem Risiko verbunden waren (ORs 1,24–1,41). Nüsse, Gemüse und Pflanzenöle zeigten überwiegend inverse Assoziationen mit mehreren Frailty-Domänen.</w:t>
      </w:r>
    </w:p>
    <w:p>
      <w:r>
        <w:rPr>
          <w:b/>
          <w:sz w:val="19"/>
        </w:rPr>
        <w:t xml:space="preserve">Übertragbarkeit: </w:t>
      </w:r>
      <w:r>
        <w:rPr>
          <w:sz w:val="19"/>
        </w:rPr>
        <w:t>UK, China, internationale Kohorten; Ernährungsmessungen und Frailty-Definition übertragbar auf deutsches Gesundheitssystem</w:t>
      </w:r>
    </w:p>
    <w:p>
      <w:r>
        <w:rPr>
          <w:color w:val="5A7D3A"/>
          <w:sz w:val="18"/>
        </w:rPr>
        <w:t>https://pubmed.ncbi.nlm.nih.gov/42905723/</w:t>
      </w:r>
    </w:p>
    <w:p>
      <w:pPr>
        <w:pStyle w:val="Heading2"/>
      </w:pPr>
      <w:r>
        <w:t>Multimorbidität kostet weltweit älteren Menschen 363 Milliarden Dollar pro Jahr</w:t>
      </w:r>
    </w:p>
    <w:p>
      <w:r>
        <w:rPr>
          <w:i/>
          <w:color w:val="666666"/>
          <w:sz w:val="18"/>
        </w:rPr>
        <w:t>Ji W et al.  ·  JAMA Netw Open  ·  01.10.2026  ·  PMID 42905709</w:t>
      </w:r>
    </w:p>
    <w:p>
      <w:r>
        <w:t>Globale ökonomische Evaluationsstudie mit Daten aus 204 Ländern (2000–2023) quantifizierte die gesundheitliche und finanzielle Last von Multimorbidität (78 Kombinationen) bei Erwachsenen ≥60 Jahren mittels Global Burden of Disease 2023 und makroökonomischen Daten.</w:t>
      </w:r>
    </w:p>
    <w:p>
      <w:r>
        <w:rPr>
          <w:b/>
        </w:rPr>
        <w:t xml:space="preserve">Ergebnis: </w:t>
      </w:r>
      <w:r>
        <w:t>Von 2000 bis 2023 stiegen die Jahre mit Behinderung (YLDs) von 2368 auf 2942 pro 100.000 Erwachsene ≥60 Jahren; wirtschaftliche Verluste nahmen von 80,1 Milliarden auf 363,25 Milliarden USD (kaufkraftparitätsbereinigt) zu. Schnellstes Wachstum: Diabetes, Angststörungen und Parkinson (AAPC 9,92% für Kosten). Höchste YLD-Rate: Osteoarthritis mit Alzheimer/Demenz (369,87 pro 100.000).</w:t>
      </w:r>
    </w:p>
    <w:p>
      <w:r>
        <w:rPr>
          <w:b/>
          <w:sz w:val="19"/>
        </w:rPr>
        <w:t xml:space="preserve">Übertragbarkeit: </w:t>
      </w:r>
      <w:r>
        <w:rPr>
          <w:sz w:val="19"/>
        </w:rPr>
        <w:t>Global, 204 Länder; Dimensionen und Trends übertragbar, aber absolute Kosten hängen von Finanzierungssystem und Lebenserwartung ab</w:t>
      </w:r>
    </w:p>
    <w:p>
      <w:r>
        <w:rPr>
          <w:color w:val="5A7D3A"/>
          <w:sz w:val="18"/>
        </w:rPr>
        <w:t>https://pubmed.ncbi.nlm.nih.gov/42905709/</w:t>
      </w:r>
    </w:p>
    <w:p>
      <w:pPr>
        <w:pStyle w:val="Heading2"/>
      </w:pPr>
      <w:r>
        <w:t>Feinstaub beschleunigt kardiovaskuläres Altern über Seneszenz und Entzündung</w:t>
      </w:r>
    </w:p>
    <w:p>
      <w:r>
        <w:rPr>
          <w:i/>
          <w:color w:val="666666"/>
          <w:sz w:val="18"/>
        </w:rPr>
        <w:t>Yadav P et al.  ·  Cardiovasc Toxicol  ·  21.10.2026  ·  PMID 42905338</w:t>
      </w:r>
    </w:p>
    <w:p>
      <w:r>
        <w:t>Scoping Review mit konzeptuellem PACA-Framework (Pollution-Accelerated Cardiovascular Aging) integrierte Evidenz zu Feinstaub-Exposition (PM2,5, ultrafeine Partikel) und kardiovaskulärem Altern durch Mitochondrien-Dysfunktion, Seneszenz, epigenetische Änderungen und autonome Dysregulation.</w:t>
      </w:r>
    </w:p>
    <w:p>
      <w:r>
        <w:rPr>
          <w:b/>
        </w:rPr>
        <w:t xml:space="preserve">Ergebnis: </w:t>
      </w:r>
      <w:r>
        <w:t>Framework schlägt Temporal-Evidence-Matrix vor, die Expositions-Kinetik, Lebensverlauf-Timing, Persistenz nach Expositions-Ende, Dosis-Wirkungs-Beziehungen und longitudinale Veränderungen relativ zu altersreferenzierten Vergleichern nutzt. Persistierende oder unvollständig reversible Defizite deuten auf chronische Verletzung hin; stärkere Evidenz für kardiovaskuläres Aging erfordert wiederholte Demonstration größerer Veränderungsraten als chronologisch erwartet.</w:t>
      </w:r>
    </w:p>
    <w:p>
      <w:r>
        <w:rPr>
          <w:b/>
          <w:sz w:val="19"/>
        </w:rPr>
        <w:t xml:space="preserve">Übertragbarkeit: </w:t>
      </w:r>
      <w:r>
        <w:rPr>
          <w:sz w:val="19"/>
        </w:rPr>
        <w:t>Überwiegend Tiermodelle und mechanistische Daten; PACA-Framework theoretisch, keine klinischen Endpunkte gemessen</w:t>
      </w:r>
    </w:p>
    <w:p>
      <w:r>
        <w:rPr>
          <w:color w:val="5A7D3A"/>
          <w:sz w:val="18"/>
        </w:rPr>
        <w:t>https://pubmed.ncbi.nlm.nih.gov/42905338/</w:t>
      </w:r>
    </w:p>
    <w:p>
      <w:pPr>
        <w:pStyle w:val="Heading2"/>
      </w:pPr>
      <w:r>
        <w:t>Frailty-Index prognostiziert post-ERCP-Pankreatitis bei älteren Patienten</w:t>
      </w:r>
    </w:p>
    <w:p>
      <w:r>
        <w:rPr>
          <w:i/>
          <w:color w:val="666666"/>
          <w:sz w:val="18"/>
        </w:rPr>
        <w:t>Zhang F et al.  ·  Clin Interv Aging  ·  16.10.2026  ·  PMID 42904120</w:t>
      </w:r>
    </w:p>
    <w:p>
      <w:r>
        <w:t>Retrospektive Studie von 696 älteren Patienten (≥65 Jahre), die sich einer endoskopischen retrograden Cholangiopankreatographie unterzogen, untersuchte den Zusammenhang zwischen präoperativer Frailty und post-ERCP-Pankreatitis mittels elektronischem Frailty-Index.</w:t>
      </w:r>
    </w:p>
    <w:p>
      <w:r>
        <w:rPr>
          <w:b/>
        </w:rPr>
        <w:t xml:space="preserve">Ergebnis: </w:t>
      </w:r>
      <w:r>
        <w:t>Von 696 Patienten entwickelten 79 (11,4%) eine post-ERCP-Pankreatitis. Nach multivariater Anpassung war Frailty mit höheren Chancen verbunden (OR 2,09, 95%-KI 1,08–4,05, p=0,028). Hinzunahme von Frailty zum Referenzmodell verbesserte die Diskrimination (AUC 0,714 zu 0,755, p=0,031); Netto-Reklassifizierungsverbesserung betrug 0,516.</w:t>
      </w:r>
    </w:p>
    <w:p>
      <w:r>
        <w:rPr>
          <w:b/>
          <w:sz w:val="19"/>
        </w:rPr>
        <w:t xml:space="preserve">Übertragbarkeit: </w:t>
      </w:r>
      <w:r>
        <w:rPr>
          <w:sz w:val="19"/>
        </w:rPr>
        <w:t>China; Frailty-Messung und Endoskopie-Risiken gelten international, aber Patientenpopulation und Gesundheitssystem unterscheiden sich</w:t>
      </w:r>
    </w:p>
    <w:p>
      <w:r>
        <w:rPr>
          <w:color w:val="5A7D3A"/>
          <w:sz w:val="18"/>
        </w:rPr>
        <w:t>https://pubmed.ncbi.nlm.nih.gov/42904120/</w:t>
      </w:r>
    </w:p>
    <w:p>
      <w:pPr>
        <w:pStyle w:val="Heading1"/>
      </w:pPr>
      <w:r>
        <w:t>Aufgenommen am 22.10.2026</w:t>
      </w:r>
    </w:p>
    <w:p>
      <w:pPr>
        <w:pStyle w:val="Heading2"/>
      </w:pPr>
      <w:r>
        <w:t>Notfallchirurgie bei über 90-Jährigen: regionale Unterschiede in der Langzeitsterblichkeit</w:t>
      </w:r>
    </w:p>
    <w:p>
      <w:r>
        <w:rPr>
          <w:i/>
          <w:color w:val="666666"/>
          <w:sz w:val="18"/>
        </w:rPr>
        <w:t>Suh JM et al.  ·  Crit Care  ·  25.07.2026  ·  PMID 42902313</w:t>
      </w:r>
    </w:p>
    <w:p>
      <w:r>
        <w:t>Nationale bevölkerungsbasierte Kohortenstudie an 4.887 über 90-Jährigen nach Notfalloperation mit Vergleich regionaler vs. metropolitaner Versorgung in Australien.</w:t>
      </w:r>
    </w:p>
    <w:p>
      <w:r>
        <w:rPr>
          <w:b/>
        </w:rPr>
        <w:t xml:space="preserve">Ergebnis: </w:t>
      </w:r>
      <w:r>
        <w:t>ICU- und Krankenhaussterblichkeit regional nicht unterschiedlich. Nach Entlassung regional/remote wohnhafte Patienten mit höherer 5-Jahres-Mortalität (adjustierte HR 1,133, 95%-KI 1,027–1,250, p=0,013). Überlebensvorteil der Metropolen erst nach Entlassung sichtbar.</w:t>
      </w:r>
    </w:p>
    <w:p>
      <w:r>
        <w:rPr>
          <w:b/>
          <w:sz w:val="19"/>
        </w:rPr>
        <w:t xml:space="preserve">Übertragbarkeit: </w:t>
      </w:r>
      <w:r>
        <w:rPr>
          <w:sz w:val="19"/>
        </w:rPr>
        <w:t>Australien, vergleichbare Gesundheitssysteme; zeigt Bedeutung regionaler Nachsorge für universelle Alterspopulation.</w:t>
      </w:r>
    </w:p>
    <w:p>
      <w:r>
        <w:rPr>
          <w:color w:val="5A7D3A"/>
          <w:sz w:val="18"/>
        </w:rPr>
        <w:t>https://pubmed.ncbi.nlm.nih.gov/42902313/</w:t>
      </w:r>
    </w:p>
    <w:p>
      <w:pPr>
        <w:pStyle w:val="Heading2"/>
      </w:pPr>
      <w:r>
        <w:t>Frühe Widrigkeiten und Lebensqualität im Alter: Langzeitfolgen für erfolgreiche Alternstrajectoria</w:t>
      </w:r>
    </w:p>
    <w:p>
      <w:r>
        <w:rPr>
          <w:i/>
          <w:color w:val="666666"/>
          <w:sz w:val="18"/>
        </w:rPr>
        <w:t>Yang K et al.  ·  BMC Geriatr  ·  24.07.2026  ·  PMID 42902202</w:t>
      </w:r>
    </w:p>
    <w:p>
      <w:r>
        <w:t>Prospektive Kohortenstudie an 3.092 älteren Chinesen, die vier Muster ungünstiger Kindheitserfahrungen mit Trajectoria gelungenen Alterns über acht Jahre verband.</w:t>
      </w:r>
    </w:p>
    <w:p>
      <w:r>
        <w:rPr>
          <w:b/>
        </w:rPr>
        <w:t xml:space="preserve">Ergebnis: </w:t>
      </w:r>
      <w:r>
        <w:t>Pervasive Adversität (OR 1,97, 95%-KI 1,10–3,83) und Haushalts-Dysfunktion (OR 1,36, 95%-KI 1,07–1,74) verbunden mit ungünstiger Trajectoria. Niedrige Schulbildung stärkster Prädiktor (OR 5,23, 95%-KI 3,84–7,13). Netzwerk-Analyse zeigte stärkere Koppelung von Kognition und chronischem Leiden in der Gruppe mit schlechterer Trajectoria.</w:t>
      </w:r>
    </w:p>
    <w:p>
      <w:r>
        <w:rPr>
          <w:b/>
          <w:sz w:val="19"/>
        </w:rPr>
        <w:t xml:space="preserve">Übertragbarkeit: </w:t>
      </w:r>
      <w:r>
        <w:rPr>
          <w:sz w:val="19"/>
        </w:rPr>
        <w:t>China, CHARLS-Daten; begrenzte Direktübertragbarkeit auf deutsche Versorgung, psychosoziale Mechanismen aber universal.</w:t>
      </w:r>
    </w:p>
    <w:p>
      <w:r>
        <w:rPr>
          <w:color w:val="5A7D3A"/>
          <w:sz w:val="18"/>
        </w:rPr>
        <w:t>https://pubmed.ncbi.nlm.nih.gov/42902202/</w:t>
      </w:r>
    </w:p>
    <w:p>
      <w:pPr>
        <w:pStyle w:val="Heading2"/>
      </w:pPr>
      <w:r>
        <w:t>Frailty und intraoperative Hypotonie bei älteren Patienten mit Hüftfrakturchirurgie</w:t>
      </w:r>
    </w:p>
    <w:p>
      <w:r>
        <w:rPr>
          <w:i/>
          <w:color w:val="666666"/>
          <w:sz w:val="18"/>
        </w:rPr>
        <w:t>Sutthibenjakul K et al.  ·  BMC Geriatr  ·  22.07.2026  ·  PMID 42902188</w:t>
      </w:r>
    </w:p>
    <w:p>
      <w:r>
        <w:t>Retrospektive Kohortenstudie an 522 Patienten ≥65 Jahren mit modifiziertem Frailty-Index zur Assoziation mit perioperativen Blutdruckabfällen.</w:t>
      </w:r>
    </w:p>
    <w:p>
      <w:r>
        <w:rPr>
          <w:b/>
        </w:rPr>
        <w:t xml:space="preserve">Ergebnis: </w:t>
      </w:r>
      <w:r>
        <w:t>Von 522 Patienten 23,8% gebrechlich, 57,1% mit intraoperativer Hypotonie (MAP &lt;65 mmHg). Frailty war nicht unabhängig mit Auftreten der Hypotonie assoziiert (OR 0,77, 95%-KI 0,38–1,53), aber gebrechliche Patienten zeigten längere kumulative Dauer der Hypotonie (p=0,045).</w:t>
      </w:r>
    </w:p>
    <w:p>
      <w:r>
        <w:rPr>
          <w:b/>
          <w:sz w:val="19"/>
        </w:rPr>
        <w:t xml:space="preserve">Übertragbarkeit: </w:t>
      </w:r>
      <w:r>
        <w:rPr>
          <w:sz w:val="19"/>
        </w:rPr>
        <w:t>Thailand, retrospektive Klinikdaten; Frailty-Assessment und perioperatives Monitoring als universelle Prinzipien übertragbar.</w:t>
      </w:r>
    </w:p>
    <w:p>
      <w:r>
        <w:rPr>
          <w:color w:val="5A7D3A"/>
          <w:sz w:val="18"/>
        </w:rPr>
        <w:t>https://pubmed.ncbi.nlm.nih.gov/42902188/</w:t>
      </w:r>
    </w:p>
    <w:p>
      <w:pPr>
        <w:pStyle w:val="Heading2"/>
      </w:pPr>
      <w:r>
        <w:t>Pflegen im Alter: Belastung, psychische Gesundheit und der Schutzeffekt sozialer Ressourcen</w:t>
      </w:r>
    </w:p>
    <w:p>
      <w:r>
        <w:rPr>
          <w:i/>
          <w:color w:val="666666"/>
          <w:sz w:val="18"/>
        </w:rPr>
        <w:t>Chaaya M et al.  ·  BMC Geriatr  ·  22.07.2026  ·  PMID 42902165</w:t>
      </w:r>
    </w:p>
    <w:p>
      <w:r>
        <w:t>Querschnittsstudie an 434 älteren Pflegepersonen im Libanon zur Assoziation zwischen Pflegebelastung und Depression/Angst sowie moderierenden Effekten.</w:t>
      </w:r>
    </w:p>
    <w:p>
      <w:r>
        <w:rPr>
          <w:b/>
        </w:rPr>
        <w:t xml:space="preserve">Ergebnis: </w:t>
      </w:r>
      <w:r>
        <w:t>36,4% mit hoher Pflegebelastung. Hohe Belastung verbunden mit um 7,65 Punkte höheren Depressionsscores (95%-KI 3,48–11,8) und 2,84 Punkte höheren Angstscores (95%-KI 0,73–4,95). Emotionale Unterstützung minderte signifikant den Belastungs-Depressionseffekt; finanzielle Ressourcen nicht.</w:t>
      </w:r>
    </w:p>
    <w:p>
      <w:r>
        <w:rPr>
          <w:b/>
          <w:sz w:val="19"/>
        </w:rPr>
        <w:t xml:space="preserve">Übertragbarkeit: </w:t>
      </w:r>
      <w:r>
        <w:rPr>
          <w:sz w:val="19"/>
        </w:rPr>
        <w:t>Libanon, ungleiche Gesundheitssysteme und Rentensicherung zu Deutschland, aber Mechanismus psychischer Belastung durch informale Pflege universal relevant.</w:t>
      </w:r>
    </w:p>
    <w:p>
      <w:r>
        <w:rPr>
          <w:color w:val="5A7D3A"/>
          <w:sz w:val="18"/>
        </w:rPr>
        <w:t>https://pubmed.ncbi.nlm.nih.gov/42902165/</w:t>
      </w:r>
    </w:p>
    <w:p>
      <w:pPr>
        <w:pStyle w:val="Heading2"/>
      </w:pPr>
      <w:r>
        <w:t>Lipid-Entzündung und Frailty als gemeinsame Treiber der cardiometabolischen Multimorbidität</w:t>
      </w:r>
    </w:p>
    <w:p>
      <w:r>
        <w:rPr>
          <w:i/>
          <w:color w:val="666666"/>
          <w:sz w:val="18"/>
        </w:rPr>
        <w:t>Zhao S et al.  ·  BMC Cardiovasc Disord  ·  25.07.2026  ·  PMID 42902143</w:t>
      </w:r>
    </w:p>
    <w:p>
      <w:r>
        <w:t>Nationale Kohortenstudie an 5.779 chinesischen Erwachsenen zur gemeinsamen Assoziation von Restcholesterin-Entzündungsindex und Frailty mit neuaufgetretener Multimorbidität.</w:t>
      </w:r>
    </w:p>
    <w:p>
      <w:r>
        <w:rPr>
          <w:b/>
        </w:rPr>
        <w:t xml:space="preserve">Ergebnis: </w:t>
      </w:r>
      <w:r>
        <w:t>510 Fälle Multimorbidität über Beobachtungszeit. Hoher RCII kombiniert mit Frailty zeigte HR 2,622 (95%-KI 1,972–3,488). Kumulativer RCII mit Frailty HR 2,849 (95%-KI 2,178–3,726). Modell mit kumulativem RCII und Frailty zeigte höheres AUC als reiner RCII (0,757 vs. 0,740). Additive/multiplikative Interaktion nach voller Anpassung nicht signifikant.</w:t>
      </w:r>
    </w:p>
    <w:p>
      <w:r>
        <w:rPr>
          <w:b/>
          <w:sz w:val="19"/>
        </w:rPr>
        <w:t xml:space="preserve">Übertragbarkeit: </w:t>
      </w:r>
      <w:r>
        <w:rPr>
          <w:sz w:val="19"/>
        </w:rPr>
        <w:t>China, CHARLS; lipidmetabolische Pathways aber transkulturelles Phänomen, Frailty-Screening in Primärversorgung universell.</w:t>
      </w:r>
    </w:p>
    <w:p>
      <w:r>
        <w:rPr>
          <w:color w:val="5A7D3A"/>
          <w:sz w:val="18"/>
        </w:rPr>
        <w:t>https://pubmed.ncbi.nlm.nih.gov/42902143/</w:t>
      </w:r>
    </w:p>
    <w:p>
      <w:pPr>
        <w:pStyle w:val="Heading2"/>
      </w:pPr>
      <w:r>
        <w:t>Wundinfektion nach Herzbypass bei gebrechlichen älteren Patienten: Risikofaktoren und Intervention</w:t>
      </w:r>
    </w:p>
    <w:p>
      <w:r>
        <w:rPr>
          <w:i/>
          <w:color w:val="666666"/>
          <w:sz w:val="18"/>
        </w:rPr>
        <w:t>Guerrieri M et al.  ·  JMIR Cardio  ·  16.10.2026  ·  PMID 42886572</w:t>
      </w:r>
    </w:p>
    <w:p>
      <w:r>
        <w:t>Retrospektive Multicenter-Studie an 467 gebrechlichen/pregebrechlichen Patienten ≥60 Jahren nach Koronarchirurgie zur Assoziation mit Wundinfektionen.</w:t>
      </w:r>
    </w:p>
    <w:p>
      <w:r>
        <w:rPr>
          <w:b/>
        </w:rPr>
        <w:t xml:space="preserve">Ergebnis: </w:t>
      </w:r>
      <w:r>
        <w:t>Wundinfektionsrate 5,6% (26/467). Im multivariaten Modell unabhängig assoziiert: Charlson-Komorbiditätsindex (OR 1,58, 95%-KI 1,25–1,99, p&lt;0,001) und Einsatz kardiopulmonaler Bypass (OR 4,89, 95%-KI 1,71–13,94, p=0,003). Komplikationsraten sonst zwischen Gruppen ähnlich.</w:t>
      </w:r>
    </w:p>
    <w:p>
      <w:r>
        <w:rPr>
          <w:b/>
          <w:sz w:val="19"/>
        </w:rPr>
        <w:t xml:space="preserve">Übertragbarkeit: </w:t>
      </w:r>
      <w:r>
        <w:rPr>
          <w:sz w:val="19"/>
        </w:rPr>
        <w:t>Brasilien, andere Gesundheitsfinanzierung; Frailty-stratifizierte perioperative Risikoadjustierung aber prinzipiell übertragbar.</w:t>
      </w:r>
    </w:p>
    <w:p>
      <w:r>
        <w:rPr>
          <w:color w:val="5A7D3A"/>
          <w:sz w:val="18"/>
        </w:rPr>
        <w:t>https://pubmed.ncbi.nlm.nih.gov/42886572/</w:t>
      </w:r>
    </w:p>
    <w:p>
      <w:pPr>
        <w:pStyle w:val="Heading1"/>
      </w:pPr>
      <w:r>
        <w:t>Aufgenommen am 21.10.2026</w:t>
      </w:r>
    </w:p>
    <w:p>
      <w:pPr>
        <w:pStyle w:val="Heading2"/>
      </w:pPr>
      <w:r>
        <w:t>Soziale Vulnerabilität als Frailty-Dimension in neurodegenerativen Erkrankungen</w:t>
      </w:r>
    </w:p>
    <w:p>
      <w:r>
        <w:rPr>
          <w:i/>
          <w:color w:val="666666"/>
          <w:sz w:val="18"/>
        </w:rPr>
        <w:t>Panzavolta A et al.  ·  Neurol Sci  ·  20.10.2026  ·  PMID 42900408</w:t>
      </w:r>
    </w:p>
    <w:p>
      <w:r>
        <w:t>Querschnittsstudie mit 47 Alzheimer-, 24 Frontotemporale-Demenz- und 66 Kontrollpersonen zur Messung physischer und sozialer Frailty mittels 60-Item-Fragebogen.</w:t>
      </w:r>
    </w:p>
    <w:p>
      <w:r>
        <w:rPr>
          <w:b/>
        </w:rPr>
        <w:t xml:space="preserve">Ergebnis: </w:t>
      </w:r>
      <w:r>
        <w:t>Demenzpatienten zeigten signifikant höhere globale (gFI) und soziale Frailty-Scores (sFI) als Kontrollen; sFI korrelierte mit Schweregrad und kognitiven Mustern bei beiden Demenzformen. Physische Frailty unterschied sich nicht zwischen Gruppen.</w:t>
      </w:r>
    </w:p>
    <w:p>
      <w:r>
        <w:rPr>
          <w:b/>
          <w:sz w:val="19"/>
        </w:rPr>
        <w:t xml:space="preserve">Übertragbarkeit: </w:t>
      </w:r>
      <w:r>
        <w:rPr>
          <w:sz w:val="19"/>
        </w:rPr>
        <w:t>Italien, europäische Versorgungsstruktur; soziale Frailty-Dimension relevant für deutschsprachige geriatrische Praxis.</w:t>
      </w:r>
    </w:p>
    <w:p>
      <w:r>
        <w:rPr>
          <w:color w:val="5A7D3A"/>
          <w:sz w:val="18"/>
        </w:rPr>
        <w:t>https://pubmed.ncbi.nlm.nih.gov/42900408/</w:t>
      </w:r>
    </w:p>
    <w:p>
      <w:pPr>
        <w:pStyle w:val="Heading2"/>
      </w:pPr>
      <w:r>
        <w:t>Unterschiedliche Verlaufsmuster oraler Frailty nach Zahnimplantaten im Alter</w:t>
      </w:r>
    </w:p>
    <w:p>
      <w:r>
        <w:rPr>
          <w:i/>
          <w:color w:val="666666"/>
          <w:sz w:val="18"/>
        </w:rPr>
        <w:t>Zhang Y et al.  ·  Front Public Health  ·  05.10.2026  ·  PMID 42898353</w:t>
      </w:r>
    </w:p>
    <w:p>
      <w:r>
        <w:t>Prospektive Kohortenstudie mit 211 älteren Patienten ≥60 Jahre, die Zahnimplantate erhielten, zur Identifizierung von Frailty-Trajektorien über 12 Monate mittels latent class growth modelling.</w:t>
      </w:r>
    </w:p>
    <w:p>
      <w:r>
        <w:rPr>
          <w:b/>
        </w:rPr>
        <w:t xml:space="preserve">Ergebnis: </w:t>
      </w:r>
      <w:r>
        <w:t>Drei Trajektorien wurden identifiziert: Rascher Rückgang-Stabil (42,7 %), Gradueller Rückgang-Plateau (35,1 %), Persistiert-Hohes-Risiko (22,2 %). Unabhängige Prädiktoren für die Hochrisiko-Gruppe: Alter (aOR 1,12), Polypharmazie (aOR 1,25), fehlende Zähne (aOR 1,09).</w:t>
      </w:r>
    </w:p>
    <w:p>
      <w:r>
        <w:rPr>
          <w:b/>
          <w:sz w:val="19"/>
        </w:rPr>
        <w:t xml:space="preserve">Übertragbarkeit: </w:t>
      </w:r>
      <w:r>
        <w:rPr>
          <w:sz w:val="19"/>
        </w:rPr>
        <w:t>China, aber klinisch-geriatrische Fragestellung; Polypharmazie-Effekt global relevant.</w:t>
      </w:r>
    </w:p>
    <w:p>
      <w:r>
        <w:rPr>
          <w:color w:val="5A7D3A"/>
          <w:sz w:val="18"/>
        </w:rPr>
        <w:t>https://pubmed.ncbi.nlm.nih.gov/42898353/</w:t>
      </w:r>
    </w:p>
    <w:p>
      <w:pPr>
        <w:pStyle w:val="Heading2"/>
      </w:pPr>
      <w:r>
        <w:t>Ernährungsvielfalt und gewonnene gesunde Lebensjahre bei älteren Erwachsenen</w:t>
      </w:r>
    </w:p>
    <w:p>
      <w:r>
        <w:rPr>
          <w:i/>
          <w:color w:val="666666"/>
          <w:sz w:val="18"/>
        </w:rPr>
        <w:t>Shi J et al.  ·  Front Public Health  ·  05.10.2026  ·  PMID 42898119</w:t>
      </w:r>
    </w:p>
    <w:p>
      <w:r>
        <w:t>Prospektive Kohortenstudie mit 9.953 Teilnehmern ≥65 Jahre zur Assoziation zwischen Ernährungsvielfalt und gewonnenen gesunden Lebensjahren (HLE) mittels Multistate-Analyse.</w:t>
      </w:r>
    </w:p>
    <w:p>
      <w:r>
        <w:rPr>
          <w:b/>
        </w:rPr>
        <w:t xml:space="preserve">Ergebnis: </w:t>
      </w:r>
      <w:r>
        <w:t>Bei hoher vs. niedriger Ernährungsvielfalt verlängerte sich die Lebenserwartung mit 65 Jahren um 1,26 Jahre (14,54 vs. 15,80 Jahre) und die HLE um 0,90 Jahre (13,32 vs. 14,22 Jahre). Höhere Ernährungsvielfalt war mit niedrigeren Sterblichkeitsübergängen aus Gesundheit und Behinderung verbunden; diese Unterschiede waren bei Männern und Stadtbewohnern ausgeprägter.</w:t>
      </w:r>
    </w:p>
    <w:p>
      <w:r>
        <w:rPr>
          <w:b/>
          <w:sz w:val="19"/>
        </w:rPr>
        <w:t xml:space="preserve">Übertragbarkeit: </w:t>
      </w:r>
      <w:r>
        <w:rPr>
          <w:sz w:val="19"/>
        </w:rPr>
        <w:t>China, nur bedingt übertragbar - andere Ernährungsmuster und Kohorte ohne europäische Sozialversicherung.</w:t>
      </w:r>
    </w:p>
    <w:p>
      <w:r>
        <w:rPr>
          <w:color w:val="5A7D3A"/>
          <w:sz w:val="18"/>
        </w:rPr>
        <w:t>https://pubmed.ncbi.nlm.nih.gov/42898119/</w:t>
      </w:r>
    </w:p>
    <w:p>
      <w:pPr>
        <w:pStyle w:val="Heading2"/>
      </w:pPr>
      <w:r>
        <w:t>Frailty und atherogenic Index kombiniert vorhersagen Herz-Metab.-Multimorbidität bei Älteren</w:t>
      </w:r>
    </w:p>
    <w:p>
      <w:r>
        <w:rPr>
          <w:i/>
          <w:color w:val="666666"/>
          <w:sz w:val="18"/>
        </w:rPr>
        <w:t>Wu H et al.  ·  J Glob Health  ·  19.10.2026  ·  PMID 42895260</w:t>
      </w:r>
    </w:p>
    <w:p>
      <w:r>
        <w:t>Prospektive Kohortenstudie mit 4.157 Teilnehmern ≥45 Jahre (CHARLS) zur Assoziation zwischen kumulativem AIP-FI-Index (atherogenic index × 37-Deficit-Frailty-Index) und incident cardiometabolic multimorbidity über 8,5 Jahre mittels Cox-Modelle und Machine Learning.</w:t>
      </w:r>
    </w:p>
    <w:p>
      <w:r>
        <w:rPr>
          <w:b/>
        </w:rPr>
        <w:t xml:space="preserve">Ergebnis: </w:t>
      </w:r>
      <w:r>
        <w:t>612 CMM-Fälle: Kumulative AIP-FI zeigte stärkere Assoziation mit CMM-Risiko als Baseline-Wert (HR 1,46 pro SD). Höchstes vs. niedrigstes Quartil: HR 3,95 (95% CI 2,95–5,29). Prädiktive AUC 0,7117 mit NRI 0,157 über traditionelle Marker. Bidirektionale Synergieeffekte zwischen AIP und FI.</w:t>
      </w:r>
    </w:p>
    <w:p>
      <w:r>
        <w:rPr>
          <w:b/>
          <w:sz w:val="19"/>
        </w:rPr>
        <w:t xml:space="preserve">Übertragbarkeit: </w:t>
      </w:r>
      <w:r>
        <w:rPr>
          <w:sz w:val="19"/>
        </w:rPr>
        <w:t>China (CHARLS), aber Konzept der kombinierten Vulnerabilität-Marker übertragbar auf deutsches Assessment.</w:t>
      </w:r>
    </w:p>
    <w:p>
      <w:r>
        <w:rPr>
          <w:color w:val="5A7D3A"/>
          <w:sz w:val="18"/>
        </w:rPr>
        <w:t>https://pubmed.ncbi.nlm.nih.gov/42895260/</w:t>
      </w:r>
    </w:p>
    <w:p>
      <w:pPr>
        <w:pStyle w:val="Heading2"/>
      </w:pPr>
      <w:r>
        <w:t>Triglycerid-Glukose-Frailty-Index bei Rheumatoider Arthritis vorhersagt Herz-Mortalität</w:t>
      </w:r>
    </w:p>
    <w:p>
      <w:r>
        <w:rPr>
          <w:i/>
          <w:color w:val="666666"/>
          <w:sz w:val="18"/>
        </w:rPr>
        <w:t>Xu Y et al.  ·  Medicine (Baltimore)  ·  16.10.2026  ·  PMID 42888590</w:t>
      </w:r>
    </w:p>
    <w:p>
      <w:r>
        <w:t>Querschnitt-Kohortenstudie mit 1.090 US-amerikanischen RA-Patienten aus NHANES 1999–2018 zur Assoziation zwischen TyG-FI (Triglycerid-Glukose-Index × 49-Item-Frailty-Index) und prevalent CVD sowie kardiovaskulärer Mortalität.</w:t>
      </w:r>
    </w:p>
    <w:p>
      <w:r>
        <w:rPr>
          <w:b/>
        </w:rPr>
        <w:t xml:space="preserve">Ergebnis: </w:t>
      </w:r>
      <w:r>
        <w:t>TyG-FI pro Einheit: OR 4,50 (95% CI 3,20–6,33) für prävalente CVD; HR 1,77 (95% CI 1,16–2,70) für Herz-Mortalität. AUC-Modelle mit TyG-FI (0,80 CVD, 0,81 Mortalität) überlegen vs. TyG allein (0,73, 0,80). Stärkere Assoziation bei Alter ≤65 Jahren.</w:t>
      </w:r>
    </w:p>
    <w:p>
      <w:r>
        <w:rPr>
          <w:b/>
          <w:sz w:val="19"/>
        </w:rPr>
        <w:t xml:space="preserve">Übertragbarkeit: </w:t>
      </w:r>
      <w:r>
        <w:rPr>
          <w:sz w:val="19"/>
        </w:rPr>
        <w:t>USA-Kohort, aber RA-assoziierte Multimorbidität und kombinierte Indizes relevant für deutsches Risiko-Assessment.</w:t>
      </w:r>
    </w:p>
    <w:p>
      <w:r>
        <w:rPr>
          <w:color w:val="5A7D3A"/>
          <w:sz w:val="18"/>
        </w:rPr>
        <w:t>https://pubmed.ncbi.nlm.nih.gov/42888590/</w:t>
      </w:r>
    </w:p>
    <w:p>
      <w:pPr>
        <w:pStyle w:val="Heading2"/>
      </w:pPr>
      <w:r>
        <w:t>Gesundheit im Alter als multidimensionales System: Validierung an 46.317 Europäern</w:t>
      </w:r>
    </w:p>
    <w:p>
      <w:r>
        <w:rPr>
          <w:i/>
          <w:color w:val="666666"/>
          <w:sz w:val="18"/>
        </w:rPr>
        <w:t>Tun T et al.  ·  Soc Sci Med  ·  16.09.2026  ·  PMID 42766933</w:t>
      </w:r>
    </w:p>
    <w:p>
      <w:r>
        <w:t>Sekundäranalyse von SHARE Wave 8 mit 46.317 Teilnehmern 50–104 Jahre zur psychometrischen Validierung eines sechsdimensionalen Gesundheitskonstrukts mittels Strukturgleichungsmodellierung.</w:t>
      </w:r>
    </w:p>
    <w:p>
      <w:r>
        <w:rPr>
          <w:b/>
        </w:rPr>
        <w:t xml:space="preserve">Ergebnis: </w:t>
      </w:r>
      <w:r>
        <w:t>Bestätigung einer zweiten Ordnung SEM mit sechs Dimensionen (Physische Gesundheit, Funktionsfähigkeit, Kognition, psychisches Wohlbefinden, finanzielle Autonomie, soziales Engagement) mit Faktorladungen 0,579–0,832 und guten Modellfit-Indizes (RMSEA 0,054, CFI 0,904). Modell war in europäischen Ländern konsistent.</w:t>
      </w:r>
    </w:p>
    <w:p>
      <w:r>
        <w:rPr>
          <w:b/>
          <w:sz w:val="19"/>
        </w:rPr>
        <w:t xml:space="preserve">Übertragbarkeit: </w:t>
      </w:r>
      <w:r>
        <w:rPr>
          <w:sz w:val="19"/>
        </w:rPr>
        <w:t>SHARE-Daten aus 28 europäischen Ländern, direkt auf Deutschland anwendbar.</w:t>
      </w:r>
    </w:p>
    <w:p>
      <w:r>
        <w:rPr>
          <w:color w:val="5A7D3A"/>
          <w:sz w:val="18"/>
        </w:rPr>
        <w:t>https://pubmed.ncbi.nlm.nih.gov/42766933/</w:t>
      </w:r>
    </w:p>
    <w:p>
      <w:pPr>
        <w:pStyle w:val="Heading1"/>
      </w:pPr>
      <w:r>
        <w:t>Aufgenommen am 20.10.2026</w:t>
      </w:r>
    </w:p>
    <w:p>
      <w:pPr>
        <w:pStyle w:val="Heading2"/>
      </w:pPr>
      <w:r>
        <w:t>Ösophagusspasmus bei Hochbetagter: Dysphagie-Diagnose bricht Teufelskreis aus Gewichtsverlust, Sarkopenie und Sturzrisiko</w:t>
      </w:r>
    </w:p>
    <w:p>
      <w:r>
        <w:rPr>
          <w:i/>
          <w:color w:val="666666"/>
          <w:sz w:val="18"/>
        </w:rPr>
        <w:t>Klein J et al.  ·  Dtsch Med Wochenschr  ·  19.10.2026  ·  PMID 42896540</w:t>
      </w:r>
    </w:p>
    <w:p>
      <w:r>
        <w:t>Fallbericht einer 93-jährigen sarkopenen Patientin mit Appetitlosigkeit, Übelkeit und Erbrechen in einer deutschen geriatrischen Klinik, bei der eine Breischluck-Untersuchung einen Ösophagussphinkterspasmus nachwies.</w:t>
      </w:r>
    </w:p>
    <w:p>
      <w:r>
        <w:rPr>
          <w:b/>
        </w:rPr>
        <w:t xml:space="preserve">Ergebnis: </w:t>
      </w:r>
      <w:r>
        <w:t>Nach Diagnose des distalen Motilitätsverluste durch Breischluck-Untersuchung konservative Therapie mit Botulinumtoxin-Injektionen durchgeführt, was kurzfristig zur Symptomverbesserung führte. Patientin kam aus dem Zyklus von Dysphagie → Gewichtsverlust → Sarkopenie → Frailty → Sturz heraus. Fallbericht unterstreicht Notwendigkeit gezielter Diagnostik und Therapie zur Prävention von Komplikationen.</w:t>
      </w:r>
    </w:p>
    <w:p>
      <w:r>
        <w:rPr>
          <w:b/>
          <w:sz w:val="19"/>
        </w:rPr>
        <w:t xml:space="preserve">Übertragbarkeit: </w:t>
      </w:r>
      <w:r>
        <w:rPr>
          <w:sz w:val="19"/>
        </w:rPr>
        <w:t>Deutschland (Bonn); geriatrisches Versorgungssystem und Versorgungskontext direkt anwendbar</w:t>
      </w:r>
    </w:p>
    <w:p>
      <w:r>
        <w:rPr>
          <w:color w:val="5A7D3A"/>
          <w:sz w:val="18"/>
        </w:rPr>
        <w:t>https://pubmed.ncbi.nlm.nih.gov/42896540/</w:t>
      </w:r>
    </w:p>
    <w:p>
      <w:pPr>
        <w:pStyle w:val="Heading2"/>
      </w:pPr>
      <w:r>
        <w:t>Zweistufiges Frailty-Screening in Hepatologie: Stuhl-Test und Griffstärke ersparen zwei Drittel der vollständigen Assessments</w:t>
      </w:r>
    </w:p>
    <w:p>
      <w:r>
        <w:rPr>
          <w:i/>
          <w:color w:val="666666"/>
          <w:sz w:val="18"/>
        </w:rPr>
        <w:t>Wang J et al.  ·  Nurs Open  ·  Okt. 2026  ·  PMID 42896173</w:t>
      </w:r>
    </w:p>
    <w:p>
      <w:r>
        <w:t>Querschnittstudie bei 606 hospitalisierten Patienten mit chronischer Lebererkrankung (August 2021–August 2025), die eine Pflegekraft-getragene Screening-Strategie mit Timed-Chair-Stand und Griffstärke gegen den Liver Frailty Index validierte.</w:t>
      </w:r>
    </w:p>
    <w:p>
      <w:r>
        <w:rPr>
          <w:b/>
        </w:rPr>
        <w:t xml:space="preserve">Ergebnis: </w:t>
      </w:r>
      <w:r>
        <w:t>Frailty-Prävalenz 18,6%. Einstufiges Screening (Chair-Stands ≥16,55 s oder Griffstärke ≤23,42 kg) erreichte 100% Sensitivität (Negative Predictive Value 1,000), identifizierte alle frailen Fälle und vermied 62,3% der vollständigen Assessments. Null verpasste Fälle in fünf Split-Sample-Analysen reproduziert.</w:t>
      </w:r>
    </w:p>
    <w:p>
      <w:r>
        <w:rPr>
          <w:b/>
          <w:sz w:val="19"/>
        </w:rPr>
        <w:t xml:space="preserve">Übertragbarkeit: </w:t>
      </w:r>
      <w:r>
        <w:rPr>
          <w:sz w:val="19"/>
        </w:rPr>
        <w:t>China; aber Screening-Kriterien und hepatologische Versorgung international ähnlich, externe Validierung ausstehend</w:t>
      </w:r>
    </w:p>
    <w:p>
      <w:r>
        <w:rPr>
          <w:color w:val="5A7D3A"/>
          <w:sz w:val="18"/>
        </w:rPr>
        <w:t>https://pubmed.ncbi.nlm.nih.gov/42896173/</w:t>
      </w:r>
    </w:p>
    <w:p>
      <w:pPr>
        <w:pStyle w:val="Heading2"/>
      </w:pPr>
      <w:r>
        <w:t>Frailty reduziert Arbeitsfähigkeit im Alter um vier bis acht Jahre</w:t>
      </w:r>
    </w:p>
    <w:p>
      <w:r>
        <w:rPr>
          <w:i/>
          <w:color w:val="666666"/>
          <w:sz w:val="18"/>
        </w:rPr>
        <w:t>Shui Y et al.  ·  J Glob Health  ·  19.10.2026  ·  PMID 42895270</w:t>
      </w:r>
    </w:p>
    <w:p>
      <w:r>
        <w:t>Multistate-Markov-Modelle bei 180.314 Personen ≥50 Jahren aus fünf harmonisierten Kohorten (33 Länder) zur Assoziation von Frailty-Status (robust, pre-frail, frail) mit gesunder Arbeitslebenserwartung (HWLE) im Alter von 50 Jahren.</w:t>
      </w:r>
    </w:p>
    <w:p>
      <w:r>
        <w:rPr>
          <w:b/>
        </w:rPr>
        <w:t xml:space="preserve">Ergebnis: </w:t>
      </w:r>
      <w:r>
        <w:t>HWLE bei 50 Jahren: 11,87 Jahre (95%-KI 11,74–12,00) robust, 7,34 Jahre (7,19–7,50) pre-frail, 3,77 Jahre (3,57–3,97) frail. Gegenüber robusten Personen: 4,53 Jahre kürzer (95%-KI −4,76, −4,29) pre-frail, 8,11 Jahre kürzer (−8,38, −7,84) frail. Männer hatten längere HWLE als Frauen in robusten und pre-frailen Gruppen. Höhere Bildung, Nichtrauchen und günstige nationale Faktoren verlängerten HWLE.</w:t>
      </w:r>
    </w:p>
    <w:p>
      <w:r>
        <w:rPr>
          <w:b/>
          <w:sz w:val="19"/>
        </w:rPr>
        <w:t xml:space="preserve">Übertragbarkeit: </w:t>
      </w:r>
      <w:r>
        <w:rPr>
          <w:sz w:val="19"/>
        </w:rPr>
        <w:t>33 Länder inklusive europäische; Frailty-Index robust, Bezug zu Arbeitsmarkt und Rente unterscheidet sich, aber Grundmechanismus universell</w:t>
      </w:r>
    </w:p>
    <w:p>
      <w:r>
        <w:rPr>
          <w:color w:val="5A7D3A"/>
          <w:sz w:val="18"/>
        </w:rPr>
        <w:t>https://pubmed.ncbi.nlm.nih.gov/42895270/</w:t>
      </w:r>
    </w:p>
    <w:p>
      <w:pPr>
        <w:pStyle w:val="Heading2"/>
      </w:pPr>
      <w:r>
        <w:t>Frailty-Trajektoren vorhersagen Osteoporose-Risiko stärker als einzelne Messungen</w:t>
      </w:r>
    </w:p>
    <w:p>
      <w:r>
        <w:rPr>
          <w:i/>
          <w:color w:val="666666"/>
          <w:sz w:val="18"/>
        </w:rPr>
        <w:t>Zhou J et al.  ·  J Glob Health  ·  19.10.2026  ·  PMID 42895262</w:t>
      </w:r>
    </w:p>
    <w:p>
      <w:r>
        <w:t>Longitudinale Kohortenstudie mit drei großen harmonisierten Datensätzen (HRS, ELSA, SHARE; ≥50 Jahre) zum Zusammenhang zwischen Frailty-Index-Verlauf und neuaufgetretener Osteoporose über 4–8 Jahre Nachbeobachtung.</w:t>
      </w:r>
    </w:p>
    <w:p>
      <w:r>
        <w:rPr>
          <w:b/>
        </w:rPr>
        <w:t xml:space="preserve">Ergebnis: </w:t>
      </w:r>
      <w:r>
        <w:t>Insgesamt 244 (ELSA), 2.693 (SHARE) und 1.986 (HRS) Neuerkrankungen mit Osteoporose. Höherer baseline Frailty Index unabhängig assoziiert mit erhöhtem Osteoporose-Risiko (HRS HR 1,43; 95%-KI 1,36–1,50; ELSA HR 1,36; 1,19–1,57; SHARE HR 1,39; 1,33–1,45, alle p&lt;0,001). Vier identifizierte Frailty-Trajektoren zeigten generell erhöhte Osteoporose-Risiken. Nichtlineare Analysen wiesen Schwellenwerteffekte auf (steilere Anstiege bei niedrigeren FI-Werten). Griffstärke vermittelte Assoziation partiell.</w:t>
      </w:r>
    </w:p>
    <w:p>
      <w:r>
        <w:rPr>
          <w:b/>
          <w:sz w:val="19"/>
        </w:rPr>
        <w:t xml:space="preserve">Übertragbarkeit: </w:t>
      </w:r>
      <w:r>
        <w:rPr>
          <w:sz w:val="19"/>
        </w:rPr>
        <w:t>Europäische und US-Kohorten; Frailty Index und Osteoporose-Definitions vergleichbar international</w:t>
      </w:r>
    </w:p>
    <w:p>
      <w:r>
        <w:rPr>
          <w:color w:val="5A7D3A"/>
          <w:sz w:val="18"/>
        </w:rPr>
        <w:t>https://pubmed.ncbi.nlm.nih.gov/42895262/</w:t>
      </w:r>
    </w:p>
    <w:p>
      <w:pPr>
        <w:pStyle w:val="Heading2"/>
      </w:pPr>
      <w:r>
        <w:t>Schädlicher Alkoholkonsum bei älteren Sturzpatienten häufig, mit Hyponatriämie assoziiert</w:t>
      </w:r>
    </w:p>
    <w:p>
      <w:r>
        <w:rPr>
          <w:i/>
          <w:color w:val="666666"/>
          <w:sz w:val="18"/>
        </w:rPr>
        <w:t>Rogmark C et al.  ·  Acta Orthop  ·  19.10.2026  ·  PMID 42894497</w:t>
      </w:r>
    </w:p>
    <w:p>
      <w:r>
        <w:t>Prospektive Kohortenstudie bei 505 Personen ≥65 Jahren mit akuter Sturz-bedingter Fraktur (Februar 2023–August 2024), die Phosphatidylethanol (PEth) als objektiven Marker für chronischen Alkoholkonsum zur Risikostratifizierung nutzte.</w:t>
      </w:r>
    </w:p>
    <w:p>
      <w:r>
        <w:rPr>
          <w:b/>
        </w:rPr>
        <w:t xml:space="preserve">Ergebnis: </w:t>
      </w:r>
      <w:r>
        <w:t>13% zeigten schädlichen Alkoholkonsum (PEth &gt;0,30 µmol/L), 8,9% intermediären Konsum (0,05–0,30), 78% keinen/niedrigen Konsum (&lt;0,05). Von nicht-frailen Patienten hatten 18% schädlichen und 11% intermediären Konsum. In der propensity-score-gematchten Kohorte: Alkoholkonsum assoziiert mit höherer Hyponatriämie-Wahrscheinlichkeit (OR 2,3; 95%-KI 1,1–4,5; p=0,02). Trend zu niedrigerer 90-Tages-Mortalität (OR 0,2; 95%-KI 0,1–1,0; p=0,05).</w:t>
      </w:r>
    </w:p>
    <w:p>
      <w:r>
        <w:rPr>
          <w:b/>
          <w:sz w:val="19"/>
        </w:rPr>
        <w:t xml:space="preserve">Übertragbarkeit: </w:t>
      </w:r>
      <w:r>
        <w:rPr>
          <w:sz w:val="19"/>
        </w:rPr>
        <w:t>Schweden (Lund/Malmö); Trauma-Management und Frailty-Screening vergleichbar mit Deutschland</w:t>
      </w:r>
    </w:p>
    <w:p>
      <w:r>
        <w:rPr>
          <w:color w:val="5A7D3A"/>
          <w:sz w:val="18"/>
        </w:rPr>
        <w:t>https://pubmed.ncbi.nlm.nih.gov/42894497/</w:t>
      </w:r>
    </w:p>
    <w:p>
      <w:pPr>
        <w:pStyle w:val="Heading2"/>
      </w:pPr>
      <w:r>
        <w:t>Soziale Kontakte fördern Grundfähigkeiten im Alter weltweit</w:t>
      </w:r>
    </w:p>
    <w:p>
      <w:r>
        <w:rPr>
          <w:i/>
          <w:color w:val="666666"/>
          <w:sz w:val="18"/>
        </w:rPr>
        <w:t>Lai ETC et al.  ·  Lancet Healthy Longev  ·  12.10.2026  ·  PMID 42863480</w:t>
      </w:r>
    </w:p>
    <w:p>
      <w:r>
        <w:t>Harmonisierte Längsschnittstudie zu 39.021 Personen ab 50 Jahren aus fünf Kohorten (USA, England, Europa, China, Japan), die den Zusammenhang zwischen sozialer Vernetzung und intrinsischer Kapazität (fünf Domänen: Kognition, Psyche, Sinne, Bewegung, Vitalität) untersuchte.</w:t>
      </w:r>
    </w:p>
    <w:p>
      <w:r>
        <w:rPr>
          <w:b/>
        </w:rPr>
        <w:t xml:space="preserve">Ergebnis: </w:t>
      </w:r>
      <w:r>
        <w:t>Höhere baseline soziale Vernetzung korrelierte mit besserer gesamter intrinsischer Kapazität (β=0,04 SD pro Punkt; 95%-KI 0,03–0,06). Stärkste Assoziationen zeigten sich in psychologischer (β=0,05 SD) und kognitiver Domäne (β=0,03 SD), beide p&lt;0,001. Soziale Partizipation und Partnerschaft waren am konsistentesten mit höherer Kapazität assoziiert. Baseline-Vernetzung sagte jedoch keine unterschiedlichen Raten des Funktionsverfalls über Follow-up voraus (β=0,0024 SD/Jahr; 95%-KI −0,0004 bis 0,0053).</w:t>
      </w:r>
    </w:p>
    <w:p>
      <w:r>
        <w:rPr>
          <w:b/>
          <w:sz w:val="19"/>
        </w:rPr>
        <w:t xml:space="preserve">Übertragbarkeit: </w:t>
      </w:r>
      <w:r>
        <w:rPr>
          <w:sz w:val="19"/>
        </w:rPr>
        <w:t>England und europäische Kohorten, vergleichbare Altersstrukturen und Sozialversicherungssysteme (SHARE-Daten)</w:t>
      </w:r>
    </w:p>
    <w:p>
      <w:r>
        <w:rPr>
          <w:color w:val="5A7D3A"/>
          <w:sz w:val="18"/>
        </w:rPr>
        <w:t>https://pubmed.ncbi.nlm.nih.gov/42863480/</w:t>
      </w:r>
    </w:p>
    <w:p>
      <w:pPr>
        <w:pStyle w:val="Heading2"/>
      </w:pPr>
      <w:r>
        <w:t>Bessere Grundfähigkeiten in neueren Generationen Europas – aber mit wachsenden Ungleichheiten</w:t>
      </w:r>
    </w:p>
    <w:p>
      <w:r>
        <w:rPr>
          <w:i/>
          <w:color w:val="666666"/>
          <w:sz w:val="18"/>
        </w:rPr>
        <w:t>Beard JR et al.  ·  Lancet Healthy Longev  ·  09.10.2026  ·  PMID 42854708</w:t>
      </w:r>
    </w:p>
    <w:p>
      <w:r>
        <w:t>Analyse von sieben Wellen der SHARE-Studie (2004–2022) bei 80.105 Personen ab 50 Jahren aus zehn europäischen Ländern zur Entwicklung der intrinsischen Kapazität über Geburtskohorten.</w:t>
      </w:r>
    </w:p>
    <w:p>
      <w:r>
        <w:rPr>
          <w:b/>
        </w:rPr>
        <w:t xml:space="preserve">Ergebnis: </w:t>
      </w:r>
      <w:r>
        <w:t>Neuere Geburtskohorten zeigten bei Studieneintritt höhere intrinsische Kapazität (Geburtsjahrkoeffizient 0,797; 95%-KI 0,780–0,815, p&lt;0,0001) und langsamere 10-Jahres-Rückgänge (0,426; 95%-KI 0,372–0,480, p&lt;0,0001). Frauen verzeichneten größere Gewinne als Männer. Länder mit niedrigerer Ausgangskapazität (z. B. Italien) zeigten größere Verbesserungen, aber kleinere Verlangsamungen im Rückgang. Höherer sozioökonomischer Status war mit größeren Gewinnen assoziiert, was Ungleichheiten verschärfte.</w:t>
      </w:r>
    </w:p>
    <w:p>
      <w:r>
        <w:rPr>
          <w:b/>
          <w:sz w:val="19"/>
        </w:rPr>
        <w:t xml:space="preserve">Übertragbarkeit: </w:t>
      </w:r>
      <w:r>
        <w:rPr>
          <w:sz w:val="19"/>
        </w:rPr>
        <w:t>10 europäische SHARE-Länder inklusive Deutschland; direkt auf deutsches Gesundheitssystem übertragbar</w:t>
      </w:r>
    </w:p>
    <w:p>
      <w:r>
        <w:rPr>
          <w:color w:val="5A7D3A"/>
          <w:sz w:val="18"/>
        </w:rPr>
        <w:t>https://pubmed.ncbi.nlm.nih.gov/42854708/</w:t>
      </w:r>
    </w:p>
    <w:p>
      <w:pPr>
        <w:pStyle w:val="Heading1"/>
      </w:pPr>
      <w:r>
        <w:t>Aufgenommen am 19.10.2026</w:t>
      </w:r>
    </w:p>
    <w:p>
      <w:pPr>
        <w:pStyle w:val="Heading2"/>
      </w:pPr>
      <w:r>
        <w:t>Geriatrische Schulungslücken in ambulanter Versorgung: Bedarfsanalyse aus 41 europäischen Ländern</w:t>
      </w:r>
    </w:p>
    <w:p>
      <w:r>
        <w:rPr>
          <w:i/>
          <w:color w:val="666666"/>
          <w:sz w:val="18"/>
        </w:rPr>
        <w:t>Kravvariti E et al.  ·  Age Ageing  ·  03.08.2026  ·  PMID 42891966</w:t>
      </w:r>
    </w:p>
    <w:p>
      <w:r>
        <w:t>Querschnittsbefragung von 2380 Fachkräften (Ärzte, Pflege, Diätassistenten, Therapeuten) aus Ambulanzen und häuslichen Diensten zur Selbsteinschätzung ihres Wissensstands bei 33 geriatrischen Themen.</w:t>
      </w:r>
    </w:p>
    <w:p>
      <w:r>
        <w:rPr>
          <w:b/>
        </w:rPr>
        <w:t xml:space="preserve">Ergebnis: </w:t>
      </w:r>
      <w:r>
        <w:t>Erhebliche Wissenslücken in allen Berufsgruppen: Umfassendes geriatrisches Assessment, Frailty-Screening, Polymedikation und Deprescribing, Sarkopenie, Dysphagie sowie Verhaltens- und Depressionssymptome bei Demenz zählten zu den Top-Defiziten. Profession-spezifische Prioritäten: Kommunikation und Vorsorgeverfügungen für Pflege, Deprescribing für Ärzte und Apotheker, Ernährungsassessment für Diätassistenten.</w:t>
      </w:r>
    </w:p>
    <w:p>
      <w:r>
        <w:rPr>
          <w:b/>
          <w:sz w:val="19"/>
        </w:rPr>
        <w:t xml:space="preserve">Übertragbarkeit: </w:t>
      </w:r>
      <w:r>
        <w:rPr>
          <w:sz w:val="19"/>
        </w:rPr>
        <w:t>41 europäische Länder, direkt relevant für deutschsprachigen Raum und Versorgungsstrukturen</w:t>
      </w:r>
    </w:p>
    <w:p>
      <w:r>
        <w:rPr>
          <w:color w:val="5A7D3A"/>
          <w:sz w:val="18"/>
        </w:rPr>
        <w:t>https://pubmed.ncbi.nlm.nih.gov/42891966/</w:t>
      </w:r>
    </w:p>
    <w:p>
      <w:pPr>
        <w:pStyle w:val="Heading2"/>
      </w:pPr>
      <w:r>
        <w:t>Elektronischer Frailty-Index sagt Sterblichkeit bei älteren Menschen voraus</w:t>
      </w:r>
    </w:p>
    <w:p>
      <w:r>
        <w:rPr>
          <w:i/>
          <w:color w:val="666666"/>
          <w:sz w:val="18"/>
        </w:rPr>
        <w:t>Du X et al.  ·  Front Public Health  ·  02.10.2026  ·  PMID 42890831</w:t>
      </w:r>
    </w:p>
    <w:p>
      <w:r>
        <w:t>Systematische Übersichtsarbeit und Meta-Analyse von 12 Studien (13 Kohorten mit 11 Hazard-Ratio- und 2 Odds-Ratio-Analysen) zur Assoziation zwischen elektronischem Frailty-Index (eFI) und Mortalität.</w:t>
      </w:r>
    </w:p>
    <w:p>
      <w:r>
        <w:rPr>
          <w:b/>
        </w:rPr>
        <w:t xml:space="preserve">Ergebnis: </w:t>
      </w:r>
      <w:r>
        <w:t>Dosisabhängige Assoziation: Milde Frailty (HR 1,81), moderate Frailty (HR 2,95) und schwere Frailty (HR 4,41) gegenüber nicht-frailer Gruppe. Erhebliche Heterogenität zwischen Studien je nach Nachbeobachtungsdauer, eFI-Schwellenwert und Studienumfeld. eFI scheint nützlich für Frailty-Screening und Risikostratifizierung, aber Ergebnisse erfordern vorsichtige Interpretation.</w:t>
      </w:r>
    </w:p>
    <w:p>
      <w:r>
        <w:rPr>
          <w:b/>
          <w:sz w:val="19"/>
        </w:rPr>
        <w:t xml:space="preserve">Übertragbarkeit: </w:t>
      </w:r>
      <w:r>
        <w:rPr>
          <w:sz w:val="19"/>
        </w:rPr>
        <w:t>UK Biobank und andere, elektronische Gesundheitsregisterdaten wie in Deutschland verfügbar</w:t>
      </w:r>
    </w:p>
    <w:p>
      <w:r>
        <w:rPr>
          <w:color w:val="5A7D3A"/>
          <w:sz w:val="18"/>
        </w:rPr>
        <w:t>https://pubmed.ncbi.nlm.nih.gov/42890831/</w:t>
      </w:r>
    </w:p>
    <w:p>
      <w:pPr>
        <w:pStyle w:val="Heading2"/>
      </w:pPr>
      <w:r>
        <w:t>Orale Frailty bei älteren Menschen mit Multimorbidität: Prävalenz 71,2%, verknüpft mit körperlicher Frailty</w:t>
      </w:r>
    </w:p>
    <w:p>
      <w:r>
        <w:rPr>
          <w:i/>
          <w:color w:val="666666"/>
          <w:sz w:val="18"/>
        </w:rPr>
        <w:t>Zhou Y et al.  ·  Front Public Health  ·  02.10.2026  ·  PMID 42890626</w:t>
      </w:r>
    </w:p>
    <w:p>
      <w:r>
        <w:t>Querschnittsstudie von 393 Personen ≥60 Jahre mit ≥1 chronischer Erkrankung in Nordostchina zur Prävalenz oraler Frailty mittels Oral Frailty Index-8 (OFI-8) und assoziierten Faktoren.</w:t>
      </w:r>
    </w:p>
    <w:p>
      <w:r>
        <w:rPr>
          <w:b/>
        </w:rPr>
        <w:t xml:space="preserve">Ergebnis: </w:t>
      </w:r>
      <w:r>
        <w:t>71,2% (n=280) orale Frailty (OFI-8: 5,61±2,58). Häufigste Items: Schwierigkeiten mit harter Nahrung 62,3%, Verschlucken 48,6%, Mundtrockenheit 45,8%. Unabhängig assoziiert: höheres Alter, weibliches Geschlecht, niedriges Einkommen, niedriger/hoher BMI, Alkoholkonsum, körperliche Frailty, Schlafstörung, negative Altersattitude, ≥3 Erkrankungen, Diabetes (alle p&lt;0,05).</w:t>
      </w:r>
    </w:p>
    <w:p>
      <w:r>
        <w:rPr>
          <w:b/>
          <w:sz w:val="19"/>
        </w:rPr>
        <w:t xml:space="preserve">Übertragbarkeit: </w:t>
      </w:r>
      <w:r>
        <w:rPr>
          <w:sz w:val="19"/>
        </w:rPr>
        <w:t>China, ethnische Minderheit – überwiegend strukturelle Befunde, Screening-Befund direkt relevant</w:t>
      </w:r>
    </w:p>
    <w:p>
      <w:r>
        <w:rPr>
          <w:color w:val="5A7D3A"/>
          <w:sz w:val="18"/>
        </w:rPr>
        <w:t>https://pubmed.ncbi.nlm.nih.gov/42890626/</w:t>
      </w:r>
    </w:p>
    <w:p>
      <w:pPr>
        <w:pStyle w:val="Heading2"/>
      </w:pPr>
      <w:r>
        <w:t>Frailty mit multilokulalen Schmerzen vergesellschaftet, teilweise durch Depression vermittelt</w:t>
      </w:r>
    </w:p>
    <w:p>
      <w:r>
        <w:rPr>
          <w:i/>
          <w:color w:val="666666"/>
          <w:sz w:val="18"/>
        </w:rPr>
        <w:t>Cheng Y et al.  ·  Medicine (Baltimore)  ·  16.10.2026  ·  PMID 42888628</w:t>
      </w:r>
    </w:p>
    <w:p>
      <w:r>
        <w:t>Querschnittsanalyse von 5281 Personen ≥45 Jahre aus China Health and Retirement Longitudinal Study zu Assoziation zwischen korrigiertem modifiziertem Frailty-Index (CMFI) und chronischen Schmerzen mit Mediationsanalyse.</w:t>
      </w:r>
    </w:p>
    <w:p>
      <w:r>
        <w:rPr>
          <w:b/>
        </w:rPr>
        <w:t xml:space="preserve">Ergebnis: </w:t>
      </w:r>
      <w:r>
        <w:t>Höherer CMFI stark mit erhöhtem Schmerz-Risiko assoziiert: Höchstes vs. niedrigstes CMFI-Quartil zeigte 11,6-fach erhöhtes Risiko für Kreuzschmerzen, 17,0-fach für Multisite-Schmerzen und 11,5-fach höhere Schmerzlokalisationen. Depression vermittelte ca. 30% dieser Assoziationen. Unterschiede nach Alter, Bildung und Wohnort.</w:t>
      </w:r>
    </w:p>
    <w:p>
      <w:r>
        <w:rPr>
          <w:b/>
          <w:sz w:val="19"/>
        </w:rPr>
        <w:t xml:space="preserve">Übertragbarkeit: </w:t>
      </w:r>
      <w:r>
        <w:rPr>
          <w:sz w:val="19"/>
        </w:rPr>
        <w:t>China, vergleichbare Altersstruktur – Befunde aber nicht direkt auf deutsche Sozialversicherung übertragbar</w:t>
      </w:r>
    </w:p>
    <w:p>
      <w:r>
        <w:rPr>
          <w:color w:val="5A7D3A"/>
          <w:sz w:val="18"/>
        </w:rPr>
        <w:t>https://pubmed.ncbi.nlm.nih.gov/42888628/</w:t>
      </w:r>
    </w:p>
    <w:p>
      <w:pPr>
        <w:pStyle w:val="Heading2"/>
      </w:pPr>
      <w:r>
        <w:t>Höhere Frailty mit schlechterer Herzgesundheit: Dosis-Wirkungs-Beziehung in US-Stichprobe</w:t>
      </w:r>
    </w:p>
    <w:p>
      <w:r>
        <w:rPr>
          <w:i/>
          <w:color w:val="666666"/>
          <w:sz w:val="18"/>
        </w:rPr>
        <w:t>Yan W et al.  ·  Medicine (Baltimore)  ·  16.10.2026  ·  PMID 42888560</w:t>
      </w:r>
    </w:p>
    <w:p>
      <w:r>
        <w:t>Querschnittsanalyse von 8015 Erwachsenen ≥20 Jahre aus NHANES 2007–2018 zur Assoziation zwischen Frailty-Index und kardiovaskulärer Gesundheit nach American Heart Association Definition.</w:t>
      </w:r>
    </w:p>
    <w:p>
      <w:r>
        <w:rPr>
          <w:b/>
        </w:rPr>
        <w:t xml:space="preserve">Ergebnis: </w:t>
      </w:r>
      <w:r>
        <w:t>Höhere Frailty-Niveaus linear mit erhöhtem Risiko schlechter kardiovaskulärer Gesundheit assoziiert (dosisabhängig). Serum-25(OH)D-Level unabhängig invers mit schlechter kardiovaskulärer Gesundheit assoziiert. Keine statistisch signifikante multiplikative Interaktion zwischen Frailty und 25(OH)D. Assoziationen variierten nach Geschlecht und 25(OH)D-Status.</w:t>
      </w:r>
    </w:p>
    <w:p>
      <w:r>
        <w:rPr>
          <w:b/>
          <w:sz w:val="19"/>
        </w:rPr>
        <w:t xml:space="preserve">Übertragbarkeit: </w:t>
      </w:r>
      <w:r>
        <w:rPr>
          <w:sz w:val="19"/>
        </w:rPr>
        <w:t>USA, aber Frailty-Kardiovaskularität-Assoziation prinzipiell übertragbar</w:t>
      </w:r>
    </w:p>
    <w:p>
      <w:r>
        <w:rPr>
          <w:color w:val="5A7D3A"/>
          <w:sz w:val="18"/>
        </w:rPr>
        <w:t>https://pubmed.ncbi.nlm.nih.gov/42888560/</w:t>
      </w:r>
    </w:p>
    <w:p>
      <w:pPr>
        <w:pStyle w:val="Heading2"/>
      </w:pPr>
      <w:r>
        <w:t>Handgriffkraft und Stuhlaufstehen als Functional-Indikatoren: Methodische Vorbehalte bei multizentrischen Studien</w:t>
      </w:r>
    </w:p>
    <w:p>
      <w:r>
        <w:rPr>
          <w:i/>
          <w:color w:val="666666"/>
          <w:sz w:val="18"/>
        </w:rPr>
        <w:t>Kudratova Z et al.  ·  Aging Clin Exp Res  ·  15.10.2026  ·  PMID 42875631</w:t>
      </w:r>
    </w:p>
    <w:p>
      <w:r>
        <w:t>Methodologischer Kommentar zu Prospektivanalyse über kumulative Handgriffkraft und erfolgreiches Altern in drei internationalen Kohorten, kritische Bewertung von Studiendesign und Vergleichbarkeit.</w:t>
      </w:r>
    </w:p>
    <w:p>
      <w:r>
        <w:rPr>
          <w:b/>
        </w:rPr>
        <w:t xml:space="preserve">Ergebnis: </w:t>
      </w:r>
      <w:r>
        <w:t>Handgriffkraft erfasst nicht alle funktionellen Determinanten erfolgreiches Alterns. Selbstberichtete chronische Erkrankungen verursachen Klassifizierungsfehler (unterschiedlich nach Sozioökonomie). Zwei-Phasen-Temporaldesign adressiert Selektionsbias und Kohortengrenzen unzureichend. Kohorten-relatives kognitives Schwellenwert gefährdet Bevölkerungsvergleichbarkeit. Empfehlung: stärkere methodologische Reflexion und Standardisierung.</w:t>
      </w:r>
    </w:p>
    <w:p>
      <w:r>
        <w:rPr>
          <w:b/>
          <w:sz w:val="19"/>
        </w:rPr>
        <w:t xml:space="preserve">Übertragbarkeit: </w:t>
      </w:r>
      <w:r>
        <w:rPr>
          <w:sz w:val="19"/>
        </w:rPr>
        <w:t>Internationale Kohorten (USA, Asien, Europa), Methoden-Review – Design-Kritik grundsätzlich relevant</w:t>
      </w:r>
    </w:p>
    <w:p>
      <w:r>
        <w:rPr>
          <w:color w:val="5A7D3A"/>
          <w:sz w:val="18"/>
        </w:rPr>
        <w:t>https://pubmed.ncbi.nlm.nih.gov/42875631/</w:t>
      </w:r>
    </w:p>
    <w:p>
      <w:pPr>
        <w:pStyle w:val="Heading1"/>
      </w:pPr>
      <w:r>
        <w:t>Aufgenommen am 18.10.2026</w:t>
      </w:r>
    </w:p>
    <w:p>
      <w:pPr>
        <w:pStyle w:val="Heading2"/>
      </w:pPr>
      <w:r>
        <w:t>Krafttraining senkt Gebrechlichkeit im Alter stärker als Gehen oder Tai Chi</w:t>
      </w:r>
    </w:p>
    <w:p>
      <w:r>
        <w:rPr>
          <w:i/>
          <w:color w:val="666666"/>
          <w:sz w:val="18"/>
        </w:rPr>
        <w:t>Li J et al.  ·  Front Public Health  ·  02.10.2026  ·  PMID 42891303</w:t>
      </w:r>
    </w:p>
    <w:p>
      <w:r>
        <w:t>Systematische Übersicht mit Metaanalyse von randomisierten Studien zu Krafttraining, Gehen und Tai Chi bei älteren Menschen mit Gebrechlichkeit (Frailty).</w:t>
      </w:r>
    </w:p>
    <w:p>
      <w:r>
        <w:rPr>
          <w:b/>
        </w:rPr>
        <w:t xml:space="preserve">Ergebnis: </w:t>
      </w:r>
      <w:r>
        <w:t>Bei 1.361 Teilnehmern zeigte Krafttraining eine signifikante Reduktion von Gebrechlichkeit (SMD = -0,78, 95%-KI -1,22 bis -0,35), während Gehen und Tai Chi keine statistisch signifikanten Effekte aufwiesen. Heterogenität war erheblich (I² = 88%), und optimale Dosierungsempfehlungen konnten nicht abgeleitet werden.</w:t>
      </w:r>
    </w:p>
    <w:p>
      <w:r>
        <w:rPr>
          <w:b/>
          <w:sz w:val="19"/>
        </w:rPr>
        <w:t xml:space="preserve">Übertragbarkeit: </w:t>
      </w:r>
      <w:r>
        <w:rPr>
          <w:sz w:val="19"/>
        </w:rPr>
        <w:t>Internationale Evidenz, direkt auf deutsches Versorgungssystem übertragbar</w:t>
      </w:r>
    </w:p>
    <w:p>
      <w:r>
        <w:rPr>
          <w:color w:val="5A7D3A"/>
          <w:sz w:val="18"/>
        </w:rPr>
        <w:t>https://pubmed.ncbi.nlm.nih.gov/42891303/</w:t>
      </w:r>
    </w:p>
    <w:p>
      <w:pPr>
        <w:pStyle w:val="Heading1"/>
      </w:pPr>
      <w:r>
        <w:t>Aufgenommen am 17.10.2026</w:t>
      </w:r>
    </w:p>
    <w:p>
      <w:pPr>
        <w:pStyle w:val="Heading2"/>
      </w:pPr>
      <w:r>
        <w:t>Vitamin-D-Mangel und Frailty-Risiko im Alter: Assoziationen in USA-Daten</w:t>
      </w:r>
    </w:p>
    <w:p>
      <w:r>
        <w:rPr>
          <w:i/>
          <w:color w:val="666666"/>
          <w:sz w:val="18"/>
        </w:rPr>
        <w:t>Zheng J et al.  ·  Aging Male  ·  31.12.2026  ·  PMID 42886648</w:t>
      </w:r>
    </w:p>
    <w:p>
      <w:r>
        <w:t>Querschnittanalyse von 8.064 US-Amerikanern über 40 Jahren, untersucht die Beziehung zwischen Serum-Vitamin-D und Gebrechlichkeit mit einem 49-Item-Frailty-Index.</w:t>
      </w:r>
    </w:p>
    <w:p>
      <w:r>
        <w:rPr>
          <w:b/>
        </w:rPr>
        <w:t xml:space="preserve">Ergebnis: </w:t>
      </w:r>
      <w:r>
        <w:t>Vitamin-D-Mangel (&lt;25 nmol/L) war mit erhöhtem Frailty-Risiko assoziiert (OR 2,15, 95% CI 1,42–3,25), während Insuffizienz nicht signifikant war (OR 1,15, 95% CI 0,95–1,38). Gebrechlichkeitsprävalenz: Mangel 55,9%, Insuffizienz 42,9%, ausreichend 37,2%. U-förmiger Zusammenhang zwischen Vitamin-D und Frailty-Index.</w:t>
      </w:r>
    </w:p>
    <w:p>
      <w:r>
        <w:rPr>
          <w:b/>
          <w:sz w:val="19"/>
        </w:rPr>
        <w:t xml:space="preserve">Übertragbarkeit: </w:t>
      </w:r>
      <w:r>
        <w:rPr>
          <w:sz w:val="19"/>
        </w:rPr>
        <w:t>USA-Daten, aber Assoziationsfrage unabhängig von Gesundheitssystem, große bevölkerungsrepräsentative Stichprobe.</w:t>
      </w:r>
    </w:p>
    <w:p>
      <w:r>
        <w:rPr>
          <w:color w:val="5A7D3A"/>
          <w:sz w:val="18"/>
        </w:rPr>
        <w:t>https://pubmed.ncbi.nlm.nih.gov/42886648/</w:t>
      </w:r>
    </w:p>
    <w:p>
      <w:pPr>
        <w:pStyle w:val="Heading2"/>
      </w:pPr>
      <w:r>
        <w:t>Mundgesundheit und Gebrechlichkeit im Alter: Geschlechtsunterschiede</w:t>
      </w:r>
    </w:p>
    <w:p>
      <w:r>
        <w:rPr>
          <w:i/>
          <w:color w:val="666666"/>
          <w:sz w:val="18"/>
        </w:rPr>
        <w:t>Yang JE et al.  ·  PLoS One  ·  16.10.2026  ·  PMID 42886645</w:t>
      </w:r>
    </w:p>
    <w:p>
      <w:r>
        <w:t>Südkoreanische Querschnittstudie mit 3.729 älteren Menschen (≥65 Jahre) untersucht Assoziationen zwischen Mundgesundheit und Frailty-Status (robust, Prä-Frailty, Frailty).</w:t>
      </w:r>
    </w:p>
    <w:p>
      <w:r>
        <w:rPr>
          <w:b/>
        </w:rPr>
        <w:t xml:space="preserve">Ergebnis: </w:t>
      </w:r>
      <w:r>
        <w:t>16% waren gebrechlich, 84% nicht gebrechlich. Zahnlosigkeit ohne Zahnersatz war stärkster Faktor (Frauen: OR 3,76; Männer: OR 2,95). Zahnlosigkeit, Kau-/Schluckstörungen und Zahnschmerzen waren signifikant mit Frailty assoziiert. Geschlechtsspezifische Unterschiede: Zahnempfindlichkeit erhöhte Frailty-Risiko bei Frauen (OR 1,82), senkte es bei Männern (OR 0,85).</w:t>
      </w:r>
    </w:p>
    <w:p>
      <w:r>
        <w:rPr>
          <w:b/>
          <w:sz w:val="19"/>
        </w:rPr>
        <w:t xml:space="preserve">Übertragbarkeit: </w:t>
      </w:r>
      <w:r>
        <w:rPr>
          <w:sz w:val="19"/>
        </w:rPr>
        <w:t>Korea, Datenqualität hoch, aber Übertragbarkeit auf Deutschland eingeschränkt durch unterschiedliche Zahnversorgung und Mundgesundheit.</w:t>
      </w:r>
    </w:p>
    <w:p>
      <w:r>
        <w:rPr>
          <w:color w:val="5A7D3A"/>
          <w:sz w:val="18"/>
        </w:rPr>
        <w:t>https://pubmed.ncbi.nlm.nih.gov/42886645/</w:t>
      </w:r>
    </w:p>
    <w:p>
      <w:pPr>
        <w:pStyle w:val="Heading2"/>
      </w:pPr>
      <w:r>
        <w:t>Ernährungsinterventionen bei Mangelernährung, Sarkopenie und Frailty im Alter</w:t>
      </w:r>
    </w:p>
    <w:p>
      <w:r>
        <w:rPr>
          <w:i/>
          <w:color w:val="666666"/>
          <w:sz w:val="18"/>
        </w:rPr>
        <w:t>Khalaf H et al.  ·  Nutrients  ·  27.09.2026  ·  PMID 42884640</w:t>
      </w:r>
    </w:p>
    <w:p>
      <w:r>
        <w:t>Narrative Übersichtsarbeit zur Evidenz für Ernährungsmassnahmen (Food First, Lebensmittelfortifikation, orale Nahrungsergänzungen) bei älteren Menschen und Pflegeheimbewohnern.</w:t>
      </w:r>
    </w:p>
    <w:p>
      <w:r>
        <w:rPr>
          <w:b/>
        </w:rPr>
        <w:t xml:space="preserve">Ergebnis: </w:t>
      </w:r>
      <w:r>
        <w:t>Lebensmittelfortifikation erhöht effektiv Energie- und Proteinaufnahme; orale Nahrungsergänzungen (ONS) verbessern BMI und Alltagsfunktion und senken Hospitalisierungsraten. Multimodale Ansätze (Ernährung plus Bewegung) sind wirksamer; geringe Therapieadhärenz bleibt Barriere. Food-First-Ansatz in Kombination mit ONS zeigt beste Ergebnisse.</w:t>
      </w:r>
    </w:p>
    <w:p>
      <w:r>
        <w:rPr>
          <w:b/>
          <w:sz w:val="19"/>
        </w:rPr>
        <w:t xml:space="preserve">Übertragbarkeit: </w:t>
      </w:r>
      <w:r>
        <w:rPr>
          <w:sz w:val="19"/>
        </w:rPr>
        <w:t>UK/Europa-Daten, transferierbar auf deutschsprachige Pflegeheimversorgung.</w:t>
      </w:r>
    </w:p>
    <w:p>
      <w:r>
        <w:rPr>
          <w:color w:val="5A7D3A"/>
          <w:sz w:val="18"/>
        </w:rPr>
        <w:t>https://pubmed.ncbi.nlm.nih.gov/42884640/</w:t>
      </w:r>
    </w:p>
    <w:p>
      <w:pPr>
        <w:pStyle w:val="Heading2"/>
      </w:pPr>
      <w:r>
        <w:t>Hochverarbeitete Lebensmittel und Frailty im Alter: Assoziationen in Südkorea</w:t>
      </w:r>
    </w:p>
    <w:p>
      <w:r>
        <w:rPr>
          <w:i/>
          <w:color w:val="666666"/>
          <w:sz w:val="18"/>
        </w:rPr>
        <w:t>Lee H et al.  ·  Nutrients  ·  23.09.2026  ·  PMID 42884586</w:t>
      </w:r>
    </w:p>
    <w:p>
      <w:r>
        <w:t>Querschnittanalyse von 9.861 südkoreanischen Älteren (≥65 Jahre) untersucht die Beziehung zwischen Anteil hochverarbeiteter Lebensmittel (UPF) an der Gesamtenergieaufnahme und Gebrechlichkeit.</w:t>
      </w:r>
    </w:p>
    <w:p>
      <w:r>
        <w:rPr>
          <w:b/>
        </w:rPr>
        <w:t xml:space="preserve">Ergebnis: </w:t>
      </w:r>
      <w:r>
        <w:t>Höchstes Quartil UPF-Energieanteil zeigte 31% höheres Frailty-Risiko als niedrigstes (OR 1,31, 95% CI 1,08–1,59, p=0,002). Besondere Assoziation mit niedriger körperlicher Aktivität (OR 1,31, 95% CI 1,13–1,51). Linearer Dosis-Wirkungs-Zusammenhang (keine Nicht-Linearität, p=0,8).</w:t>
      </w:r>
    </w:p>
    <w:p>
      <w:r>
        <w:rPr>
          <w:b/>
          <w:sz w:val="19"/>
        </w:rPr>
        <w:t xml:space="preserve">Übertragbarkeit: </w:t>
      </w:r>
      <w:r>
        <w:rPr>
          <w:sz w:val="19"/>
        </w:rPr>
        <w:t>Korea, Ernährungsassoziationen sind kulturabhängig und weniger auf Deutschland übertragbar als mediterrane oder nordeuropäische Diätmuster.</w:t>
      </w:r>
    </w:p>
    <w:p>
      <w:r>
        <w:rPr>
          <w:color w:val="5A7D3A"/>
          <w:sz w:val="18"/>
        </w:rPr>
        <w:t>https://pubmed.ncbi.nlm.nih.gov/42884586/</w:t>
      </w:r>
    </w:p>
    <w:p>
      <w:pPr>
        <w:pStyle w:val="Heading2"/>
      </w:pPr>
      <w:r>
        <w:t>Alltagsmessung psychischer Symptome im älteren Alter: Machbarkeit und Prädiktoren</w:t>
      </w:r>
    </w:p>
    <w:p>
      <w:r>
        <w:rPr>
          <w:i/>
          <w:color w:val="666666"/>
          <w:sz w:val="18"/>
        </w:rPr>
        <w:t>Kang J et al.  ·  J Affect Disord  ·  01.01.2027  ·  PMID 42785391</w:t>
      </w:r>
    </w:p>
    <w:p>
      <w:r>
        <w:t>US-amerikanische Studie mit 64 älteren Erwachsenen (Durchschnittsalter 63,4 Jahre; 31 gesund, 33 mit Depression), die zweimal täglich über ~10 Wochen Symptome via Smartphone berichteten.</w:t>
      </w:r>
    </w:p>
    <w:p>
      <w:r>
        <w:rPr>
          <w:b/>
        </w:rPr>
        <w:t xml:space="preserve">Ergebnis: </w:t>
      </w:r>
      <w:r>
        <w:t>Gesamtausfallquote 76% (SD 22,1). Gesunde Teilnehmer zeigten höhere Compliance (81% vs. 71% bei Depression, p=0,04). Schnellere Antwortlatenz sagte höhere Adhärenz voraus. Rasche affektive Schwankungen am Anfang waren Prädiktoren niedriger Adhärenz. EMA ist mit Anpassungen im späteren Alter durchführbar.</w:t>
      </w:r>
    </w:p>
    <w:p>
      <w:r>
        <w:rPr>
          <w:b/>
          <w:sz w:val="19"/>
        </w:rPr>
        <w:t xml:space="preserve">Übertragbarkeit: </w:t>
      </w:r>
      <w:r>
        <w:rPr>
          <w:sz w:val="19"/>
        </w:rPr>
        <w:t>USA, Methode unabhängig von Gesundheitssystem, aber Adhärenz-Faktoren in älteren Erwachsenen noch wenig erforscht.</w:t>
      </w:r>
    </w:p>
    <w:p>
      <w:r>
        <w:rPr>
          <w:color w:val="5A7D3A"/>
          <w:sz w:val="18"/>
        </w:rPr>
        <w:t>https://pubmed.ncbi.nlm.nih.gov/42785391/</w:t>
      </w:r>
    </w:p>
    <w:p>
      <w:pPr>
        <w:pStyle w:val="Heading2"/>
      </w:pPr>
      <w:r>
        <w:t>Funktionsfähigkeit am Lebensende: Drei Verlaufsmuster in den letzten Lebensjahren</w:t>
      </w:r>
    </w:p>
    <w:p>
      <w:r>
        <w:rPr>
          <w:i/>
          <w:color w:val="666666"/>
          <w:sz w:val="18"/>
        </w:rPr>
        <w:t>Kyrönlahti S et al.  ·  J Gerontol A Biol Sci Med Sci  ·  06.10.2026  ·  PMID 42720597</w:t>
      </w:r>
    </w:p>
    <w:p>
      <w:r>
        <w:t>Schwedische Längsschnittstudie mit 2.294 älteren Menschen (62% Frauen, Durchschnittsalter 89,8 Jahre), die verfolgte, wie sich Alltagsfähigkeiten (ADL-Einschränkungen) zeitlich vor dem Tod entwickelten.</w:t>
      </w:r>
    </w:p>
    <w:p>
      <w:r>
        <w:rPr>
          <w:b/>
        </w:rPr>
        <w:t xml:space="preserve">Ergebnis: </w:t>
      </w:r>
      <w:r>
        <w:t>53% zeigten durchgehend niedrige ADL-Einschränkungen bis zum Tod, 36% einen flachen Anstieg und 11% einen steilen Anstieg. Frauen, niedriger gebildete Personen und älter Verstorbene hatten häufiger zunehmende Behinderung. Kognitives Defizit war mit steiler Verschlechterung assoziiert. Für die meisten blieb die funktionale Fähigkeit bis 2 Jahre vor dem Tod erhalten.</w:t>
      </w:r>
    </w:p>
    <w:p>
      <w:r>
        <w:rPr>
          <w:b/>
          <w:sz w:val="19"/>
        </w:rPr>
        <w:t xml:space="preserve">Übertragbarkeit: </w:t>
      </w:r>
      <w:r>
        <w:rPr>
          <w:sz w:val="19"/>
        </w:rPr>
        <w:t>Schwedische Daten, vergleichbare nordeuropäische Altersstruktur und Versorgungssystem.</w:t>
      </w:r>
    </w:p>
    <w:p>
      <w:r>
        <w:rPr>
          <w:color w:val="5A7D3A"/>
          <w:sz w:val="18"/>
        </w:rPr>
        <w:t>https://pubmed.ncbi.nlm.nih.gov/42720597/</w:t>
      </w:r>
    </w:p>
    <w:p>
      <w:pPr>
        <w:pStyle w:val="Heading1"/>
      </w:pPr>
      <w:r>
        <w:t>Aufgenommen am 16.10.2026</w:t>
      </w:r>
    </w:p>
    <w:p>
      <w:pPr>
        <w:pStyle w:val="Heading2"/>
      </w:pPr>
      <w:r>
        <w:t>Hörverfall in der Lebensmitte: Metabolische Gesundheit und Lärmexposition prägen Verlauf</w:t>
      </w:r>
    </w:p>
    <w:p>
      <w:r>
        <w:rPr>
          <w:i/>
          <w:color w:val="666666"/>
          <w:sz w:val="18"/>
        </w:rPr>
        <w:t>Smit AL et al.  ·  PLoS One  ·  15.10.2026  ·  PMID 42879410</w:t>
      </w:r>
    </w:p>
    <w:p>
      <w:r>
        <w:t>Sechsjährige Längsschnittstudie an 3.596 Mittelalten (Baseline 45–70 Jahre) in Australien untersucht, wie Stoffwechsel und Umweltfaktoren die Hörfähigkeit beeinflussen.</w:t>
      </w:r>
    </w:p>
    <w:p>
      <w:r>
        <w:rPr>
          <w:b/>
        </w:rPr>
        <w:t xml:space="preserve">Ergebnis: </w:t>
      </w:r>
      <w:r>
        <w:t>Hörschwellen verschlechterten sich über 6 Jahre; Prävalenz mild-oder-stärkerer Hörverlust stieg von 14 % auf 26 % (4FPTA) und 53 % auf 71 % (HFPTA). Größerer Verfall bei Männern und Hochfrequenzen. Signifikante Assoziationen: höheres Alter, männliches Geschlecht, höherer BMI, Rauchen, Tinnitus, chronische Ohrentzündung, Lärmexposition ohne Gehörschutz, Hypertonie und Prädiabetes. Befunde deuten auf komplexes Zusammenspiel metabolischer und Umweltfaktoren.</w:t>
      </w:r>
    </w:p>
    <w:p>
      <w:r>
        <w:rPr>
          <w:b/>
          <w:sz w:val="19"/>
        </w:rPr>
        <w:t xml:space="preserve">Übertragbarkeit: </w:t>
      </w:r>
      <w:r>
        <w:rPr>
          <w:sz w:val="19"/>
        </w:rPr>
        <w:t>Australien, vergleichbar Deutschland und Westeuropa; Gehörverlust in der Lebensmitte auch in Deutschland relevant.</w:t>
      </w:r>
    </w:p>
    <w:p>
      <w:r>
        <w:rPr>
          <w:color w:val="5A7D3A"/>
          <w:sz w:val="18"/>
        </w:rPr>
        <w:t>https://pubmed.ncbi.nlm.nih.gov/42879410/</w:t>
      </w:r>
    </w:p>
    <w:p>
      <w:pPr>
        <w:pStyle w:val="Heading2"/>
      </w:pPr>
      <w:r>
        <w:t>Frailty bei rheumatoider Arthritis: Häufig, prognostisch bedeutsam, teilweise modifizierbar</w:t>
      </w:r>
    </w:p>
    <w:p>
      <w:r>
        <w:rPr>
          <w:i/>
          <w:color w:val="666666"/>
          <w:sz w:val="18"/>
        </w:rPr>
        <w:t>Legge A et al.  ·  Curr Rheumatol Rep  ·  15.10.2026  ·  PMID 42878990</w:t>
      </w:r>
    </w:p>
    <w:p>
      <w:r>
        <w:t>Übersichtsarbeit zur Prävalenz, Messung und klinischen Bedeutung von Frailty bei rheumatoider Arthritis – ein häufiges Merkmal vorzeitigen Alterns.</w:t>
      </w:r>
    </w:p>
    <w:p>
      <w:r>
        <w:rPr>
          <w:b/>
        </w:rPr>
        <w:t xml:space="preserve">Ergebnis: </w:t>
      </w:r>
      <w:r>
        <w:t>Frailty betrifft etwa ein Drittel der RA-Patienten; Prävalenz variiert mit Messinstrument. Frailty konsistent assoziiert mit höherer Krankheitsaktivität, schlechterer körperlicher Funktion, Depression, Schmerz, reduzierter Lebensqualität und mehr Komorbiditäten. Längsschnittstudien zeigen: Frailty prädiktiv für Hospitalisierung, ernsthafte Infektionen, osteoporotische Frakturen, funktionellen Verfall, Wiederaufnahme und Mortalität – unabhängig von klassischen Risikofaktoren. Bidirektionale Beziehung zwischen Frailty und RA-Aktivität; RA-Kontrolle, Arzneimitteloptimierung und körperliche Aktivität können Frailty wahrscheinlich verbessern.</w:t>
      </w:r>
    </w:p>
    <w:p>
      <w:r>
        <w:rPr>
          <w:b/>
          <w:sz w:val="19"/>
        </w:rPr>
        <w:t xml:space="preserve">Übertragbarkeit: </w:t>
      </w:r>
      <w:r>
        <w:rPr>
          <w:sz w:val="19"/>
        </w:rPr>
        <w:t>Versorgungsfrage weltweit; Frailty-Assessment und -Interventionen universell anwendbar.</w:t>
      </w:r>
    </w:p>
    <w:p>
      <w:r>
        <w:rPr>
          <w:color w:val="5A7D3A"/>
          <w:sz w:val="18"/>
        </w:rPr>
        <w:t>https://pubmed.ncbi.nlm.nih.gov/42878990/</w:t>
      </w:r>
    </w:p>
    <w:p>
      <w:pPr>
        <w:pStyle w:val="Heading2"/>
      </w:pPr>
      <w:r>
        <w:t>Psychologische Folgen von Stürzen im Alter: internationale Konsensusdefinition</w:t>
      </w:r>
    </w:p>
    <w:p>
      <w:r>
        <w:rPr>
          <w:i/>
          <w:color w:val="666666"/>
          <w:sz w:val="18"/>
        </w:rPr>
        <w:t>Okrah AK et al.  ·  Age Ageing  ·  03.08.2026  ·  PMID 42878245</w:t>
      </w:r>
    </w:p>
    <w:p>
      <w:r>
        <w:t>Internationale Expertengruppe entwickelt erste formale Definition der psychologischen Schäden nach Stürzen älterer Menschen.</w:t>
      </w:r>
    </w:p>
    <w:p>
      <w:r>
        <w:rPr>
          <w:b/>
        </w:rPr>
        <w:t xml:space="preserve">Ergebnis: </w:t>
      </w:r>
      <w:r>
        <w:t>93 % (28/30) der Panel-Mitglieder bestätigten Bedarf für eine formale Definition. Konsensus erreicht in Runde 4 (n=48, 77,4%), stabilisiert in Runde 5 (n=49, 86,0%). Psychologische Sturzfolgen definiert als emotionale, verhaltensbezogene und psychische Konsequenzen nach Sturz oder Sturzangst, mit Beispielen Sturzsorge (89%) und Aktivitätsvermeidung (82%).</w:t>
      </w:r>
    </w:p>
    <w:p>
      <w:r>
        <w:rPr>
          <w:b/>
          <w:sz w:val="19"/>
        </w:rPr>
        <w:t xml:space="preserve">Übertragbarkeit: </w:t>
      </w:r>
      <w:r>
        <w:rPr>
          <w:sz w:val="19"/>
        </w:rPr>
        <w:t>UK, Australien, Deutschland – Sturzprävention ist universelle Versorgungsfrage.</w:t>
      </w:r>
    </w:p>
    <w:p>
      <w:r>
        <w:rPr>
          <w:color w:val="5A7D3A"/>
          <w:sz w:val="18"/>
        </w:rPr>
        <w:t>https://pubmed.ncbi.nlm.nih.gov/42878245/</w:t>
      </w:r>
    </w:p>
    <w:p>
      <w:pPr>
        <w:pStyle w:val="Heading2"/>
      </w:pPr>
      <w:r>
        <w:t>Soziale Teilhabe stärker mit gesundem Altern verbunden als einzelne Verhaltensweisen</w:t>
      </w:r>
    </w:p>
    <w:p>
      <w:r>
        <w:rPr>
          <w:i/>
          <w:color w:val="666666"/>
          <w:sz w:val="18"/>
        </w:rPr>
        <w:t>Sahab L et al.  ·  Front Public Health  ·  30.09.2026  ·  PMID 42876511</w:t>
      </w:r>
    </w:p>
    <w:p>
      <w:r>
        <w:t>Longitudinale Analyse von 9.748 älteren Amerikanern über 10 Jahre prüft, welche Faktoren mit Freiheit von Behinderung, kognitiver Intaktheit und hoher Funktionsfähigkeit im Alter assoziiert sind.</w:t>
      </w:r>
    </w:p>
    <w:p>
      <w:r>
        <w:rPr>
          <w:b/>
        </w:rPr>
        <w:t xml:space="preserve">Ergebnis: </w:t>
      </w:r>
      <w:r>
        <w:t>Soziale Teilhabe 2006 signifikant assoziiert mit gesundem Altern 2016 (Schätzer 0,09, 95%-KI 0,08–0,11). Körperliche Aktivität zeigte stärkste Assoziation (0,31, 95%-KI 0,29–0,33). Gesundes Altern 2010 prädiktiv für 2016 (0,46, 95%-KI 0,45–0,47). Soziale Teilhabe ist Schlüsselfaktor für Healthy Ageing neben etablierten Verhaltensweisen.</w:t>
      </w:r>
    </w:p>
    <w:p>
      <w:r>
        <w:rPr>
          <w:b/>
          <w:sz w:val="19"/>
        </w:rPr>
        <w:t xml:space="preserve">Übertragbarkeit: </w:t>
      </w:r>
      <w:r>
        <w:rPr>
          <w:sz w:val="19"/>
        </w:rPr>
        <w:t>USA, Datenbasis Health and Retirement Study – Sozialsystem unterscheidet sich; Kernbefund zu sozialer Teilhabe aber universell relevant.</w:t>
      </w:r>
    </w:p>
    <w:p>
      <w:r>
        <w:rPr>
          <w:color w:val="5A7D3A"/>
          <w:sz w:val="18"/>
        </w:rPr>
        <w:t>https://pubmed.ncbi.nlm.nih.gov/42876511/</w:t>
      </w:r>
    </w:p>
    <w:p>
      <w:pPr>
        <w:pStyle w:val="Heading2"/>
      </w:pPr>
      <w:r>
        <w:t>Frailty-Assessment in Alzheimer-Therapieentscheidungen: Expertenkonsens</w:t>
      </w:r>
    </w:p>
    <w:p>
      <w:r>
        <w:rPr>
          <w:i/>
          <w:color w:val="666666"/>
          <w:sz w:val="18"/>
        </w:rPr>
        <w:t>Bellelli G et al.  ·  J Prev Alzheimers Dis  ·  04.09.2026  ·  PMID 42697176</w:t>
      </w:r>
    </w:p>
    <w:p>
      <w:r>
        <w:t>Europäische und internationale Expertengruppe empfiehlt systematische Frailty-Bewertung bei Auswahl von Disease-modifying-Therapien im Alter.</w:t>
      </w:r>
    </w:p>
    <w:p>
      <w:r>
        <w:rPr>
          <w:b/>
        </w:rPr>
        <w:t xml:space="preserve">Ergebnis: </w:t>
      </w:r>
      <w:r>
        <w:t>Frailty betrifft etwa ein Drittel der Alzheimer-Patienten. Frailty ist assoziiert mit höherer Krankheitsaktivität, schlechterer Funktionsfähigkeit, mehr Depressionen, Schmerzen und Mortalität – unabhängig von klassischen Risikofaktoren. Empfehlung: regelmäßiges Frailty-Assessment in Klinik und Studien; Arzneimitteloptimierung und körperliche Aktivität können Frailty möglicherweise verbessern.</w:t>
      </w:r>
    </w:p>
    <w:p>
      <w:r>
        <w:rPr>
          <w:b/>
          <w:sz w:val="19"/>
        </w:rPr>
        <w:t xml:space="preserve">Übertragbarkeit: </w:t>
      </w:r>
      <w:r>
        <w:rPr>
          <w:sz w:val="19"/>
        </w:rPr>
        <w:t>Europäische Versorgungssysteme (Italien, UK, Frankreich, Schweiz, Skandinavien, Irland); direkt auf deutsches Setting übertragbar.</w:t>
      </w:r>
    </w:p>
    <w:p>
      <w:r>
        <w:rPr>
          <w:color w:val="5A7D3A"/>
          <w:sz w:val="18"/>
        </w:rPr>
        <w:t>https://pubmed.ncbi.nlm.nih.gov/42697176/</w:t>
      </w:r>
    </w:p>
    <w:p>
      <w:pPr>
        <w:pStyle w:val="Heading2"/>
      </w:pPr>
      <w:r>
        <w:t>Kognitiver Abbau beginnt bereits in den 30ern: Längsschnittpool aus drei Kontinenten</w:t>
      </w:r>
    </w:p>
    <w:p>
      <w:r>
        <w:rPr>
          <w:i/>
          <w:color w:val="666666"/>
          <w:sz w:val="18"/>
        </w:rPr>
        <w:t>Novotný JS et al.  ·  J Prev Alzheimers Dis  ·  07.08.2026  ·  PMID 42566820</w:t>
      </w:r>
    </w:p>
    <w:p>
      <w:r>
        <w:t>Gepoolte Längsschnittstudie mit 14.389 Erwachsenen aus China, USA und Tschechien identifiziert Alter des Beginns messbarer kognitiver Abnahme und ihre Trajektorien.</w:t>
      </w:r>
    </w:p>
    <w:p>
      <w:r>
        <w:rPr>
          <w:b/>
        </w:rPr>
        <w:t xml:space="preserve">Ergebnis: </w:t>
      </w:r>
      <w:r>
        <w:t>Messbarer kognitiver Abbau erste Mal in der Altersgruppe 31–40 Jahre erkannt (durchschnittliche Änderung −1,2 Punkte, 95%-KI −2,1 bis −0,3). Abnahmemagnitude stieg progressiv mit Alter, erreichte −11,4 Punkte in ältesten Gruppe (alle p&lt;0,001). Nicht-Gedächtnisdomänen zeigten frühere Anfälligkeit (ab 31 Jahre), signifikanter Gedächtnisabbau erst nach 50. Individuelle Trajektorien zeigen hohe Heterogenität; chronologisches Alter ist kein deterministischer Proxy für Abbau. Befunde unterstützen Lebenskurs-Ansätze zur Gehirngesundheit.</w:t>
      </w:r>
    </w:p>
    <w:p>
      <w:r>
        <w:rPr>
          <w:b/>
          <w:sz w:val="19"/>
        </w:rPr>
        <w:t xml:space="preserve">Übertragbarkeit: </w:t>
      </w:r>
      <w:r>
        <w:rPr>
          <w:sz w:val="19"/>
        </w:rPr>
        <w:t>Asien, Nordamerika, Europa – Datenkohärenz über drei Kontinente; universell für frühe Überwachung relevant.</w:t>
      </w:r>
    </w:p>
    <w:p>
      <w:r>
        <w:rPr>
          <w:color w:val="5A7D3A"/>
          <w:sz w:val="18"/>
        </w:rPr>
        <w:t>https://pubmed.ncbi.nlm.nih.gov/42566820/</w:t>
      </w:r>
    </w:p>
    <w:p>
      <w:pPr>
        <w:pStyle w:val="Heading1"/>
      </w:pPr>
      <w:r>
        <w:t>Aufgenommen am 15.10.2026</w:t>
      </w:r>
    </w:p>
    <w:p>
      <w:pPr>
        <w:pStyle w:val="Heading2"/>
      </w:pPr>
      <w:r>
        <w:t>Blutmetaboliten als Sterblichkeitsuhr: Beschleunigte Metabolomic-Alterung erhöht Mortalität um 60%</w:t>
      </w:r>
    </w:p>
    <w:p>
      <w:r>
        <w:rPr>
          <w:i/>
          <w:color w:val="666666"/>
          <w:sz w:val="18"/>
        </w:rPr>
        <w:t>Cao L et al.  ·  Sci Transl Med  ·  14.10.2026  ·  PMID 42873893</w:t>
      </w:r>
    </w:p>
    <w:p>
      <w:r>
        <w:t>Entwicklung von Metabolomic-Alterungsuhr (mAA) und Mortalitäts-Metrik (Age Deviation) an 18.476 Chinesen (Alter 1–96 Jahre) mittels Plasma-Metabolom-Profiling über 6 Jahre Nachbeobachtung (2019–2025).</w:t>
      </w:r>
    </w:p>
    <w:p>
      <w:r>
        <w:rPr>
          <w:b/>
        </w:rPr>
        <w:t xml:space="preserve">Ergebnis: </w:t>
      </w:r>
      <w:r>
        <w:t>56 altersassoziierte Metabolite wurden identifiziert. Höhere mAA war assoziiert mit Gesundheitsverschlechterung, ungünstigen Lebensstilen und erhöhtem Risiko für chronische Erkrankungen (Fettleber, Hypertonie, Diabetes) sowie All-Cause-Mortalität während Follow-up. Age Deviation (Abweichung vom alterserwarteten Mortalitätsrisiko) korrelierte mit etablierten Gesundheitsmessgrößen und Multimorbidität. Plasma-Metabolomic-Profile könnten als skalierbare, lebensumfassende Methode zur Risikoschichtung verwendet werden.</w:t>
      </w:r>
    </w:p>
    <w:p>
      <w:r>
        <w:rPr>
          <w:b/>
          <w:sz w:val="19"/>
        </w:rPr>
        <w:t xml:space="preserve">Übertragbarkeit: </w:t>
      </w:r>
      <w:r>
        <w:rPr>
          <w:sz w:val="19"/>
        </w:rPr>
        <w:t>China; Metabolomic-Biomarker erfordern Validierung in europäischen Kohorten</w:t>
      </w:r>
    </w:p>
    <w:p>
      <w:r>
        <w:rPr>
          <w:color w:val="5A7D3A"/>
          <w:sz w:val="18"/>
        </w:rPr>
        <w:t>https://pubmed.ncbi.nlm.nih.gov/42873893/</w:t>
      </w:r>
    </w:p>
    <w:p>
      <w:pPr>
        <w:pStyle w:val="Heading2"/>
      </w:pPr>
      <w:r>
        <w:t>Frailty und Hypoalbuminämie als Prädiktoren für Funktionsverlust nach Schlaganfall</w:t>
      </w:r>
    </w:p>
    <w:p>
      <w:r>
        <w:rPr>
          <w:i/>
          <w:color w:val="666666"/>
          <w:sz w:val="18"/>
        </w:rPr>
        <w:t>Yang J et al.  ·  Nurs Open  ·  Okt. 2026  ·  PMID 42872623</w:t>
      </w:r>
    </w:p>
    <w:p>
      <w:r>
        <w:t>Prospektive Kohortenstudie an 175 Schlaganfallpatienten, die untersuchte, ob Hypoalbuminämie die Beziehung zwischen Gebrechlichkeit und schlechtem funktionellem Outcome vermittelt.</w:t>
      </w:r>
    </w:p>
    <w:p>
      <w:r>
        <w:rPr>
          <w:b/>
        </w:rPr>
        <w:t xml:space="preserve">Ergebnis: </w:t>
      </w:r>
      <w:r>
        <w:t>Von 175 Patienten waren 29,7% gebrechlich und 36,6% entwickelten Hypoalbuminämie. Gebrechlichkeit war assoziiert mit schlechtem Outcome (mRS &gt;3) bei Entlassung (RR 1,56; 95% KI 1,12–2,16), nach 30 Tagen (RR 2,02; 95% KI 1,41–2,89) und nach 90 Tagen (RR 2,79; 95% KI 1,81–4,30). Hypoalbuminämie vermittelte diese Assoziation teilweise mit Anteilen von 22,2% (Entlassung), 16,9% (30 Tage) und 14,0% (90 Tage). Das Frailty-Screening und Albuminmonitoring können frühe Risikostratifizierung ermöglichen.</w:t>
      </w:r>
    </w:p>
    <w:p>
      <w:r>
        <w:rPr>
          <w:b/>
          <w:sz w:val="19"/>
        </w:rPr>
        <w:t xml:space="preserve">Übertragbarkeit: </w:t>
      </w:r>
      <w:r>
        <w:rPr>
          <w:sz w:val="19"/>
        </w:rPr>
        <w:t>China-Daten, aber Frailty-Assessment und Ernährungsmonitoring sind universal anwendbar</w:t>
      </w:r>
    </w:p>
    <w:p>
      <w:r>
        <w:rPr>
          <w:color w:val="5A7D3A"/>
          <w:sz w:val="18"/>
        </w:rPr>
        <w:t>https://pubmed.ncbi.nlm.nih.gov/42872623/</w:t>
      </w:r>
    </w:p>
    <w:p>
      <w:pPr>
        <w:pStyle w:val="Heading2"/>
      </w:pPr>
      <w:r>
        <w:t>Neurotoxische Berufsexpositionen beschleunigen Gehirnalterung: Scoping Review zu Kognitiver Reserve</w:t>
      </w:r>
    </w:p>
    <w:p>
      <w:r>
        <w:rPr>
          <w:i/>
          <w:color w:val="666666"/>
          <w:sz w:val="18"/>
        </w:rPr>
        <w:t>Leton N et al.  ·  Front Public Health  ·  29.09.2026  ·  PMID 42871458</w:t>
      </w:r>
    </w:p>
    <w:p>
      <w:r>
        <w:t>Systematische Scoping Review (16 Studien, 2011–2026) zur Assoziation beruflicher Neurotoxinexpositionen (Blei, Aluminium, Lösungsmittel) mit kognitiven Defiziten und Gehirnalterung.</w:t>
      </w:r>
    </w:p>
    <w:p>
      <w:r>
        <w:rPr>
          <w:b/>
        </w:rPr>
        <w:t xml:space="preserve">Ergebnis: </w:t>
      </w:r>
      <w:r>
        <w:t>Studien zeigten durchgehend Assoziationen zwischen Exposition (Blei, Lösungsmittel, Verbrennungsprodukte) und kognitiven oder neurologischen Defiziten relevant für Gehirnalterung. Häufigste Outcomes: Kognitive Abnahme/Beeinträchtigung; Neuroimaging-Befunde: funktionelle Konnektivität, Weiße-Substanz-Veränderungen, kortikale Dicke und Hirnvolumenreduktion. Kognitive Reserve wurde inkonsistent operationalisiert (Bildung, biologische Anfälligkeit, Neuroimaging-Marker). China war am häufigsten vertreten, Evidenz aus anderen ressourcenlimitierten Regionen begrenzt.</w:t>
      </w:r>
    </w:p>
    <w:p>
      <w:r>
        <w:rPr>
          <w:b/>
          <w:sz w:val="19"/>
        </w:rPr>
        <w:t xml:space="preserve">Übertragbarkeit: </w:t>
      </w:r>
      <w:r>
        <w:rPr>
          <w:sz w:val="19"/>
        </w:rPr>
        <w:t>Internationale Berufsgesundheit; Deutschland mit vergleichbarer Expositionserfassung</w:t>
      </w:r>
    </w:p>
    <w:p>
      <w:r>
        <w:rPr>
          <w:color w:val="5A7D3A"/>
          <w:sz w:val="18"/>
        </w:rPr>
        <w:t>https://pubmed.ncbi.nlm.nih.gov/42871458/</w:t>
      </w:r>
    </w:p>
    <w:p>
      <w:pPr>
        <w:pStyle w:val="Heading2"/>
      </w:pPr>
      <w:r>
        <w:t>Altersstigma fördert Depression im Alter: Soziale Unterstützung als Schutzfaktor</w:t>
      </w:r>
    </w:p>
    <w:p>
      <w:r>
        <w:rPr>
          <w:i/>
          <w:color w:val="666666"/>
          <w:sz w:val="18"/>
        </w:rPr>
        <w:t>Karasoy G et al.  ·  Psychogeriatrics  ·  Nov. 2026  ·  PMID 42870687</w:t>
      </w:r>
    </w:p>
    <w:p>
      <w:r>
        <w:t>Querschnittstudie an 162 Personen ab 65 Jahren zur Assoziation von internalisiertem Altersstigma und wahrgenommener sozialer Unterstützung mit depressiven Symptomen.</w:t>
      </w:r>
    </w:p>
    <w:p>
      <w:r>
        <w:rPr>
          <w:b/>
        </w:rPr>
        <w:t xml:space="preserve">Ergebnis: </w:t>
      </w:r>
      <w:r>
        <w:t>Höheres Altersstigma war assoziiert mit höheren depressiven Symptomen (β=0,205; 95% KI 0,099–0,311), höhere soziale Unterstützung mit niedrigeren Symptomen (β=−0,506; 95% KI −0,636 bis −0,375). Die Interaktion war signifikant (B=−0,002; 95% KI −0,003 bis −0,001; p&lt;0,001): Altersstigma war nur bei niedriger bis mittlerer sozialer Unterstützung mit Depression assoziiert, nicht bei hoher Unterstützung. Soziale Ressourcen puffern den negativen Effekt von Altersstereotypen.</w:t>
      </w:r>
    </w:p>
    <w:p>
      <w:r>
        <w:rPr>
          <w:b/>
          <w:sz w:val="19"/>
        </w:rPr>
        <w:t xml:space="preserve">Übertragbarkeit: </w:t>
      </w:r>
      <w:r>
        <w:rPr>
          <w:sz w:val="19"/>
        </w:rPr>
        <w:t>Türkei; Psychosoziale Mechanismen universal, aber Sozialversicherung unterschiedlich</w:t>
      </w:r>
    </w:p>
    <w:p>
      <w:r>
        <w:rPr>
          <w:color w:val="5A7D3A"/>
          <w:sz w:val="18"/>
        </w:rPr>
        <w:t>https://pubmed.ncbi.nlm.nih.gov/42870687/</w:t>
      </w:r>
    </w:p>
    <w:p>
      <w:pPr>
        <w:pStyle w:val="Heading2"/>
      </w:pPr>
      <w:r>
        <w:t>Sozioräumliche Ungleichheit und vorzeitige Alterung: Schwarze Amerikaner mit 5- bis 6-fach höherer Exposition</w:t>
      </w:r>
    </w:p>
    <w:p>
      <w:r>
        <w:rPr>
          <w:i/>
          <w:color w:val="666666"/>
          <w:sz w:val="18"/>
        </w:rPr>
        <w:t>Martin CL et al.  ·  J Gerontol B Psychol Sci Soc Sci  ·  01.10.2026  ·  PMID 42837511</w:t>
      </w:r>
    </w:p>
    <w:p>
      <w:r>
        <w:t>Analyse der National Longitudinal Study of Adolescent to Adult Health (Add Health), die umfangreiche, zeitvariable sozioräumliche Indikatoren (Wohnen, Justiz, Gewalt, Wirtschaft) mit geografischen Ebenen verknüpfte, um Altersungleichheiten vom Jugendalter (12–20 Jahre) bis ins frühe mittlere Alter (33–42 Jahre) zu dokumentieren.</w:t>
      </w:r>
    </w:p>
    <w:p>
      <w:r>
        <w:rPr>
          <w:b/>
        </w:rPr>
        <w:t xml:space="preserve">Ergebnis: </w:t>
      </w:r>
      <w:r>
        <w:t>Erhebliche und persistente Black-White-Disparitäten über alle Bereiche hinweg: Schwarze Befragte lebten signifikant häufiger in Counties mit höherer Zwangsräumungsquote, ökonomischer Segregation, höherer Haftquote und mehr Hate-Crime-Vorfällen. Schwarze Befragte lebten zudem in Bundesstaaten mit höherer historischer Lynchjustiz-Gewalt. Diese Messungen ermöglichen die Identifikation von Life-Course-Pfaden gesundheitlicher Ungleichheit.</w:t>
      </w:r>
    </w:p>
    <w:p>
      <w:r>
        <w:rPr>
          <w:b/>
          <w:sz w:val="19"/>
        </w:rPr>
        <w:t xml:space="preserve">Übertragbarkeit: </w:t>
      </w:r>
      <w:r>
        <w:rPr>
          <w:sz w:val="19"/>
        </w:rPr>
        <w:t>USA-Studie; Konzept der strukturellen Determinanten auf DACH übertragbar, aber Ausprägung völlig anders</w:t>
      </w:r>
    </w:p>
    <w:p>
      <w:r>
        <w:rPr>
          <w:color w:val="5A7D3A"/>
          <w:sz w:val="18"/>
        </w:rPr>
        <w:t>https://pubmed.ncbi.nlm.nih.gov/42837511/</w:t>
      </w:r>
    </w:p>
    <w:p>
      <w:pPr>
        <w:pStyle w:val="Heading2"/>
      </w:pPr>
      <w:r>
        <w:t>Geschlechtsspezifische Osteoporose-Progression: Knochendichteverlust ab 56 Jahren bei Männern, ab 64 Jahren bei Frauen</w:t>
      </w:r>
    </w:p>
    <w:p>
      <w:r>
        <w:rPr>
          <w:i/>
          <w:color w:val="666666"/>
          <w:sz w:val="18"/>
        </w:rPr>
        <w:t>Schröder G et al.  ·  PLoS One  ·  28.09.2026  ·  PMID 42804446</w:t>
      </w:r>
    </w:p>
    <w:p>
      <w:r>
        <w:t>Retrospektive Analyse von 71 CT-Aufnahmen der Wirbelsäule (C3–L5, Alter 4–102 Jahre) zur Quantifizierung altersbezogener Knochendichteverluste.</w:t>
      </w:r>
    </w:p>
    <w:p>
      <w:r>
        <w:rPr>
          <w:b/>
        </w:rPr>
        <w:t xml:space="preserve">Ergebnis: </w:t>
      </w:r>
      <w:r>
        <w:t>Hounsfield-Einheiten (HU) nahmen mit dem Alter ab (p&lt;0,001), mit ausgeprägtem Rückgang nach dem 60. Lebensjahr. Regressionsanalysen zeigten zwei Phasen des Dichteverlusts: bei Frauen später eintretend (nach 64 Jahren) als bei Männern (nach 56 Jahren, p&lt;0,001). HU-Werte korrelierten mit Knochenmineraldichte (r=0,86; 95% KI 0,72–0,94) und Knochenvolumenanteil (r=0,51; 95% KI 0,17–0,75). Ergebnisse unterstreichen Bedarf für geschlechtsspezifische Osteoporose-Prävention.</w:t>
      </w:r>
    </w:p>
    <w:p>
      <w:r>
        <w:rPr>
          <w:b/>
          <w:sz w:val="19"/>
        </w:rPr>
        <w:t xml:space="preserve">Übertragbarkeit: </w:t>
      </w:r>
      <w:r>
        <w:rPr>
          <w:sz w:val="19"/>
        </w:rPr>
        <w:t>Deutsche Kliniken mit CT-Daten vergleichbar; Altersgradienten international übertragbar</w:t>
      </w:r>
    </w:p>
    <w:p>
      <w:r>
        <w:rPr>
          <w:color w:val="5A7D3A"/>
          <w:sz w:val="18"/>
        </w:rPr>
        <w:t>https://pubmed.ncbi.nlm.nih.gov/42804446/</w:t>
      </w:r>
    </w:p>
    <w:p>
      <w:pPr>
        <w:pStyle w:val="Heading1"/>
      </w:pPr>
      <w:r>
        <w:t>Aufgenommen am 14.10.2026</w:t>
      </w:r>
    </w:p>
    <w:p>
      <w:pPr>
        <w:pStyle w:val="Heading2"/>
      </w:pPr>
      <w:r>
        <w:t>Schlafqualität als Vermittler zwischen Frailty und kognitiver Beeinträchtigung</w:t>
      </w:r>
    </w:p>
    <w:p>
      <w:r>
        <w:rPr>
          <w:i/>
          <w:color w:val="666666"/>
          <w:sz w:val="18"/>
        </w:rPr>
        <w:t>Chen L et al.  ·  Nurs Open  ·  Okt. 2026  ·  PMID 42868268</w:t>
      </w:r>
    </w:p>
    <w:p>
      <w:r>
        <w:t>Querschnittstudie an 2.830 Personen ab 60 Jahren in China untersuchte, ob Schlafqualität die Beziehung zwischen körperlicher Gebrechlichkeit (Frailty) und kognitiver Beeinträchtigung erklärt.</w:t>
      </w:r>
    </w:p>
    <w:p>
      <w:r>
        <w:rPr>
          <w:b/>
        </w:rPr>
        <w:t xml:space="preserve">Ergebnis: </w:t>
      </w:r>
      <w:r>
        <w:t>Kognitive Beeinträchtigung lag bei 21,77% vor. Schlafqualität vermittelte partiell die Beziehung zwischen Frailty und kognitiver Beeinträchtigung und erklärte 12,37 % des Gesamteffekts. Bessere Schlafqualität senkte signifikant das Risiko für kognitiven Verfall bei gebrechlichen älteren Menschen.</w:t>
      </w:r>
    </w:p>
    <w:p>
      <w:r>
        <w:rPr>
          <w:b/>
          <w:sz w:val="19"/>
        </w:rPr>
        <w:t xml:space="preserve">Übertragbarkeit: </w:t>
      </w:r>
      <w:r>
        <w:rPr>
          <w:sz w:val="19"/>
        </w:rPr>
        <w:t>China, aber Frailty-Screening und Schlafintervention sind geriatrischer Standard überall.</w:t>
      </w:r>
    </w:p>
    <w:p>
      <w:r>
        <w:rPr>
          <w:color w:val="5A7D3A"/>
          <w:sz w:val="18"/>
        </w:rPr>
        <w:t>https://pubmed.ncbi.nlm.nih.gov/42868268/</w:t>
      </w:r>
    </w:p>
    <w:p>
      <w:pPr>
        <w:pStyle w:val="Heading2"/>
      </w:pPr>
      <w:r>
        <w:t>Strukturelles Training und kognitive Aktivitäten verlängern demenzfreie Lebensjahre</w:t>
      </w:r>
    </w:p>
    <w:p>
      <w:r>
        <w:rPr>
          <w:i/>
          <w:color w:val="666666"/>
          <w:sz w:val="18"/>
        </w:rPr>
        <w:t>Li X et al.  ·  Alzheimers Dement  ·  Okt. 2026  ·  PMID 42867075</w:t>
      </w:r>
    </w:p>
    <w:p>
      <w:r>
        <w:t>Vierjährige prospektive Kohortenstudie (vier internationale Kohorten) untersuchte, wie körperliche Aktivität und kognitiv-soziale Aktivitäten zusammenhängen und die demenzfreie Lebenserwartung ab 50 Jahren beeinflussen.</w:t>
      </w:r>
    </w:p>
    <w:p>
      <w:r>
        <w:rPr>
          <w:b/>
        </w:rPr>
        <w:t xml:space="preserve">Ergebnis: </w:t>
      </w:r>
      <w:r>
        <w:t>Demenzfreie Lebenserwartung ab 50 Jahren betrug 17,5 Jahre (niedrig-niedrig), 23,2 Jahre (hoch-niedrig), 20,1 Jahre (niedrig-hoch) und 24,7 Jahre (hoch-hoch). Strukturelles Training und kognitiv-soziale Aktivitäten zeigten kombinierte, nicht austauschbare Vorteile – beide Faktoren sind erforderlich für optimale kognitive Alterung.</w:t>
      </w:r>
    </w:p>
    <w:p>
      <w:r>
        <w:rPr>
          <w:b/>
          <w:sz w:val="19"/>
        </w:rPr>
        <w:t xml:space="preserve">Übertragbarkeit: </w:t>
      </w:r>
      <w:r>
        <w:rPr>
          <w:sz w:val="19"/>
        </w:rPr>
        <w:t>Vier Kohorten aus Asien, Nordamerika, Europa; Befunde gelten kulturübergreifend.</w:t>
      </w:r>
    </w:p>
    <w:p>
      <w:r>
        <w:rPr>
          <w:color w:val="5A7D3A"/>
          <w:sz w:val="18"/>
        </w:rPr>
        <w:t>https://pubmed.ncbi.nlm.nih.gov/42867075/</w:t>
      </w:r>
    </w:p>
    <w:p>
      <w:pPr>
        <w:pStyle w:val="Heading2"/>
      </w:pPr>
      <w:r>
        <w:t>Soziale Unterstützung mildert Frailty-Effekte auf Kognition im Krankenhaus</w:t>
      </w:r>
    </w:p>
    <w:p>
      <w:r>
        <w:rPr>
          <w:i/>
          <w:color w:val="666666"/>
          <w:sz w:val="18"/>
        </w:rPr>
        <w:t>Dai J et al.  ·  Front Public Health  ·  28.09.2026  ·  PMID 42865808</w:t>
      </w:r>
    </w:p>
    <w:p>
      <w:r>
        <w:t>Querschnittstudie an 1.611 hospitalisierten Personen ≥60 Jahren untersuchte, wie Frailty auf Kognition wirkt und ob soziale Unterstützung diese Beziehung puffert.</w:t>
      </w:r>
    </w:p>
    <w:p>
      <w:r>
        <w:rPr>
          <w:b/>
        </w:rPr>
        <w:t xml:space="preserve">Ergebnis: </w:t>
      </w:r>
      <w:r>
        <w:t>Der Gesamteffekt von Frailty auf niedrigere kognitive Scores war statistisch nicht signifikant (p&gt;0,05), aber der indirekte Effekt über Depressionen und eingeschränkte Alltagsfunktionen erklärte 88,8 % der Assoziation. Soziale Unterstützung moderierte den Frailty-BADL-Link (B=0,120, p&lt;0,001) und den GDS-MMSE-Link (B=0,014, p=0,004) signifikant.</w:t>
      </w:r>
    </w:p>
    <w:p>
      <w:r>
        <w:rPr>
          <w:b/>
          <w:sz w:val="19"/>
        </w:rPr>
        <w:t xml:space="preserve">Übertragbarkeit: </w:t>
      </w:r>
      <w:r>
        <w:rPr>
          <w:sz w:val="19"/>
        </w:rPr>
        <w:t>China; Versorgungsmodell mit geriatrischem Assessment in Kliniken vergleichbar.</w:t>
      </w:r>
    </w:p>
    <w:p>
      <w:r>
        <w:rPr>
          <w:color w:val="5A7D3A"/>
          <w:sz w:val="18"/>
        </w:rPr>
        <w:t>https://pubmed.ncbi.nlm.nih.gov/42865808/</w:t>
      </w:r>
    </w:p>
    <w:p>
      <w:pPr>
        <w:pStyle w:val="Heading2"/>
      </w:pPr>
      <w:r>
        <w:t>Schmerz vorhersagt Frailty-Entstehung bei Fettlebererkrankung deutlich</w:t>
      </w:r>
    </w:p>
    <w:p>
      <w:r>
        <w:rPr>
          <w:i/>
          <w:color w:val="666666"/>
          <w:sz w:val="18"/>
        </w:rPr>
        <w:t>Hu H et al.  ·  Front Endocrinol (Lausanne)  ·  28.09.2026  ·  PMID 42865368</w:t>
      </w:r>
    </w:p>
    <w:p>
      <w:r>
        <w:t>Prospektive Kohortenstudie mit 3.622 CHARLS- und 2.059 ELSA-Teilnehmern (7–8 Jahre Follow-up) untersuchte, ob Schmerz ein stärkerer Prädiktor für Frailty-Neuauftreten ist als andere Faktoren und ob Depressionen die Wirkung vermitteln.</w:t>
      </w:r>
    </w:p>
    <w:p>
      <w:r>
        <w:rPr>
          <w:b/>
        </w:rPr>
        <w:t xml:space="preserve">Ergebnis: </w:t>
      </w:r>
      <w:r>
        <w:t>Schmerz war der stärkste Prädiktor für neue Frailty. Nach vollständiger Anpassung (mit Basis-Frailty-Index) zeigte Schmerz in CHARLS HR 1,219 (95%-CI 1,085–1,368) und in ELSA HR 1,310 (95%-CI 1,114–1,539). Die Bevölkerungsattributable Fraktion betrug 8,01 % (CHARLS) und 11,98 % (ELSA). Depressionen vermittelten 74,0 % (CHARLS) und 46,1 % (ELSA) des Gesamteffekts.</w:t>
      </w:r>
    </w:p>
    <w:p>
      <w:r>
        <w:rPr>
          <w:b/>
          <w:sz w:val="19"/>
        </w:rPr>
        <w:t xml:space="preserve">Übertragbarkeit: </w:t>
      </w:r>
      <w:r>
        <w:rPr>
          <w:sz w:val="19"/>
        </w:rPr>
        <w:t>China (CHARLS) und Großbritannien (ELSA); externe Validierung erhöht Übertragbarkeit.</w:t>
      </w:r>
    </w:p>
    <w:p>
      <w:r>
        <w:rPr>
          <w:color w:val="5A7D3A"/>
          <w:sz w:val="18"/>
        </w:rPr>
        <w:t>https://pubmed.ncbi.nlm.nih.gov/42865368/</w:t>
      </w:r>
    </w:p>
    <w:p>
      <w:pPr>
        <w:pStyle w:val="Heading2"/>
      </w:pPr>
      <w:r>
        <w:t>Chronische Einsamkeit verschlechtert Gesundheit und Funktionsfähigkeit älterer Menschen</w:t>
      </w:r>
    </w:p>
    <w:p>
      <w:r>
        <w:rPr>
          <w:i/>
          <w:color w:val="666666"/>
          <w:sz w:val="18"/>
        </w:rPr>
        <w:t>Ma Y et al.  ·  Nat Commun  ·  11.09.2026  ·  PMID 42864355</w:t>
      </w:r>
    </w:p>
    <w:p>
      <w:r>
        <w:t>Längsschnittstudie an 4.090 älteren Personen aus der English Longitudinal Study of Ageing untersuchte, wie chronische Einsamkeit und soziale Isolation mit 17 Gesundheitsergebnissen zusammenhängen.</w:t>
      </w:r>
    </w:p>
    <w:p>
      <w:r>
        <w:rPr>
          <w:b/>
        </w:rPr>
        <w:t xml:space="preserve">Ergebnis: </w:t>
      </w:r>
      <w:r>
        <w:t>Chronische Einsamkeit war mit schlechterer allgemeiner Gesundheit, reduzierter Funktionsfähigkeit und beeinträchtigtem psychischem Wohlbefinden sowie mehr gesundheitsschädlichen Verhaltensweisen assoziiert. Chronische Isolation und Isolationsbeginn waren mit niedrigerer Lebensqualität verbunden; Isolationsremission zeigte positive Effekte auf Wohlbefinden und Kognition gegenüber persistierender Isolation.</w:t>
      </w:r>
    </w:p>
    <w:p>
      <w:r>
        <w:rPr>
          <w:b/>
          <w:sz w:val="19"/>
        </w:rPr>
        <w:t xml:space="preserve">Übertragbarkeit: </w:t>
      </w:r>
      <w:r>
        <w:rPr>
          <w:sz w:val="19"/>
        </w:rPr>
        <w:t>England; europäisches Versorgungssystem, vergleichbares Gesundheitswesen und Sozialstrukturen.</w:t>
      </w:r>
    </w:p>
    <w:p>
      <w:r>
        <w:rPr>
          <w:color w:val="5A7D3A"/>
          <w:sz w:val="18"/>
        </w:rPr>
        <w:t>https://pubmed.ncbi.nlm.nih.gov/42864355/</w:t>
      </w:r>
    </w:p>
    <w:p>
      <w:pPr>
        <w:pStyle w:val="Heading2"/>
      </w:pPr>
      <w:r>
        <w:t>Neue nationale Studie zeigt erhebliche Gesundheitsdefizite bei US-Midlife-Adulten</w:t>
      </w:r>
    </w:p>
    <w:p>
      <w:r>
        <w:rPr>
          <w:i/>
          <w:color w:val="666666"/>
          <w:sz w:val="18"/>
        </w:rPr>
        <w:t>Hummer RA et al.  ·  J Gerontol B Psychol Sci Soc Sci  ·  01.10.2026  ·  PMID 42837512</w:t>
      </w:r>
    </w:p>
    <w:p>
      <w:r>
        <w:t>Wave VI der National Longitudinal Study of Adolescent to Adult Health (Add Health) beschreibt Gesundheit und biologische Aging-Marker an 11.979 Personen durchschnittlich 44 Jahre alt und dokumentiert erhebliche Unterschiede nach Rasse, Ethnizität und Bildung.</w:t>
      </w:r>
    </w:p>
    <w:p>
      <w:r>
        <w:rPr>
          <w:b/>
        </w:rPr>
        <w:t xml:space="preserve">Ergebnis: </w:t>
      </w:r>
      <w:r>
        <w:t>Von 11.979 befragten Personen hatten 49,9 % BMI ≥30 kg/m², 17 % berichteten aktuelle Depression. Breite Disparitäten bestanden in allen bewerteten Gesundheitsergebnissen nach Rasse/Ethnizität und Bildung. Wave VI lieferte 11.979 Umfragen, 6.073 Hausuntersuchungen und tausende kontextuelle und biologische Variablen für Lebensverlauf-Forschung.</w:t>
      </w:r>
    </w:p>
    <w:p>
      <w:r>
        <w:rPr>
          <w:b/>
          <w:sz w:val="19"/>
        </w:rPr>
        <w:t xml:space="preserve">Übertragbarkeit: </w:t>
      </w:r>
      <w:r>
        <w:rPr>
          <w:sz w:val="19"/>
        </w:rPr>
        <w:t>USA; Aussagen zu sozialen Unterschieden in Gesundheit übertragbar, Finanzierungssystem grundlegend anders.</w:t>
      </w:r>
    </w:p>
    <w:p>
      <w:r>
        <w:rPr>
          <w:color w:val="5A7D3A"/>
          <w:sz w:val="18"/>
        </w:rPr>
        <w:t>https://pubmed.ncbi.nlm.nih.gov/42837512/</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