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Gesundes Altern und Longevity</w:t>
      </w:r>
    </w:p>
    <w:p>
      <w:r>
        <w:rPr>
          <w:i/>
          <w:color w:val="666666"/>
          <w:sz w:val="18"/>
        </w:rPr>
        <w:t>Stand: 17.10.2026  |  6 Studien  |  longevity.m-vf.de</w:t>
      </w:r>
    </w:p>
    <w:p>
      <w:pPr>
        <w:pStyle w:val="Heading1"/>
      </w:pPr>
      <w:r>
        <w:t>Aufgenommen am 17.10.2026</w:t>
      </w:r>
    </w:p>
    <w:p>
      <w:pPr>
        <w:pStyle w:val="Heading2"/>
      </w:pPr>
      <w:r>
        <w:t>Vitamin-D-Mangel und Frailty-Risiko im Alter: Assoziationen in USA-Daten</w:t>
      </w:r>
    </w:p>
    <w:p>
      <w:r>
        <w:rPr>
          <w:i/>
          <w:color w:val="666666"/>
          <w:sz w:val="18"/>
        </w:rPr>
        <w:t>Zheng J et al.  ·  Aging Male  ·  31.12.2026  ·  PMID 42886648</w:t>
      </w:r>
    </w:p>
    <w:p>
      <w:r>
        <w:t>Querschnittanalyse von 8.064 US-Amerikanern über 40 Jahren, untersucht die Beziehung zwischen Serum-Vitamin-D und Gebrechlichkeit mit einem 49-Item-Frailty-Index.</w:t>
      </w:r>
    </w:p>
    <w:p>
      <w:r>
        <w:rPr>
          <w:b/>
        </w:rPr>
        <w:t xml:space="preserve">Ergebnis: </w:t>
      </w:r>
      <w:r>
        <w:t>Vitamin-D-Mangel (&lt;25 nmol/L) war mit erhöhtem Frailty-Risiko assoziiert (OR 2,15, 95% CI 1,42–3,25), während Insuffizienz nicht signifikant war (OR 1,15, 95% CI 0,95–1,38). Gebrechlichkeitsprävalenz: Mangel 55,9%, Insuffizienz 42,9%, ausreichend 37,2%. U-förmiger Zusammenhang zwischen Vitamin-D und Frailty-Index.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USA-Daten, aber Assoziationsfrage unabhängig von Gesundheitssystem, große bevölkerungsrepräsentative Stichprobe.</w:t>
      </w:r>
    </w:p>
    <w:p>
      <w:r>
        <w:rPr>
          <w:color w:val="5A7D3A"/>
          <w:sz w:val="18"/>
        </w:rPr>
        <w:t>https://pubmed.ncbi.nlm.nih.gov/42886648/</w:t>
      </w:r>
    </w:p>
    <w:p>
      <w:pPr>
        <w:pStyle w:val="Heading2"/>
      </w:pPr>
      <w:r>
        <w:t>Mundgesundheit und Gebrechlichkeit im Alter: Geschlechtsunterschiede</w:t>
      </w:r>
    </w:p>
    <w:p>
      <w:r>
        <w:rPr>
          <w:i/>
          <w:color w:val="666666"/>
          <w:sz w:val="18"/>
        </w:rPr>
        <w:t>Yang JE et al.  ·  PLoS One  ·  16.10.2026  ·  PMID 42886645</w:t>
      </w:r>
    </w:p>
    <w:p>
      <w:r>
        <w:t>Südkoreanische Querschnittstudie mit 3.729 älteren Menschen (≥65 Jahre) untersucht Assoziationen zwischen Mundgesundheit und Frailty-Status (robust, Prä-Frailty, Frailty).</w:t>
      </w:r>
    </w:p>
    <w:p>
      <w:r>
        <w:rPr>
          <w:b/>
        </w:rPr>
        <w:t xml:space="preserve">Ergebnis: </w:t>
      </w:r>
      <w:r>
        <w:t>16% waren gebrechlich, 84% nicht gebrechlich. Zahnlosigkeit ohne Zahnersatz war stärkster Faktor (Frauen: OR 3,76; Männer: OR 2,95). Zahnlosigkeit, Kau-/Schluckstörungen und Zahnschmerzen waren signifikant mit Frailty assoziiert. Geschlechtsspezifische Unterschiede: Zahnempfindlichkeit erhöhte Frailty-Risiko bei Frauen (OR 1,82), senkte es bei Männern (OR 0,85).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Korea, Datenqualität hoch, aber Übertragbarkeit auf Deutschland eingeschränkt durch unterschiedliche Zahnversorgung und Mundgesundheit.</w:t>
      </w:r>
    </w:p>
    <w:p>
      <w:r>
        <w:rPr>
          <w:color w:val="5A7D3A"/>
          <w:sz w:val="18"/>
        </w:rPr>
        <w:t>https://pubmed.ncbi.nlm.nih.gov/42886645/</w:t>
      </w:r>
    </w:p>
    <w:p>
      <w:pPr>
        <w:pStyle w:val="Heading2"/>
      </w:pPr>
      <w:r>
        <w:t>Ernährungsinterventionen bei Mangelernährung, Sarkopenie und Frailty im Alter</w:t>
      </w:r>
    </w:p>
    <w:p>
      <w:r>
        <w:rPr>
          <w:i/>
          <w:color w:val="666666"/>
          <w:sz w:val="18"/>
        </w:rPr>
        <w:t>Khalaf H et al.  ·  Nutrients  ·  27.09.2026  ·  PMID 42884640</w:t>
      </w:r>
    </w:p>
    <w:p>
      <w:r>
        <w:t>Narrative Übersichtsarbeit zur Evidenz für Ernährungsmassnahmen (Food First, Lebensmittelfortifikation, orale Nahrungsergänzungen) bei älteren Menschen und Pflegeheimbewohnern.</w:t>
      </w:r>
    </w:p>
    <w:p>
      <w:r>
        <w:rPr>
          <w:b/>
        </w:rPr>
        <w:t xml:space="preserve">Ergebnis: </w:t>
      </w:r>
      <w:r>
        <w:t>Lebensmittelfortifikation erhöht effektiv Energie- und Proteinaufnahme; orale Nahrungsergänzungen (ONS) verbessern BMI und Alltagsfunktion und senken Hospitalisierungsraten. Multimodale Ansätze (Ernährung plus Bewegung) sind wirksamer; geringe Therapieadhärenz bleibt Barriere. Food-First-Ansatz in Kombination mit ONS zeigt beste Ergebnisse.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UK/Europa-Daten, transferierbar auf deutschsprachige Pflegeheimversorgung.</w:t>
      </w:r>
    </w:p>
    <w:p>
      <w:r>
        <w:rPr>
          <w:color w:val="5A7D3A"/>
          <w:sz w:val="18"/>
        </w:rPr>
        <w:t>https://pubmed.ncbi.nlm.nih.gov/42884640/</w:t>
      </w:r>
    </w:p>
    <w:p>
      <w:pPr>
        <w:pStyle w:val="Heading2"/>
      </w:pPr>
      <w:r>
        <w:t>Hochverarbeitete Lebensmittel und Frailty im Alter: Assoziationen in Südkorea</w:t>
      </w:r>
    </w:p>
    <w:p>
      <w:r>
        <w:rPr>
          <w:i/>
          <w:color w:val="666666"/>
          <w:sz w:val="18"/>
        </w:rPr>
        <w:t>Lee H et al.  ·  Nutrients  ·  23.09.2026  ·  PMID 42884586</w:t>
      </w:r>
    </w:p>
    <w:p>
      <w:r>
        <w:t>Querschnittanalyse von 9.861 südkoreanischen Älteren (≥65 Jahre) untersucht die Beziehung zwischen Anteil hochverarbeiteter Lebensmittel (UPF) an der Gesamtenergieaufnahme und Gebrechlichkeit.</w:t>
      </w:r>
    </w:p>
    <w:p>
      <w:r>
        <w:rPr>
          <w:b/>
        </w:rPr>
        <w:t xml:space="preserve">Ergebnis: </w:t>
      </w:r>
      <w:r>
        <w:t>Höchstes Quartil UPF-Energieanteil zeigte 31% höheres Frailty-Risiko als niedrigstes (OR 1,31, 95% CI 1,08–1,59, p=0,002). Besondere Assoziation mit niedriger körperlicher Aktivität (OR 1,31, 95% CI 1,13–1,51). Linearer Dosis-Wirkungs-Zusammenhang (keine Nicht-Linearität, p=0,8).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Korea, Ernährungsassoziationen sind kulturabhängig und weniger auf Deutschland übertragbar als mediterrane oder nordeuropäische Diätmuster.</w:t>
      </w:r>
    </w:p>
    <w:p>
      <w:r>
        <w:rPr>
          <w:color w:val="5A7D3A"/>
          <w:sz w:val="18"/>
        </w:rPr>
        <w:t>https://pubmed.ncbi.nlm.nih.gov/42884586/</w:t>
      </w:r>
    </w:p>
    <w:p>
      <w:pPr>
        <w:pStyle w:val="Heading2"/>
      </w:pPr>
      <w:r>
        <w:t>Alltagsmessung psychischer Symptome im älteren Alter: Machbarkeit und Prädiktoren</w:t>
      </w:r>
    </w:p>
    <w:p>
      <w:r>
        <w:rPr>
          <w:i/>
          <w:color w:val="666666"/>
          <w:sz w:val="18"/>
        </w:rPr>
        <w:t>Kang J et al.  ·  J Affect Disord  ·  01.01.2027  ·  PMID 42785391</w:t>
      </w:r>
    </w:p>
    <w:p>
      <w:r>
        <w:t>US-amerikanische Studie mit 64 älteren Erwachsenen (Durchschnittsalter 63,4 Jahre; 31 gesund, 33 mit Depression), die zweimal täglich über ~10 Wochen Symptome via Smartphone berichteten.</w:t>
      </w:r>
    </w:p>
    <w:p>
      <w:r>
        <w:rPr>
          <w:b/>
        </w:rPr>
        <w:t xml:space="preserve">Ergebnis: </w:t>
      </w:r>
      <w:r>
        <w:t>Gesamtausfallquote 76% (SD 22,1). Gesunde Teilnehmer zeigten höhere Compliance (81% vs. 71% bei Depression, p=0,04). Schnellere Antwortlatenz sagte höhere Adhärenz voraus. Rasche affektive Schwankungen am Anfang waren Prädiktoren niedriger Adhärenz. EMA ist mit Anpassungen im späteren Alter durchführbar.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USA, Methode unabhängig von Gesundheitssystem, aber Adhärenz-Faktoren in älteren Erwachsenen noch wenig erforscht.</w:t>
      </w:r>
    </w:p>
    <w:p>
      <w:r>
        <w:rPr>
          <w:color w:val="5A7D3A"/>
          <w:sz w:val="18"/>
        </w:rPr>
        <w:t>https://pubmed.ncbi.nlm.nih.gov/42785391/</w:t>
      </w:r>
    </w:p>
    <w:p>
      <w:pPr>
        <w:pStyle w:val="Heading2"/>
      </w:pPr>
      <w:r>
        <w:t>Funktionsfähigkeit am Lebensende: Drei Verlaufsmuster in den letzten Lebensjahren</w:t>
      </w:r>
    </w:p>
    <w:p>
      <w:r>
        <w:rPr>
          <w:i/>
          <w:color w:val="666666"/>
          <w:sz w:val="18"/>
        </w:rPr>
        <w:t>Kyrönlahti S et al.  ·  J Gerontol A Biol Sci Med Sci  ·  06.10.2026  ·  PMID 42720597</w:t>
      </w:r>
    </w:p>
    <w:p>
      <w:r>
        <w:t>Schwedische Längsschnittstudie mit 2.294 älteren Menschen (62% Frauen, Durchschnittsalter 89,8 Jahre), die verfolgte, wie sich Alltagsfähigkeiten (ADL-Einschränkungen) zeitlich vor dem Tod entwickelten.</w:t>
      </w:r>
    </w:p>
    <w:p>
      <w:r>
        <w:rPr>
          <w:b/>
        </w:rPr>
        <w:t xml:space="preserve">Ergebnis: </w:t>
      </w:r>
      <w:r>
        <w:t>53% zeigten durchgehend niedrige ADL-Einschränkungen bis zum Tod, 36% einen flachen Anstieg und 11% einen steilen Anstieg. Frauen, niedriger gebildete Personen und älter Verstorbene hatten häufiger zunehmende Behinderung. Kognitives Defizit war mit steiler Verschlechterung assoziiert. Für die meisten blieb die funktionale Fähigkeit bis 2 Jahre vor dem Tod erhalten.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Schwedische Daten, vergleichbare nordeuropäische Altersstruktur und Versorgungssystem.</w:t>
      </w:r>
    </w:p>
    <w:p>
      <w:r>
        <w:rPr>
          <w:color w:val="5A7D3A"/>
          <w:sz w:val="18"/>
        </w:rPr>
        <w:t>https://pubmed.ncbi.nlm.nih.gov/42720597/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Gesundes Altern und Longevity</dc:title>
  <dc:subject/>
  <dc:creator>Monitor Versorgungsforschung</dc:creator>
  <cp:keywords/>
  <dc:description>generated by python-docx</dc:description>
  <cp:lastModifiedBy/>
  <cp:revision>1</cp:revision>
  <dcterms:created xsi:type="dcterms:W3CDTF">2026-10-17T06:00:00Z</dcterms:created>
  <dcterms:modified xsi:type="dcterms:W3CDTF">2026-10-17T06:00:00Z</dcterms:modified>
  <cp:category/>
</cp:coreProperties>
</file>