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25.10.2026  |  385 Studien  |  longevity.m-vf.de</w:t>
      </w:r>
    </w:p>
    <w:p>
      <w:pPr>
        <w:pStyle w:val="Heading1"/>
      </w:pPr>
      <w:r>
        <w:t>Aufgenommen am 25.10.2026</w:t>
      </w:r>
    </w:p>
    <w:p>
      <w:pPr>
        <w:pStyle w:val="Heading2"/>
      </w:pPr>
      <w:r>
        <w:t>Frailty-Screening mit Prävention senkt Pflegequoten bei Älteren</w:t>
      </w:r>
    </w:p>
    <w:p>
      <w:r>
        <w:rPr>
          <w:i/>
          <w:color w:val="666666"/>
          <w:sz w:val="18"/>
        </w:rPr>
        <w:t>Soma S et al.  ·  Age Ageing  ·  03.08.2026  ·  PMID 42920343</w:t>
      </w:r>
    </w:p>
    <w:p>
      <w:r>
        <w:t>Untersucht wurde, ob ein kommunales Programm aus Frailty-Screening und Gesundheitsberatung die Quote der Pflegebedürftigkeit bei Menschen über 75 Jahren reduziert.</w:t>
      </w:r>
    </w:p>
    <w:p>
      <w:r>
        <w:rPr>
          <w:b/>
        </w:rPr>
        <w:t xml:space="preserve">Ergebnis: </w:t>
      </w:r>
      <w:r>
        <w:t>Nach Einführung des Programms nahm die altersstandardisierte Pflegequote bei den über 75-Jährigen deutlich ab: Der Trend sank um 0,974 pro Jahr (95 %-KI 0,963–0,983), sodass die Quote am Ende um 6,8 % unter der zu erwartenden Fortsetzung lag (95 %-KI 4,4–10,0 %). Dies zeigt den Nutzen von Frailty-Screening in der bevölkerungsgestützten Prävention.</w:t>
      </w:r>
    </w:p>
    <w:p>
      <w:r>
        <w:rPr>
          <w:b/>
          <w:sz w:val="19"/>
        </w:rPr>
        <w:t xml:space="preserve">Übertragbarkeit: </w:t>
      </w:r>
      <w:r>
        <w:rPr>
          <w:sz w:val="19"/>
        </w:rPr>
        <w:t>Japan, vergleichbare Langzeitpflegeversicherung; Ergebnis auf Alterungsgesellschaften übertragbar</w:t>
      </w:r>
    </w:p>
    <w:p>
      <w:r>
        <w:rPr>
          <w:color w:val="5A7D3A"/>
          <w:sz w:val="18"/>
        </w:rPr>
        <w:t>https://pubmed.ncbi.nlm.nih.gov/42920343/</w:t>
      </w:r>
    </w:p>
    <w:p>
      <w:pPr>
        <w:pStyle w:val="Heading2"/>
      </w:pPr>
      <w:r>
        <w:t>Messbare Indikatoren für Aging-in-Place bei älteren Menschen mit Frailty</w:t>
      </w:r>
    </w:p>
    <w:p>
      <w:r>
        <w:rPr>
          <w:i/>
          <w:color w:val="666666"/>
          <w:sz w:val="18"/>
        </w:rPr>
        <w:t>Dlima SD et al.  ·  BMC Geriatr  ·  28.07.2026  ·  PMID 42919131</w:t>
      </w:r>
    </w:p>
    <w:p>
      <w:r>
        <w:t>Experten-Delphi-Befragung zur Identifizierung von routinemäßig messbaren Indikatoren für gelungenes Altern zu Hause bei älteren Menschen mit oder Risiko für Frailty.</w:t>
      </w:r>
    </w:p>
    <w:p>
      <w:r>
        <w:rPr>
          <w:b/>
        </w:rPr>
        <w:t xml:space="preserve">Ergebnis: </w:t>
      </w:r>
      <w:r>
        <w:t>Nur vier Indikatoren erreichten Konsens für Wichtigkeit und praktische Machbarkeit: körperliche Leistung/Mobilität, Multimorbidität, Sinnesfunktionen und Druckgeschwüre. 27 weitere Indikatoren waren sehr wichtig, aber schwer routinemäßig zu erfassen. Technologie-Indikatoren waren weder wichtig noch machbar; Laien-Experten betonten jedoch digitale Kompetenz.</w:t>
      </w:r>
    </w:p>
    <w:p>
      <w:r>
        <w:rPr>
          <w:b/>
          <w:sz w:val="19"/>
        </w:rPr>
        <w:t xml:space="preserve">Übertragbarkeit: </w:t>
      </w:r>
      <w:r>
        <w:rPr>
          <w:sz w:val="19"/>
        </w:rPr>
        <w:t>UK (Manchester); Geriatrisches Assessment und Indikatorauswahl sind auf deutsches Versorgungssystem übertragbar</w:t>
      </w:r>
    </w:p>
    <w:p>
      <w:r>
        <w:rPr>
          <w:color w:val="5A7D3A"/>
          <w:sz w:val="18"/>
        </w:rPr>
        <w:t>https://pubmed.ncbi.nlm.nih.gov/42919131/</w:t>
      </w:r>
    </w:p>
    <w:p>
      <w:pPr>
        <w:pStyle w:val="Heading2"/>
      </w:pPr>
      <w:r>
        <w:t>Gesundheitsausgaben älterer Menschen treiben Haushalte in Armut: Versicherungslücken in Indien</w:t>
      </w:r>
    </w:p>
    <w:p>
      <w:r>
        <w:rPr>
          <w:i/>
          <w:color w:val="666666"/>
          <w:sz w:val="18"/>
        </w:rPr>
        <w:t>Soni N et al.  ·  Front Public Health  ·  07.10.2026  ·  PMID 42908591</w:t>
      </w:r>
    </w:p>
    <w:p>
      <w:r>
        <w:t>Untersucht wurde, wie Eigenleistungen für Gesundheit Haushalte mit älteren Menschen in Indien in Armut treiben und welche Faktoren dieses Risiko verschärfen oder puffern.</w:t>
      </w:r>
    </w:p>
    <w:p>
      <w:r>
        <w:rPr>
          <w:b/>
        </w:rPr>
        <w:t xml:space="preserve">Ergebnis: </w:t>
      </w:r>
      <w:r>
        <w:t>Längere Krankenhausaufenthalte, größere Haushalte, Kaste und private Gesundheitsversorgung erhöhen die Armutsquote erheblich. Krankenversicherung und Bildung reduzieren das Risiko. Trotz öffentlicher Programme ist die Abdeckung unzureichend und ungleich, weshalb ältere Menschen finanziell ungeschützt bleiben.</w:t>
      </w:r>
    </w:p>
    <w:p>
      <w:r>
        <w:rPr>
          <w:b/>
          <w:sz w:val="19"/>
        </w:rPr>
        <w:t xml:space="preserve">Übertragbarkeit: </w:t>
      </w:r>
      <w:r>
        <w:rPr>
          <w:sz w:val="19"/>
        </w:rPr>
        <w:t>Indien; zeigt Versorgungslücken in Ländern ohne Vollversicherung; für Deutschland relevant als Warnung vor Privatisierung von Altenversorgung</w:t>
      </w:r>
    </w:p>
    <w:p>
      <w:r>
        <w:rPr>
          <w:color w:val="5A7D3A"/>
          <w:sz w:val="18"/>
        </w:rPr>
        <w:t>https://pubmed.ncbi.nlm.nih.gov/42908591/</w:t>
      </w:r>
    </w:p>
    <w:p>
      <w:pPr>
        <w:pStyle w:val="Heading2"/>
      </w:pPr>
      <w:r>
        <w:t>Geriatrische Versorgung: Risikogeschichtetes Drei-Ebenen-Modell statt Checkliste</w:t>
      </w:r>
    </w:p>
    <w:p>
      <w:r>
        <w:rPr>
          <w:i/>
          <w:color w:val="666666"/>
          <w:sz w:val="18"/>
        </w:rPr>
        <w:t>Amir O et al.  ·  NEJM Catal Innov Care Deliv  ·  21.10.2026  ·  PMID 42904679</w:t>
      </w:r>
    </w:p>
    <w:p>
      <w:r>
        <w:t>Beschreibt ein risikostratifiziertes Versorgungsmodell für ältere Klinikpatienten, das die 4Ms (Mobility, Mentation, Medication, What Matters) allen Über-65-Jährigen anbietet und dann Hochrisiko-Patienten zu spezialisierten geriatrischen Teams leitet.</w:t>
      </w:r>
    </w:p>
    <w:p>
      <w:r>
        <w:rPr>
          <w:b/>
        </w:rPr>
        <w:t xml:space="preserve">Ergebnis: </w:t>
      </w:r>
      <w:r>
        <w:t>Das Modell unterscheidet: (1) universelle 4Ms-Prozesse für alle älteren Patienten, (2) spezialisierte Protokolle (z. B. Hüftfraktur) durch Generalisten mit Geriater-Aufsicht, (3) intensive Comanagement-Modelle durch spezialisierte geriatrische Teams. Dies vermeidet Ressourcen-Ineffizienz und verbessert die Ergebnisse durch angepasste Intensität.</w:t>
      </w:r>
    </w:p>
    <w:p>
      <w:r>
        <w:rPr>
          <w:b/>
          <w:sz w:val="19"/>
        </w:rPr>
        <w:t xml:space="preserve">Übertragbarkeit: </w:t>
      </w:r>
      <w:r>
        <w:rPr>
          <w:sz w:val="19"/>
        </w:rPr>
        <w:t>USA, CMS-System; Risikostratifizierung und Strukturmodell sind auf deutsches Klinikmanagement übertragbar</w:t>
      </w:r>
    </w:p>
    <w:p>
      <w:r>
        <w:rPr>
          <w:color w:val="5A7D3A"/>
          <w:sz w:val="18"/>
        </w:rPr>
        <w:t>https://pubmed.ncbi.nlm.nih.gov/42904679/</w:t>
      </w:r>
    </w:p>
    <w:p>
      <w:pPr>
        <w:pStyle w:val="Heading2"/>
      </w:pPr>
      <w:r>
        <w:t>Mobile interprofessionelle 4Ms-Versorgung für ländliche ältere Menschen</w:t>
      </w:r>
    </w:p>
    <w:p>
      <w:r>
        <w:rPr>
          <w:i/>
          <w:color w:val="666666"/>
          <w:sz w:val="18"/>
        </w:rPr>
        <w:t>Wick K et al.  ·  NEJM Catal Innov Care Deliv  ·  21.10.2026  ·  PMID 42904676</w:t>
      </w:r>
    </w:p>
    <w:p>
      <w:r>
        <w:t>Beschreibt ein mobiles interprofessionelles Klinik-Modell (MobileMOC), das die 4Ms in ländlichen Regionen über Klinikbesuche, Senior-Zentren und Lehre erbringt.</w:t>
      </w:r>
    </w:p>
    <w:p>
      <w:r>
        <w:rPr>
          <w:b/>
        </w:rPr>
        <w:t xml:space="preserve">Ergebnis: </w:t>
      </w:r>
      <w:r>
        <w:t>In den ersten 6 Monaten 2026 wurden 182 Patientenkontakte erbracht, 129 Patienten (45 % älter als 65 Jahre) erreicht, 1.579 Screenings durchgeführt, 119 Fachüberweisungen generiert und 710 Stunden klinische Lehre geleistet. Das Modell zeigt Machbarkeit, offenbart aber Messlücken und Finanzierungsgaps.</w:t>
      </w:r>
    </w:p>
    <w:p>
      <w:r>
        <w:rPr>
          <w:b/>
          <w:sz w:val="19"/>
        </w:rPr>
        <w:t xml:space="preserve">Übertragbarkeit: </w:t>
      </w:r>
      <w:r>
        <w:rPr>
          <w:sz w:val="19"/>
        </w:rPr>
        <w:t>USA; Struktur und Interprofessionalität sind auf deutsche ländliche Regionen mit Fachkräftemangel übertragbar</w:t>
      </w:r>
    </w:p>
    <w:p>
      <w:r>
        <w:rPr>
          <w:color w:val="5A7D3A"/>
          <w:sz w:val="18"/>
        </w:rPr>
        <w:t>https://pubmed.ncbi.nlm.nih.gov/42904676/</w:t>
      </w:r>
    </w:p>
    <w:p>
      <w:pPr>
        <w:pStyle w:val="Heading2"/>
      </w:pPr>
      <w:r>
        <w:t>Hundertjährige in Genua: Kohortenstudie zu kognitiver Gesundheit im höchsten Alter</w:t>
      </w:r>
    </w:p>
    <w:p>
      <w:r>
        <w:rPr>
          <w:i/>
          <w:color w:val="666666"/>
          <w:sz w:val="18"/>
        </w:rPr>
        <w:t>Di Maria E et al.  ·  Exp Gerontol  ·  01.10.2026  ·  PMID 42822552</w:t>
      </w:r>
    </w:p>
    <w:p>
      <w:r>
        <w:t>Italienische multidisziplinäre Kohorte von 88 Hundertjährigen (Alter 99–108 Jahre) zur Untersuchung von Schutzfaktoren für kognitive Funktion durch Neuropsychologie und Genomik.</w:t>
      </w:r>
    </w:p>
    <w:p>
      <w:r>
        <w:rPr>
          <w:b/>
        </w:rPr>
        <w:t xml:space="preserve">Ergebnis: </w:t>
      </w:r>
      <w:r>
        <w:t>Von 84 Hundertjährigen mit erfasstem kognitiven Status zeigte sich großes Spektrum: CDR 0–5 (Median 1), MMSE 3–30 (Median 24). 32 Patienten wurden nachbeobachtet, DNA von 67 gelagert. Protokoll ist praktikabel und wird akzeptiert. Erkenntnisse werden längerfristig genomische Varianten für kognitive Variabilität im hohen Alter aufklären.</w:t>
      </w:r>
    </w:p>
    <w:p>
      <w:r>
        <w:rPr>
          <w:b/>
          <w:sz w:val="19"/>
        </w:rPr>
        <w:t xml:space="preserve">Übertragbarkeit: </w:t>
      </w:r>
      <w:r>
        <w:rPr>
          <w:sz w:val="19"/>
        </w:rPr>
        <w:t>Italien, europäische Langzeitpflege; italienisches Alterssystem und High-Prevalence-Hundertjähriger machen Übertrag auf Deutschland begrenzt, aber kognitives Screening relevant</w:t>
      </w:r>
    </w:p>
    <w:p>
      <w:r>
        <w:rPr>
          <w:color w:val="5A7D3A"/>
          <w:sz w:val="18"/>
        </w:rPr>
        <w:t>https://pubmed.ncbi.nlm.nih.gov/42822552/</w:t>
      </w:r>
    </w:p>
    <w:p>
      <w:pPr>
        <w:pStyle w:val="Heading1"/>
      </w:pPr>
      <w:r>
        <w:t>Aufgenommen am 24.10.2026</w:t>
      </w:r>
    </w:p>
    <w:p>
      <w:pPr>
        <w:pStyle w:val="Heading2"/>
      </w:pPr>
      <w:r>
        <w:t>Frailty-Schweregrad bestimmt Überleben und Arztkostenbelastung bei älteren Menschen</w:t>
      </w:r>
    </w:p>
    <w:p>
      <w:r>
        <w:rPr>
          <w:i/>
          <w:color w:val="666666"/>
          <w:sz w:val="18"/>
        </w:rPr>
        <w:t>Pulok MH et al.  ·  Age Ageing  ·  03.08.2026  ·  PMID 42910912</w:t>
      </w:r>
    </w:p>
    <w:p>
      <w:r>
        <w:t>Retrospektive Kohortenstudie an 944 älteren Notaufnahmepatienten (Median 80,8 Jahre) zur Vorhersage von Kosten und Überleben anhand des Clinical Frailty Scale.</w:t>
      </w:r>
    </w:p>
    <w:p>
      <w:r>
        <w:rPr>
          <w:b/>
        </w:rPr>
        <w:t xml:space="preserve">Ergebnis: </w:t>
      </w:r>
      <w:r>
        <w:t>Schwer gebrechliche Patienten hatten über ein Jahr 704 CAD weniger Arztkosen als unkomplizierte – hauptsächlich durch kürzeres Überleben bedingt (41,6% starben innerhalb eines Jahres). Während der Lebenszeit fielen für alle Gebrechlichkeitsgruppen höhere Kosten an als für Nicht-Gebrechliche, was auf intensivere Nutzung bei kürzerer Dauer hindeutet. Der Frailty-Status war ein besserer Kostenprädiktor als Alter allein.</w:t>
      </w:r>
    </w:p>
    <w:p>
      <w:r>
        <w:rPr>
          <w:b/>
          <w:sz w:val="19"/>
        </w:rPr>
        <w:t xml:space="preserve">Übertragbarkeit: </w:t>
      </w:r>
      <w:r>
        <w:rPr>
          <w:sz w:val="19"/>
        </w:rPr>
        <w:t>Kanada, ähnliche Sozialversicherung und Gesundheitsfinanzierung wie Deutschland.</w:t>
      </w:r>
    </w:p>
    <w:p>
      <w:r>
        <w:rPr>
          <w:color w:val="5A7D3A"/>
          <w:sz w:val="18"/>
        </w:rPr>
        <w:t>https://pubmed.ncbi.nlm.nih.gov/42910912/</w:t>
      </w:r>
    </w:p>
    <w:p>
      <w:pPr>
        <w:pStyle w:val="Heading2"/>
      </w:pPr>
      <w:r>
        <w:t>Aktives Altern durch Betreuung und Freiwilligenarbeit: Wer profitiert, wer leidet?</w:t>
      </w:r>
    </w:p>
    <w:p>
      <w:r>
        <w:rPr>
          <w:i/>
          <w:color w:val="666666"/>
          <w:sz w:val="18"/>
        </w:rPr>
        <w:t>Cretazzo F et al.  ·  Front Public Health  ·  07.10.2026  ·  PMID 42909995</w:t>
      </w:r>
    </w:p>
    <w:p>
      <w:r>
        <w:t>Längsschnittstudie (SHARE Wellen 7–9) an älteren Europäern, die Übergänge zwischen Betreuungs- und Freiwilligentätigkeit in Bezug auf Gesundheit und psychisches Wohlbefinden verfolgten.</w:t>
      </w:r>
    </w:p>
    <w:p>
      <w:r>
        <w:rPr>
          <w:b/>
        </w:rPr>
        <w:t xml:space="preserve">Ergebnis: </w:t>
      </w:r>
      <w:r>
        <w:t>Übergänge von reiner Betreuung zu Doppelrolle („Super-Helper</w:t>
      </w:r>
    </w:p>
    <w:p>
      <w:r>
        <w:rPr>
          <w:b/>
          <w:sz w:val="19"/>
        </w:rPr>
        <w:t xml:space="preserve">Übertragbarkeit: </w:t>
      </w:r>
      <w:r>
        <w:rPr>
          <w:sz w:val="19"/>
        </w:rPr>
        <w:t>Europa, SHARE-Daten aus sozialversicherungsgestützten Systemen.</w:t>
      </w:r>
    </w:p>
    <w:p>
      <w:r>
        <w:rPr>
          <w:color w:val="5A7D3A"/>
          <w:sz w:val="18"/>
        </w:rPr>
        <w:t>https://pubmed.ncbi.nlm.nih.gov/42909995/</w:t>
      </w:r>
    </w:p>
    <w:p>
      <w:pPr>
        <w:pStyle w:val="Heading2"/>
      </w:pPr>
      <w:r>
        <w:t>Biologische Gebrechlichkeit und Chemotherapiedosis bestimmen Überleben bei älteren Darmkrebspatienten</w:t>
      </w:r>
    </w:p>
    <w:p>
      <w:r>
        <w:rPr>
          <w:i/>
          <w:color w:val="666666"/>
          <w:sz w:val="18"/>
        </w:rPr>
        <w:t>Ağaoğlu AB et al.  ·  Cancer Chemother Pharmacol  ·  23.10.2026  ·  PMID 42909624</w:t>
      </w:r>
    </w:p>
    <w:p>
      <w:r>
        <w:t>Retrospektive Studie an 94 Patienten ≥65 Jahren mit adjuvanter Chemotherapie nach Darmkrebsoperation zu Frailty-Index und Dosisintensität als Überlebensprädiktoren.</w:t>
      </w:r>
    </w:p>
    <w:p>
      <w:r>
        <w:rPr>
          <w:b/>
        </w:rPr>
        <w:t xml:space="preserve">Ergebnis: </w:t>
      </w:r>
      <w:r>
        <w:t>Laborgestützter Frailty-Index (FI-Lab) ≥0,25 sagte unabhängig schlechteres Gesamtüberleben vorher (Hazard Ratio 3,73, p=0,023) und krankheitsfreies Überleben (HR 2,81, p=0,029). Patienten ohne optimale Anfangsdosis hatten deutlich schlechtere Ergebnisse (OS HR 14,41; p=0,011). G8, mFI-5 und Charlson-Index waren nicht unabhängig prädiktiv.</w:t>
      </w:r>
    </w:p>
    <w:p>
      <w:r>
        <w:rPr>
          <w:b/>
          <w:sz w:val="19"/>
        </w:rPr>
        <w:t xml:space="preserve">Übertragbarkeit: </w:t>
      </w:r>
      <w:r>
        <w:rPr>
          <w:sz w:val="19"/>
        </w:rPr>
        <w:t>Türkei; biologische Reserve als Prädiktor ist universell, Dosisintensität und Messmethoden sind aber systemabhängig.</w:t>
      </w:r>
    </w:p>
    <w:p>
      <w:r>
        <w:rPr>
          <w:color w:val="5A7D3A"/>
          <w:sz w:val="18"/>
        </w:rPr>
        <w:t>https://pubmed.ncbi.nlm.nih.gov/42909624/</w:t>
      </w:r>
    </w:p>
    <w:p>
      <w:pPr>
        <w:pStyle w:val="Heading2"/>
      </w:pPr>
      <w:r>
        <w:t>Geriatrische Atemwegsmedizin: Künstliche Intelligenz und maßgeschneiderte Versorgung polymorber älterer Patienten</w:t>
      </w:r>
    </w:p>
    <w:p>
      <w:r>
        <w:rPr>
          <w:i/>
          <w:color w:val="666666"/>
          <w:sz w:val="18"/>
        </w:rPr>
        <w:t>Sorino C et al.  ·  Eur Respir Rev  ·  21.10.2026  ·  PMID 42906940</w:t>
      </w:r>
    </w:p>
    <w:p>
      <w:r>
        <w:t>Fachnachricht italienischer und europäischer Pneumologen zu klinischen Schnittstellen von Altern, Immunoseneszenz, Gebrechlichkeit und Lungenerkrankung im Alter mit Fokus auf praktische Versorgungsmodelle.</w:t>
      </w:r>
    </w:p>
    <w:p>
      <w:r>
        <w:rPr>
          <w:b/>
        </w:rPr>
        <w:t xml:space="preserve">Ergebnis: </w:t>
      </w:r>
      <w:r>
        <w:t>Kernbefunde: pneumonie-assoziierte Sarkopenie als Motor für Rezidivinfektion und funktionellen Niedergang; nicht-invasive Beatmungswahl muss Delirium-Risiko gegen Wirksamkeit abwägen; 20-valenter Pneumokokken- und RSV-Impfstoff als neue Präventionsstrategie; gerätegestützte Inhalationstherapie angepasst an inspiratorische Kraft statt nur Pharmakologie; Biologika (Dupilumab, Mepolizumab) ermöglichen Steroid-Einsparung; 4Ms-Modell (Mentation, Medication, Mobility, Morbidities) integriert mit KI als strukturierte Versorgung.</w:t>
      </w:r>
    </w:p>
    <w:p>
      <w:r>
        <w:rPr>
          <w:b/>
          <w:sz w:val="19"/>
        </w:rPr>
        <w:t xml:space="preserve">Übertragbarkeit: </w:t>
      </w:r>
      <w:r>
        <w:rPr>
          <w:sz w:val="19"/>
        </w:rPr>
        <w:t>Italien und Europa, Sozialversicherungssysteme; praxisorientiert für deutschsprachige Lungenkliniken.</w:t>
      </w:r>
    </w:p>
    <w:p>
      <w:r>
        <w:rPr>
          <w:color w:val="5A7D3A"/>
          <w:sz w:val="18"/>
        </w:rPr>
        <w:t>https://pubmed.ncbi.nlm.nih.gov/42906940/</w:t>
      </w:r>
    </w:p>
    <w:p>
      <w:pPr>
        <w:pStyle w:val="Heading2"/>
      </w:pPr>
      <w:r>
        <w:t>Flächendeckende Umsetzung der Age-Friendly 4Ms in 26 Krankenhäusern</w:t>
      </w:r>
    </w:p>
    <w:p>
      <w:r>
        <w:rPr>
          <w:i/>
          <w:color w:val="666666"/>
          <w:sz w:val="18"/>
        </w:rPr>
        <w:t>Ryer S et al.  ·  NEJM Catal Innov Care Deliv  ·  21.10.2026  ·  PMID 42904678</w:t>
      </w:r>
    </w:p>
    <w:p>
      <w:r>
        <w:t>Implementierungsstudie an 26 Krankenhäusern im Mittleren Westen (Wisconsin, Illinois) zur standardisierten Umsetzung der 4Ms (What Matters, Medication, Mentation, Mobility) mit Governance-Struktur, EHR-Integration und Qualitätsmessungen.</w:t>
      </w:r>
    </w:p>
    <w:p>
      <w:r>
        <w:rPr>
          <w:b/>
        </w:rPr>
        <w:t xml:space="preserve">Ergebnis: </w:t>
      </w:r>
      <w:r>
        <w:t>Implementierungsreife bei frühen Kohorten in geriatrischen stationären Einrichtungen Median 0,66, nicht-geriatrischen stationär 0,63, geriatrischen ambulant 0,47, nicht-geriatrischen ambulant 0,36 (Skala 0–1). Dokumentation What Matters und Kognitives Screening erheblich verbessert, Deliriumrate und Liegedauer reduziert. Hohe Variabilität zwischen Organisationen. Herausforderungen: Dokumentationslast, variable Adoption, konkurrierende Prioritäten.</w:t>
      </w:r>
    </w:p>
    <w:p>
      <w:r>
        <w:rPr>
          <w:b/>
          <w:sz w:val="19"/>
        </w:rPr>
        <w:t xml:space="preserve">Übertragbarkeit: </w:t>
      </w:r>
      <w:r>
        <w:rPr>
          <w:sz w:val="19"/>
        </w:rPr>
        <w:t>USA, aber Implementierungsmethode und Messrahmen sind auf deutsche Krankenhäuser übertragbar.</w:t>
      </w:r>
    </w:p>
    <w:p>
      <w:r>
        <w:rPr>
          <w:color w:val="5A7D3A"/>
          <w:sz w:val="18"/>
        </w:rPr>
        <w:t>https://pubmed.ncbi.nlm.nih.gov/42904678/</w:t>
      </w:r>
    </w:p>
    <w:p>
      <w:pPr>
        <w:pStyle w:val="Heading2"/>
      </w:pPr>
      <w:r>
        <w:t>Age-Friendly 4Ms in Sicherheitsnetzklnik: Implementierung bei älteren vulnerable Patienten</w:t>
      </w:r>
    </w:p>
    <w:p>
      <w:r>
        <w:rPr>
          <w:i/>
          <w:color w:val="666666"/>
          <w:sz w:val="18"/>
        </w:rPr>
        <w:t>Ohuabunwa UK et al.  ·  NEJM Catal Innov Care Deliv  ·  21.10.2026  ·  PMID 42904677</w:t>
      </w:r>
    </w:p>
    <w:p>
      <w:r>
        <w:t>Implementierungsstudie der 4Ms-Rahmenwerk (What Matters, Medication, Mentation, Mobility) plus Malnutrition und Übergangspflege in Safety-Net-Klinik mit 3427 älteren Patienten (79,3 Jahre, 64% Afroamerikaner).</w:t>
      </w:r>
    </w:p>
    <w:p>
      <w:r>
        <w:rPr>
          <w:b/>
        </w:rPr>
        <w:t xml:space="preserve">Ergebnis: </w:t>
      </w:r>
      <w:r>
        <w:t>Über zwei Jahre (März 2024–März 2026) erreichte die AFHS-Implementierung 100% Einhaltung bei 5 von 14 Protokollen, &gt;90% bei 5 weiteren. Was Matters-Dokumentation 74%, Delirium-Screening 98%, Funktionskapazitätsbewertung 96%. Assoziation mit Deliriumrate-Reduktion und verkürzter Krankenhausliegedauer.</w:t>
      </w:r>
    </w:p>
    <w:p>
      <w:r>
        <w:rPr>
          <w:b/>
          <w:sz w:val="19"/>
        </w:rPr>
        <w:t xml:space="preserve">Übertragbarkeit: </w:t>
      </w:r>
      <w:r>
        <w:rPr>
          <w:sz w:val="19"/>
        </w:rPr>
        <w:t>USA-Sicherheitsnetzkontext, aber 4Ms-Framework und Messmethoden sind übertragbar.</w:t>
      </w:r>
    </w:p>
    <w:p>
      <w:r>
        <w:rPr>
          <w:color w:val="5A7D3A"/>
          <w:sz w:val="18"/>
        </w:rPr>
        <w:t>https://pubmed.ncbi.nlm.nih.gov/42904677/</w:t>
      </w:r>
    </w:p>
    <w:p>
      <w:pPr>
        <w:pStyle w:val="Heading1"/>
      </w:pPr>
      <w:r>
        <w:t>Aufgenommen am 23.10.2026</w:t>
      </w:r>
    </w:p>
    <w:p>
      <w:pPr>
        <w:pStyle w:val="Heading2"/>
      </w:pPr>
      <w:r>
        <w:t>Interprofessionelle Schulung und Workflow verbessern geriatrisches Screening in Hausarztpraxen</w:t>
      </w:r>
    </w:p>
    <w:p>
      <w:r>
        <w:rPr>
          <w:i/>
          <w:color w:val="666666"/>
          <w:sz w:val="18"/>
        </w:rPr>
        <w:t>Litzelman DK et al.  ·  BMC Geriatr  ·  23.07.2026  ·  PMID 42907743</w:t>
      </w:r>
    </w:p>
    <w:p>
      <w:r>
        <w:t>US-amerikanische Studie mit 56 Hausärzten, 180 Assistenzärzten und 8818 älteren Patienten an acht Primärversorgungsstellen evaluierte ein Schulungs- und Systeminterventionsprogramm basierend auf dem Age-Friendly 4Ms-Rahmenwerk.</w:t>
      </w:r>
    </w:p>
    <w:p>
      <w:r>
        <w:rPr>
          <w:b/>
        </w:rPr>
        <w:t xml:space="preserve">Ergebnis: </w:t>
      </w:r>
      <w:r>
        <w:t>Nach Intervention verbesserten sich Screening-Raten für Demenz (OR 1,27, 95%-KI 0,98–1,63) und Sturzrisiko (OR 1,40, 95%-KI 1,00–1,95), mit Sturzrisiko-Screening zeigend die stärksten Verbesserungen (+0,64% pro Monat, p&lt;0,001). Kliniken mit stärkerer Systemintegration zeigten die robustesten Verbesserungen; Opioid-Screening und Advance-Care-Planning-Dokumentation nahmen ab.</w:t>
      </w:r>
    </w:p>
    <w:p>
      <w:r>
        <w:rPr>
          <w:b/>
          <w:sz w:val="19"/>
        </w:rPr>
        <w:t xml:space="preserve">Übertragbarkeit: </w:t>
      </w:r>
      <w:r>
        <w:rPr>
          <w:sz w:val="19"/>
        </w:rPr>
        <w:t>USA, Primärversorgung; Methoden auf deutsches Praxissystem übertragbar, aber Organisationsstruktur unterscheidet sich</w:t>
      </w:r>
    </w:p>
    <w:p>
      <w:r>
        <w:rPr>
          <w:color w:val="5A7D3A"/>
          <w:sz w:val="18"/>
        </w:rPr>
        <w:t>https://pubmed.ncbi.nlm.nih.gov/42907743/</w:t>
      </w:r>
    </w:p>
    <w:p>
      <w:pPr>
        <w:pStyle w:val="Heading2"/>
      </w:pPr>
      <w:r>
        <w:t>COVID-19 und Opioide kürzten Lebenserwartung in Kanada um 0,68 Jahre</w:t>
      </w:r>
    </w:p>
    <w:p>
      <w:r>
        <w:rPr>
          <w:i/>
          <w:color w:val="666666"/>
          <w:sz w:val="18"/>
        </w:rPr>
        <w:t>Sirag A et al.  ·  Health Rep  ·  21.10.2026  ·  PMID 42905875</w:t>
      </w:r>
    </w:p>
    <w:p>
      <w:r>
        <w:t>Kanadische Vital-Statistik-Studie verglich Sterblichkeits-Todesursachen-Stiftung zwischen 2017–2019 und 2020–2022 mittels Arriaga-Dekomposition, um die Beiträge einzelner Todesursachen zum Rückgang der Lebenserwartung bei der Geburt zu quantifizieren.</w:t>
      </w:r>
    </w:p>
    <w:p>
      <w:r>
        <w:rPr>
          <w:b/>
        </w:rPr>
        <w:t xml:space="preserve">Ergebnis: </w:t>
      </w:r>
      <w:r>
        <w:t>COVID-19 war der größte einzelne Beitrag zum Rückgang der Lebenserwartung bei der Geburt in Kanada (–0,46 Jahre für beide Geschlechter). Opioid-bedingte Todesfälle trugen –0,22 Jahre bei, während Krebserkrankungen einen geringen Anstieg (+0,17 Jahre) verursachten. Gesamtrückgang etwa 0,68 Jahre, hauptsächlich durch pandemic-direkte und indirekte Effekte.</w:t>
      </w:r>
    </w:p>
    <w:p>
      <w:r>
        <w:rPr>
          <w:b/>
          <w:sz w:val="19"/>
        </w:rPr>
        <w:t xml:space="preserve">Übertragbarkeit: </w:t>
      </w:r>
      <w:r>
        <w:rPr>
          <w:sz w:val="19"/>
        </w:rPr>
        <w:t>Kanada, vergleichbare Sozialversicherung und Lebenserwartung wie Deutschland; Methode und Prioritäten übertragbar</w:t>
      </w:r>
    </w:p>
    <w:p>
      <w:r>
        <w:rPr>
          <w:color w:val="5A7D3A"/>
          <w:sz w:val="18"/>
        </w:rPr>
        <w:t>https://pubmed.ncbi.nlm.nih.gov/42905875/</w:t>
      </w:r>
    </w:p>
    <w:p>
      <w:pPr>
        <w:pStyle w:val="Heading2"/>
      </w:pPr>
      <w:r>
        <w:t>Pflanzenbasierte Ernährung senkt Frailty-Risiko bei älteren Erwachsenen</w:t>
      </w:r>
    </w:p>
    <w:p>
      <w:r>
        <w:rPr>
          <w:i/>
          <w:color w:val="666666"/>
          <w:sz w:val="18"/>
        </w:rPr>
        <w:t>Lin J et al.  ·  Age Ageing  ·  03.08.2026  ·  PMID 42905723</w:t>
      </w:r>
    </w:p>
    <w:p>
      <w:r>
        <w:t>Studie mit 8628 älteren Erwachsenen aus drei Kohorten (CLHLS, HRS, ELSA) untersuchte die Assoziation verschiedener pflanzlicher Ernährungsmuster mit Frailty mittels Mundlak-Dekomposition.</w:t>
      </w:r>
    </w:p>
    <w:p>
      <w:r>
        <w:rPr>
          <w:b/>
        </w:rPr>
        <w:t xml:space="preserve">Ergebnis: </w:t>
      </w:r>
      <w:r>
        <w:t>Höhere Gesamtscores für pflanzenbasierte Diät waren mit niedrigerem Frailty-Risiko assoziiert (ORs 0,71–0,80 über alle drei Kohorten), während ungesunde pflanzliche Muster mit erhöhtem Risiko verbunden waren (ORs 1,24–1,41). Nüsse, Gemüse und Pflanzenöle zeigten überwiegend inverse Assoziationen mit mehreren Frailty-Domänen.</w:t>
      </w:r>
    </w:p>
    <w:p>
      <w:r>
        <w:rPr>
          <w:b/>
          <w:sz w:val="19"/>
        </w:rPr>
        <w:t xml:space="preserve">Übertragbarkeit: </w:t>
      </w:r>
      <w:r>
        <w:rPr>
          <w:sz w:val="19"/>
        </w:rPr>
        <w:t>UK, China, internationale Kohorten; Ernährungsmessungen und Frailty-Definition übertragbar auf deutsches Gesundheitssystem</w:t>
      </w:r>
    </w:p>
    <w:p>
      <w:r>
        <w:rPr>
          <w:color w:val="5A7D3A"/>
          <w:sz w:val="18"/>
        </w:rPr>
        <w:t>https://pubmed.ncbi.nlm.nih.gov/42905723/</w:t>
      </w:r>
    </w:p>
    <w:p>
      <w:pPr>
        <w:pStyle w:val="Heading2"/>
      </w:pPr>
      <w:r>
        <w:t>Multimorbidität kostet weltweit älteren Menschen 363 Milliarden Dollar pro Jahr</w:t>
      </w:r>
    </w:p>
    <w:p>
      <w:r>
        <w:rPr>
          <w:i/>
          <w:color w:val="666666"/>
          <w:sz w:val="18"/>
        </w:rPr>
        <w:t>Ji W et al.  ·  JAMA Netw Open  ·  01.10.2026  ·  PMID 42905709</w:t>
      </w:r>
    </w:p>
    <w:p>
      <w:r>
        <w:t>Globale ökonomische Evaluationsstudie mit Daten aus 204 Ländern (2000–2023) quantifizierte die gesundheitliche und finanzielle Last von Multimorbidität (78 Kombinationen) bei Erwachsenen ≥60 Jahren mittels Global Burden of Disease 2023 und makroökonomischen Daten.</w:t>
      </w:r>
    </w:p>
    <w:p>
      <w:r>
        <w:rPr>
          <w:b/>
        </w:rPr>
        <w:t xml:space="preserve">Ergebnis: </w:t>
      </w:r>
      <w:r>
        <w:t>Von 2000 bis 2023 stiegen die Jahre mit Behinderung (YLDs) von 2368 auf 2942 pro 100.000 Erwachsene ≥60 Jahren; wirtschaftliche Verluste nahmen von 80,1 Milliarden auf 363,25 Milliarden USD (kaufkraftparitätsbereinigt) zu. Schnellstes Wachstum: Diabetes, Angststörungen und Parkinson (AAPC 9,92% für Kosten). Höchste YLD-Rate: Osteoarthritis mit Alzheimer/Demenz (369,87 pro 100.000).</w:t>
      </w:r>
    </w:p>
    <w:p>
      <w:r>
        <w:rPr>
          <w:b/>
          <w:sz w:val="19"/>
        </w:rPr>
        <w:t xml:space="preserve">Übertragbarkeit: </w:t>
      </w:r>
      <w:r>
        <w:rPr>
          <w:sz w:val="19"/>
        </w:rPr>
        <w:t>Global, 204 Länder; Dimensionen und Trends übertragbar, aber absolute Kosten hängen von Finanzierungssystem und Lebenserwartung ab</w:t>
      </w:r>
    </w:p>
    <w:p>
      <w:r>
        <w:rPr>
          <w:color w:val="5A7D3A"/>
          <w:sz w:val="18"/>
        </w:rPr>
        <w:t>https://pubmed.ncbi.nlm.nih.gov/42905709/</w:t>
      </w:r>
    </w:p>
    <w:p>
      <w:pPr>
        <w:pStyle w:val="Heading2"/>
      </w:pPr>
      <w:r>
        <w:t>Feinstaub beschleunigt kardiovaskuläres Altern über Seneszenz und Entzündung</w:t>
      </w:r>
    </w:p>
    <w:p>
      <w:r>
        <w:rPr>
          <w:i/>
          <w:color w:val="666666"/>
          <w:sz w:val="18"/>
        </w:rPr>
        <w:t>Yadav P et al.  ·  Cardiovasc Toxicol  ·  21.10.2026  ·  PMID 42905338</w:t>
      </w:r>
    </w:p>
    <w:p>
      <w:r>
        <w:t>Scoping Review mit konzeptuellem PACA-Framework (Pollution-Accelerated Cardiovascular Aging) integrierte Evidenz zu Feinstaub-Exposition (PM2,5, ultrafeine Partikel) und kardiovaskulärem Altern durch Mitochondrien-Dysfunktion, Seneszenz, epigenetische Änderungen und autonome Dysregulation.</w:t>
      </w:r>
    </w:p>
    <w:p>
      <w:r>
        <w:rPr>
          <w:b/>
        </w:rPr>
        <w:t xml:space="preserve">Ergebnis: </w:t>
      </w:r>
      <w:r>
        <w:t>Framework schlägt Temporal-Evidence-Matrix vor, die Expositions-Kinetik, Lebensverlauf-Timing, Persistenz nach Expositions-Ende, Dosis-Wirkungs-Beziehungen und longitudinale Veränderungen relativ zu altersreferenzierten Vergleichern nutzt. Persistierende oder unvollständig reversible Defizite deuten auf chronische Verletzung hin; stärkere Evidenz für kardiovaskuläres Aging erfordert wiederholte Demonstration größerer Veränderungsraten als chronologisch erwartet.</w:t>
      </w:r>
    </w:p>
    <w:p>
      <w:r>
        <w:rPr>
          <w:b/>
          <w:sz w:val="19"/>
        </w:rPr>
        <w:t xml:space="preserve">Übertragbarkeit: </w:t>
      </w:r>
      <w:r>
        <w:rPr>
          <w:sz w:val="19"/>
        </w:rPr>
        <w:t>Überwiegend Tiermodelle und mechanistische Daten; PACA-Framework theoretisch, keine klinischen Endpunkte gemessen</w:t>
      </w:r>
    </w:p>
    <w:p>
      <w:r>
        <w:rPr>
          <w:color w:val="5A7D3A"/>
          <w:sz w:val="18"/>
        </w:rPr>
        <w:t>https://pubmed.ncbi.nlm.nih.gov/42905338/</w:t>
      </w:r>
    </w:p>
    <w:p>
      <w:pPr>
        <w:pStyle w:val="Heading2"/>
      </w:pPr>
      <w:r>
        <w:t>Frailty-Index prognostiziert post-ERCP-Pankreatitis bei älteren Patienten</w:t>
      </w:r>
    </w:p>
    <w:p>
      <w:r>
        <w:rPr>
          <w:i/>
          <w:color w:val="666666"/>
          <w:sz w:val="18"/>
        </w:rPr>
        <w:t>Zhang F et al.  ·  Clin Interv Aging  ·  16.10.2026  ·  PMID 42904120</w:t>
      </w:r>
    </w:p>
    <w:p>
      <w:r>
        <w:t>Retrospektive Studie von 696 älteren Patienten (≥65 Jahre), die sich einer endoskopischen retrograden Cholangiopankreatographie unterzogen, untersuchte den Zusammenhang zwischen präoperativer Frailty und post-ERCP-Pankreatitis mittels elektronischem Frailty-Index.</w:t>
      </w:r>
    </w:p>
    <w:p>
      <w:r>
        <w:rPr>
          <w:b/>
        </w:rPr>
        <w:t xml:space="preserve">Ergebnis: </w:t>
      </w:r>
      <w:r>
        <w:t>Von 696 Patienten entwickelten 79 (11,4%) eine post-ERCP-Pankreatitis. Nach multivariater Anpassung war Frailty mit höheren Chancen verbunden (OR 2,09, 95%-KI 1,08–4,05, p=0,028). Hinzunahme von Frailty zum Referenzmodell verbesserte die Diskrimination (AUC 0,714 zu 0,755, p=0,031); Netto-Reklassifizierungsverbesserung betrug 0,516.</w:t>
      </w:r>
    </w:p>
    <w:p>
      <w:r>
        <w:rPr>
          <w:b/>
          <w:sz w:val="19"/>
        </w:rPr>
        <w:t xml:space="preserve">Übertragbarkeit: </w:t>
      </w:r>
      <w:r>
        <w:rPr>
          <w:sz w:val="19"/>
        </w:rPr>
        <w:t>China; Frailty-Messung und Endoskopie-Risiken gelten international, aber Patientenpopulation und Gesundheitssystem unterscheiden sich</w:t>
      </w:r>
    </w:p>
    <w:p>
      <w:r>
        <w:rPr>
          <w:color w:val="5A7D3A"/>
          <w:sz w:val="18"/>
        </w:rPr>
        <w:t>https://pubmed.ncbi.nlm.nih.gov/42904120/</w:t>
      </w:r>
    </w:p>
    <w:p>
      <w:pPr>
        <w:pStyle w:val="Heading1"/>
      </w:pPr>
      <w:r>
        <w:t>Aufgenommen am 22.10.2026</w:t>
      </w:r>
    </w:p>
    <w:p>
      <w:pPr>
        <w:pStyle w:val="Heading2"/>
      </w:pPr>
      <w:r>
        <w:t>Notfallchirurgie bei über 90-Jährigen: regionale Unterschiede in der Langzeitsterblichkeit</w:t>
      </w:r>
    </w:p>
    <w:p>
      <w:r>
        <w:rPr>
          <w:i/>
          <w:color w:val="666666"/>
          <w:sz w:val="18"/>
        </w:rPr>
        <w:t>Suh JM et al.  ·  Crit Care  ·  25.07.2026  ·  PMID 42902313</w:t>
      </w:r>
    </w:p>
    <w:p>
      <w:r>
        <w:t>Nationale bevölkerungsbasierte Kohortenstudie an 4.887 über 90-Jährigen nach Notfalloperation mit Vergleich regionaler vs. metropolitaner Versorgung in Australien.</w:t>
      </w:r>
    </w:p>
    <w:p>
      <w:r>
        <w:rPr>
          <w:b/>
        </w:rPr>
        <w:t xml:space="preserve">Ergebnis: </w:t>
      </w:r>
      <w:r>
        <w:t>ICU- und Krankenhaussterblichkeit regional nicht unterschiedlich. Nach Entlassung regional/remote wohnhafte Patienten mit höherer 5-Jahres-Mortalität (adjustierte HR 1,133, 95%-KI 1,027–1,250, p=0,013). Überlebensvorteil der Metropolen erst nach Entlassung sichtbar.</w:t>
      </w:r>
    </w:p>
    <w:p>
      <w:r>
        <w:rPr>
          <w:b/>
          <w:sz w:val="19"/>
        </w:rPr>
        <w:t xml:space="preserve">Übertragbarkeit: </w:t>
      </w:r>
      <w:r>
        <w:rPr>
          <w:sz w:val="19"/>
        </w:rPr>
        <w:t>Australien, vergleichbare Gesundheitssysteme; zeigt Bedeutung regionaler Nachsorge für universelle Alterspopulation.</w:t>
      </w:r>
    </w:p>
    <w:p>
      <w:r>
        <w:rPr>
          <w:color w:val="5A7D3A"/>
          <w:sz w:val="18"/>
        </w:rPr>
        <w:t>https://pubmed.ncbi.nlm.nih.gov/42902313/</w:t>
      </w:r>
    </w:p>
    <w:p>
      <w:pPr>
        <w:pStyle w:val="Heading2"/>
      </w:pPr>
      <w:r>
        <w:t>Frühe Widrigkeiten und Lebensqualität im Alter: Langzeitfolgen für erfolgreiche Alternstrajectoria</w:t>
      </w:r>
    </w:p>
    <w:p>
      <w:r>
        <w:rPr>
          <w:i/>
          <w:color w:val="666666"/>
          <w:sz w:val="18"/>
        </w:rPr>
        <w:t>Yang K et al.  ·  BMC Geriatr  ·  24.07.2026  ·  PMID 42902202</w:t>
      </w:r>
    </w:p>
    <w:p>
      <w:r>
        <w:t>Prospektive Kohortenstudie an 3.092 älteren Chinesen, die vier Muster ungünstiger Kindheitserfahrungen mit Trajectoria gelungenen Alterns über acht Jahre verband.</w:t>
      </w:r>
    </w:p>
    <w:p>
      <w:r>
        <w:rPr>
          <w:b/>
        </w:rPr>
        <w:t xml:space="preserve">Ergebnis: </w:t>
      </w:r>
      <w:r>
        <w:t>Pervasive Adversität (OR 1,97, 95%-KI 1,10–3,83) und Haushalts-Dysfunktion (OR 1,36, 95%-KI 1,07–1,74) verbunden mit ungünstiger Trajectoria. Niedrige Schulbildung stärkster Prädiktor (OR 5,23, 95%-KI 3,84–7,13). Netzwerk-Analyse zeigte stärkere Koppelung von Kognition und chronischem Leiden in der Gruppe mit schlechterer Trajectoria.</w:t>
      </w:r>
    </w:p>
    <w:p>
      <w:r>
        <w:rPr>
          <w:b/>
          <w:sz w:val="19"/>
        </w:rPr>
        <w:t xml:space="preserve">Übertragbarkeit: </w:t>
      </w:r>
      <w:r>
        <w:rPr>
          <w:sz w:val="19"/>
        </w:rPr>
        <w:t>China, CHARLS-Daten; begrenzte Direktübertragbarkeit auf deutsche Versorgung, psychosoziale Mechanismen aber universal.</w:t>
      </w:r>
    </w:p>
    <w:p>
      <w:r>
        <w:rPr>
          <w:color w:val="5A7D3A"/>
          <w:sz w:val="18"/>
        </w:rPr>
        <w:t>https://pubmed.ncbi.nlm.nih.gov/42902202/</w:t>
      </w:r>
    </w:p>
    <w:p>
      <w:pPr>
        <w:pStyle w:val="Heading2"/>
      </w:pPr>
      <w:r>
        <w:t>Frailty und intraoperative Hypotonie bei älteren Patienten mit Hüftfrakturchirurgie</w:t>
      </w:r>
    </w:p>
    <w:p>
      <w:r>
        <w:rPr>
          <w:i/>
          <w:color w:val="666666"/>
          <w:sz w:val="18"/>
        </w:rPr>
        <w:t>Sutthibenjakul K et al.  ·  BMC Geriatr  ·  22.07.2026  ·  PMID 42902188</w:t>
      </w:r>
    </w:p>
    <w:p>
      <w:r>
        <w:t>Retrospektive Kohortenstudie an 522 Patienten ≥65 Jahren mit modifiziertem Frailty-Index zur Assoziation mit perioperativen Blutdruckabfällen.</w:t>
      </w:r>
    </w:p>
    <w:p>
      <w:r>
        <w:rPr>
          <w:b/>
        </w:rPr>
        <w:t xml:space="preserve">Ergebnis: </w:t>
      </w:r>
      <w:r>
        <w:t>Von 522 Patienten 23,8% gebrechlich, 57,1% mit intraoperativer Hypotonie (MAP &lt;65 mmHg). Frailty war nicht unabhängig mit Auftreten der Hypotonie assoziiert (OR 0,77, 95%-KI 0,38–1,53), aber gebrechliche Patienten zeigten längere kumulative Dauer der Hypotonie (p=0,045).</w:t>
      </w:r>
    </w:p>
    <w:p>
      <w:r>
        <w:rPr>
          <w:b/>
          <w:sz w:val="19"/>
        </w:rPr>
        <w:t xml:space="preserve">Übertragbarkeit: </w:t>
      </w:r>
      <w:r>
        <w:rPr>
          <w:sz w:val="19"/>
        </w:rPr>
        <w:t>Thailand, retrospektive Klinikdaten; Frailty-Assessment und perioperatives Monitoring als universelle Prinzipien übertragbar.</w:t>
      </w:r>
    </w:p>
    <w:p>
      <w:r>
        <w:rPr>
          <w:color w:val="5A7D3A"/>
          <w:sz w:val="18"/>
        </w:rPr>
        <w:t>https://pubmed.ncbi.nlm.nih.gov/42902188/</w:t>
      </w:r>
    </w:p>
    <w:p>
      <w:pPr>
        <w:pStyle w:val="Heading2"/>
      </w:pPr>
      <w:r>
        <w:t>Pflegen im Alter: Belastung, psychische Gesundheit und der Schutzeffekt sozialer Ressourcen</w:t>
      </w:r>
    </w:p>
    <w:p>
      <w:r>
        <w:rPr>
          <w:i/>
          <w:color w:val="666666"/>
          <w:sz w:val="18"/>
        </w:rPr>
        <w:t>Chaaya M et al.  ·  BMC Geriatr  ·  22.07.2026  ·  PMID 42902165</w:t>
      </w:r>
    </w:p>
    <w:p>
      <w:r>
        <w:t>Querschnittsstudie an 434 älteren Pflegepersonen im Libanon zur Assoziation zwischen Pflegebelastung und Depression/Angst sowie moderierenden Effekten.</w:t>
      </w:r>
    </w:p>
    <w:p>
      <w:r>
        <w:rPr>
          <w:b/>
        </w:rPr>
        <w:t xml:space="preserve">Ergebnis: </w:t>
      </w:r>
      <w:r>
        <w:t>36,4% mit hoher Pflegebelastung. Hohe Belastung verbunden mit um 7,65 Punkte höheren Depressionsscores (95%-KI 3,48–11,8) und 2,84 Punkte höheren Angstscores (95%-KI 0,73–4,95). Emotionale Unterstützung minderte signifikant den Belastungs-Depressionseffekt; finanzielle Ressourcen nicht.</w:t>
      </w:r>
    </w:p>
    <w:p>
      <w:r>
        <w:rPr>
          <w:b/>
          <w:sz w:val="19"/>
        </w:rPr>
        <w:t xml:space="preserve">Übertragbarkeit: </w:t>
      </w:r>
      <w:r>
        <w:rPr>
          <w:sz w:val="19"/>
        </w:rPr>
        <w:t>Libanon, ungleiche Gesundheitssysteme und Rentensicherung zu Deutschland, aber Mechanismus psychischer Belastung durch informale Pflege universal relevant.</w:t>
      </w:r>
    </w:p>
    <w:p>
      <w:r>
        <w:rPr>
          <w:color w:val="5A7D3A"/>
          <w:sz w:val="18"/>
        </w:rPr>
        <w:t>https://pubmed.ncbi.nlm.nih.gov/42902165/</w:t>
      </w:r>
    </w:p>
    <w:p>
      <w:pPr>
        <w:pStyle w:val="Heading2"/>
      </w:pPr>
      <w:r>
        <w:t>Lipid-Entzündung und Frailty als gemeinsame Treiber der cardiometabolischen Multimorbidität</w:t>
      </w:r>
    </w:p>
    <w:p>
      <w:r>
        <w:rPr>
          <w:i/>
          <w:color w:val="666666"/>
          <w:sz w:val="18"/>
        </w:rPr>
        <w:t>Zhao S et al.  ·  BMC Cardiovasc Disord  ·  25.07.2026  ·  PMID 42902143</w:t>
      </w:r>
    </w:p>
    <w:p>
      <w:r>
        <w:t>Nationale Kohortenstudie an 5.779 chinesischen Erwachsenen zur gemeinsamen Assoziation von Restcholesterin-Entzündungsindex und Frailty mit neuaufgetretener Multimorbidität.</w:t>
      </w:r>
    </w:p>
    <w:p>
      <w:r>
        <w:rPr>
          <w:b/>
        </w:rPr>
        <w:t xml:space="preserve">Ergebnis: </w:t>
      </w:r>
      <w:r>
        <w:t>510 Fälle Multimorbidität über Beobachtungszeit. Hoher RCII kombiniert mit Frailty zeigte HR 2,622 (95%-KI 1,972–3,488). Kumulativer RCII mit Frailty HR 2,849 (95%-KI 2,178–3,726). Modell mit kumulativem RCII und Frailty zeigte höheres AUC als reiner RCII (0,757 vs. 0,740). Additive/multiplikative Interaktion nach voller Anpassung nicht signifikant.</w:t>
      </w:r>
    </w:p>
    <w:p>
      <w:r>
        <w:rPr>
          <w:b/>
          <w:sz w:val="19"/>
        </w:rPr>
        <w:t xml:space="preserve">Übertragbarkeit: </w:t>
      </w:r>
      <w:r>
        <w:rPr>
          <w:sz w:val="19"/>
        </w:rPr>
        <w:t>China, CHARLS; lipidmetabolische Pathways aber transkulturelles Phänomen, Frailty-Screening in Primärversorgung universell.</w:t>
      </w:r>
    </w:p>
    <w:p>
      <w:r>
        <w:rPr>
          <w:color w:val="5A7D3A"/>
          <w:sz w:val="18"/>
        </w:rPr>
        <w:t>https://pubmed.ncbi.nlm.nih.gov/42902143/</w:t>
      </w:r>
    </w:p>
    <w:p>
      <w:pPr>
        <w:pStyle w:val="Heading2"/>
      </w:pPr>
      <w:r>
        <w:t>Wundinfektion nach Herzbypass bei gebrechlichen älteren Patienten: Risikofaktoren und Intervention</w:t>
      </w:r>
    </w:p>
    <w:p>
      <w:r>
        <w:rPr>
          <w:i/>
          <w:color w:val="666666"/>
          <w:sz w:val="18"/>
        </w:rPr>
        <w:t>Guerrieri M et al.  ·  JMIR Cardio  ·  16.10.2026  ·  PMID 42886572</w:t>
      </w:r>
    </w:p>
    <w:p>
      <w:r>
        <w:t>Retrospektive Multicenter-Studie an 467 gebrechlichen/pregebrechlichen Patienten ≥60 Jahren nach Koronarchirurgie zur Assoziation mit Wundinfektionen.</w:t>
      </w:r>
    </w:p>
    <w:p>
      <w:r>
        <w:rPr>
          <w:b/>
        </w:rPr>
        <w:t xml:space="preserve">Ergebnis: </w:t>
      </w:r>
      <w:r>
        <w:t>Wundinfektionsrate 5,6% (26/467). Im multivariaten Modell unabhängig assoziiert: Charlson-Komorbiditätsindex (OR 1,58, 95%-KI 1,25–1,99, p&lt;0,001) und Einsatz kardiopulmonaler Bypass (OR 4,89, 95%-KI 1,71–13,94, p=0,003). Komplikationsraten sonst zwischen Gruppen ähnlich.</w:t>
      </w:r>
    </w:p>
    <w:p>
      <w:r>
        <w:rPr>
          <w:b/>
          <w:sz w:val="19"/>
        </w:rPr>
        <w:t xml:space="preserve">Übertragbarkeit: </w:t>
      </w:r>
      <w:r>
        <w:rPr>
          <w:sz w:val="19"/>
        </w:rPr>
        <w:t>Brasilien, andere Gesundheitsfinanzierung; Frailty-stratifizierte perioperative Risikoadjustierung aber prinzipiell übertragbar.</w:t>
      </w:r>
    </w:p>
    <w:p>
      <w:r>
        <w:rPr>
          <w:color w:val="5A7D3A"/>
          <w:sz w:val="18"/>
        </w:rPr>
        <w:t>https://pubmed.ncbi.nlm.nih.gov/42886572/</w:t>
      </w:r>
    </w:p>
    <w:p>
      <w:pPr>
        <w:pStyle w:val="Heading1"/>
      </w:pPr>
      <w:r>
        <w:t>Aufgenommen am 21.10.2026</w:t>
      </w:r>
    </w:p>
    <w:p>
      <w:pPr>
        <w:pStyle w:val="Heading2"/>
      </w:pPr>
      <w:r>
        <w:t>Soziale Vulnerabilität als Frailty-Dimension in neurodegenerativen Erkrankungen</w:t>
      </w:r>
    </w:p>
    <w:p>
      <w:r>
        <w:rPr>
          <w:i/>
          <w:color w:val="666666"/>
          <w:sz w:val="18"/>
        </w:rPr>
        <w:t>Panzavolta A et al.  ·  Neurol Sci  ·  20.10.2026  ·  PMID 42900408</w:t>
      </w:r>
    </w:p>
    <w:p>
      <w:r>
        <w:t>Querschnittsstudie mit 47 Alzheimer-, 24 Frontotemporale-Demenz- und 66 Kontrollpersonen zur Messung physischer und sozialer Frailty mittels 60-Item-Fragebogen.</w:t>
      </w:r>
    </w:p>
    <w:p>
      <w:r>
        <w:rPr>
          <w:b/>
        </w:rPr>
        <w:t xml:space="preserve">Ergebnis: </w:t>
      </w:r>
      <w:r>
        <w:t>Demenzpatienten zeigten signifikant höhere globale (gFI) und soziale Frailty-Scores (sFI) als Kontrollen; sFI korrelierte mit Schweregrad und kognitiven Mustern bei beiden Demenzformen. Physische Frailty unterschied sich nicht zwischen Gruppen.</w:t>
      </w:r>
    </w:p>
    <w:p>
      <w:r>
        <w:rPr>
          <w:b/>
          <w:sz w:val="19"/>
        </w:rPr>
        <w:t xml:space="preserve">Übertragbarkeit: </w:t>
      </w:r>
      <w:r>
        <w:rPr>
          <w:sz w:val="19"/>
        </w:rPr>
        <w:t>Italien, europäische Versorgungsstruktur; soziale Frailty-Dimension relevant für deutschsprachige geriatrische Praxis.</w:t>
      </w:r>
    </w:p>
    <w:p>
      <w:r>
        <w:rPr>
          <w:color w:val="5A7D3A"/>
          <w:sz w:val="18"/>
        </w:rPr>
        <w:t>https://pubmed.ncbi.nlm.nih.gov/42900408/</w:t>
      </w:r>
    </w:p>
    <w:p>
      <w:pPr>
        <w:pStyle w:val="Heading2"/>
      </w:pPr>
      <w:r>
        <w:t>Unterschiedliche Verlaufsmuster oraler Frailty nach Zahnimplantaten im Alter</w:t>
      </w:r>
    </w:p>
    <w:p>
      <w:r>
        <w:rPr>
          <w:i/>
          <w:color w:val="666666"/>
          <w:sz w:val="18"/>
        </w:rPr>
        <w:t>Zhang Y et al.  ·  Front Public Health  ·  05.10.2026  ·  PMID 42898353</w:t>
      </w:r>
    </w:p>
    <w:p>
      <w:r>
        <w:t>Prospektive Kohortenstudie mit 211 älteren Patienten ≥60 Jahre, die Zahnimplantate erhielten, zur Identifizierung von Frailty-Trajektorien über 12 Monate mittels latent class growth modelling.</w:t>
      </w:r>
    </w:p>
    <w:p>
      <w:r>
        <w:rPr>
          <w:b/>
        </w:rPr>
        <w:t xml:space="preserve">Ergebnis: </w:t>
      </w:r>
      <w:r>
        <w:t>Drei Trajektorien wurden identifiziert: Rascher Rückgang-Stabil (42,7 %), Gradueller Rückgang-Plateau (35,1 %), Persistiert-Hohes-Risiko (22,2 %). Unabhängige Prädiktoren für die Hochrisiko-Gruppe: Alter (aOR 1,12), Polypharmazie (aOR 1,25), fehlende Zähne (aOR 1,09).</w:t>
      </w:r>
    </w:p>
    <w:p>
      <w:r>
        <w:rPr>
          <w:b/>
          <w:sz w:val="19"/>
        </w:rPr>
        <w:t xml:space="preserve">Übertragbarkeit: </w:t>
      </w:r>
      <w:r>
        <w:rPr>
          <w:sz w:val="19"/>
        </w:rPr>
        <w:t>China, aber klinisch-geriatrische Fragestellung; Polypharmazie-Effekt global relevant.</w:t>
      </w:r>
    </w:p>
    <w:p>
      <w:r>
        <w:rPr>
          <w:color w:val="5A7D3A"/>
          <w:sz w:val="18"/>
        </w:rPr>
        <w:t>https://pubmed.ncbi.nlm.nih.gov/42898353/</w:t>
      </w:r>
    </w:p>
    <w:p>
      <w:pPr>
        <w:pStyle w:val="Heading2"/>
      </w:pPr>
      <w:r>
        <w:t>Ernährungsvielfalt und gewonnene gesunde Lebensjahre bei älteren Erwachsenen</w:t>
      </w:r>
    </w:p>
    <w:p>
      <w:r>
        <w:rPr>
          <w:i/>
          <w:color w:val="666666"/>
          <w:sz w:val="18"/>
        </w:rPr>
        <w:t>Shi J et al.  ·  Front Public Health  ·  05.10.2026  ·  PMID 42898119</w:t>
      </w:r>
    </w:p>
    <w:p>
      <w:r>
        <w:t>Prospektive Kohortenstudie mit 9.953 Teilnehmern ≥65 Jahre zur Assoziation zwischen Ernährungsvielfalt und gewonnenen gesunden Lebensjahren (HLE) mittels Multistate-Analyse.</w:t>
      </w:r>
    </w:p>
    <w:p>
      <w:r>
        <w:rPr>
          <w:b/>
        </w:rPr>
        <w:t xml:space="preserve">Ergebnis: </w:t>
      </w:r>
      <w:r>
        <w:t>Bei hoher vs. niedriger Ernährungsvielfalt verlängerte sich die Lebenserwartung mit 65 Jahren um 1,26 Jahre (14,54 vs. 15,80 Jahre) und die HLE um 0,90 Jahre (13,32 vs. 14,22 Jahre). Höhere Ernährungsvielfalt war mit niedrigeren Sterblichkeitsübergängen aus Gesundheit und Behinderung verbunden; diese Unterschiede waren bei Männern und Stadtbewohnern ausgeprägter.</w:t>
      </w:r>
    </w:p>
    <w:p>
      <w:r>
        <w:rPr>
          <w:b/>
          <w:sz w:val="19"/>
        </w:rPr>
        <w:t xml:space="preserve">Übertragbarkeit: </w:t>
      </w:r>
      <w:r>
        <w:rPr>
          <w:sz w:val="19"/>
        </w:rPr>
        <w:t>China, nur bedingt übertragbar - andere Ernährungsmuster und Kohorte ohne europäische Sozialversicherung.</w:t>
      </w:r>
    </w:p>
    <w:p>
      <w:r>
        <w:rPr>
          <w:color w:val="5A7D3A"/>
          <w:sz w:val="18"/>
        </w:rPr>
        <w:t>https://pubmed.ncbi.nlm.nih.gov/42898119/</w:t>
      </w:r>
    </w:p>
    <w:p>
      <w:pPr>
        <w:pStyle w:val="Heading2"/>
      </w:pPr>
      <w:r>
        <w:t>Frailty und atherogenic Index kombiniert vorhersagen Herz-Metab.-Multimorbidität bei Älteren</w:t>
      </w:r>
    </w:p>
    <w:p>
      <w:r>
        <w:rPr>
          <w:i/>
          <w:color w:val="666666"/>
          <w:sz w:val="18"/>
        </w:rPr>
        <w:t>Wu H et al.  ·  J Glob Health  ·  19.10.2026  ·  PMID 42895260</w:t>
      </w:r>
    </w:p>
    <w:p>
      <w:r>
        <w:t>Prospektive Kohortenstudie mit 4.157 Teilnehmern ≥45 Jahre (CHARLS) zur Assoziation zwischen kumulativem AIP-FI-Index (atherogenic index × 37-Deficit-Frailty-Index) und incident cardiometabolic multimorbidity über 8,5 Jahre mittels Cox-Modelle und Machine Learning.</w:t>
      </w:r>
    </w:p>
    <w:p>
      <w:r>
        <w:rPr>
          <w:b/>
        </w:rPr>
        <w:t xml:space="preserve">Ergebnis: </w:t>
      </w:r>
      <w:r>
        <w:t>612 CMM-Fälle: Kumulative AIP-FI zeigte stärkere Assoziation mit CMM-Risiko als Baseline-Wert (HR 1,46 pro SD). Höchstes vs. niedrigstes Quartil: HR 3,95 (95% CI 2,95–5,29). Prädiktive AUC 0,7117 mit NRI 0,157 über traditionelle Marker. Bidirektionale Synergieeffekte zwischen AIP und FI.</w:t>
      </w:r>
    </w:p>
    <w:p>
      <w:r>
        <w:rPr>
          <w:b/>
          <w:sz w:val="19"/>
        </w:rPr>
        <w:t xml:space="preserve">Übertragbarkeit: </w:t>
      </w:r>
      <w:r>
        <w:rPr>
          <w:sz w:val="19"/>
        </w:rPr>
        <w:t>China (CHARLS), aber Konzept der kombinierten Vulnerabilität-Marker übertragbar auf deutsches Assessment.</w:t>
      </w:r>
    </w:p>
    <w:p>
      <w:r>
        <w:rPr>
          <w:color w:val="5A7D3A"/>
          <w:sz w:val="18"/>
        </w:rPr>
        <w:t>https://pubmed.ncbi.nlm.nih.gov/42895260/</w:t>
      </w:r>
    </w:p>
    <w:p>
      <w:pPr>
        <w:pStyle w:val="Heading2"/>
      </w:pPr>
      <w:r>
        <w:t>Triglycerid-Glukose-Frailty-Index bei Rheumatoider Arthritis vorhersagt Herz-Mortalität</w:t>
      </w:r>
    </w:p>
    <w:p>
      <w:r>
        <w:rPr>
          <w:i/>
          <w:color w:val="666666"/>
          <w:sz w:val="18"/>
        </w:rPr>
        <w:t>Xu Y et al.  ·  Medicine (Baltimore)  ·  16.10.2026  ·  PMID 42888590</w:t>
      </w:r>
    </w:p>
    <w:p>
      <w:r>
        <w:t>Querschnitt-Kohortenstudie mit 1.090 US-amerikanischen RA-Patienten aus NHANES 1999–2018 zur Assoziation zwischen TyG-FI (Triglycerid-Glukose-Index × 49-Item-Frailty-Index) und prevalent CVD sowie kardiovaskulärer Mortalität.</w:t>
      </w:r>
    </w:p>
    <w:p>
      <w:r>
        <w:rPr>
          <w:b/>
        </w:rPr>
        <w:t xml:space="preserve">Ergebnis: </w:t>
      </w:r>
      <w:r>
        <w:t>TyG-FI pro Einheit: OR 4,50 (95% CI 3,20–6,33) für prävalente CVD; HR 1,77 (95% CI 1,16–2,70) für Herz-Mortalität. AUC-Modelle mit TyG-FI (0,80 CVD, 0,81 Mortalität) überlegen vs. TyG allein (0,73, 0,80). Stärkere Assoziation bei Alter ≤65 Jahren.</w:t>
      </w:r>
    </w:p>
    <w:p>
      <w:r>
        <w:rPr>
          <w:b/>
          <w:sz w:val="19"/>
        </w:rPr>
        <w:t xml:space="preserve">Übertragbarkeit: </w:t>
      </w:r>
      <w:r>
        <w:rPr>
          <w:sz w:val="19"/>
        </w:rPr>
        <w:t>USA-Kohort, aber RA-assoziierte Multimorbidität und kombinierte Indizes relevant für deutsches Risiko-Assessment.</w:t>
      </w:r>
    </w:p>
    <w:p>
      <w:r>
        <w:rPr>
          <w:color w:val="5A7D3A"/>
          <w:sz w:val="18"/>
        </w:rPr>
        <w:t>https://pubmed.ncbi.nlm.nih.gov/42888590/</w:t>
      </w:r>
    </w:p>
    <w:p>
      <w:pPr>
        <w:pStyle w:val="Heading2"/>
      </w:pPr>
      <w:r>
        <w:t>Gesundheit im Alter als multidimensionales System: Validierung an 46.317 Europäern</w:t>
      </w:r>
    </w:p>
    <w:p>
      <w:r>
        <w:rPr>
          <w:i/>
          <w:color w:val="666666"/>
          <w:sz w:val="18"/>
        </w:rPr>
        <w:t>Tun T et al.  ·  Soc Sci Med  ·  16.09.2026  ·  PMID 42766933</w:t>
      </w:r>
    </w:p>
    <w:p>
      <w:r>
        <w:t>Sekundäranalyse von SHARE Wave 8 mit 46.317 Teilnehmern 50–104 Jahre zur psychometrischen Validierung eines sechsdimensionalen Gesundheitskonstrukts mittels Strukturgleichungsmodellierung.</w:t>
      </w:r>
    </w:p>
    <w:p>
      <w:r>
        <w:rPr>
          <w:b/>
        </w:rPr>
        <w:t xml:space="preserve">Ergebnis: </w:t>
      </w:r>
      <w:r>
        <w:t>Bestätigung einer zweiten Ordnung SEM mit sechs Dimensionen (Physische Gesundheit, Funktionsfähigkeit, Kognition, psychisches Wohlbefinden, finanzielle Autonomie, soziales Engagement) mit Faktorladungen 0,579–0,832 und guten Modellfit-Indizes (RMSEA 0,054, CFI 0,904). Modell war in europäischen Ländern konsistent.</w:t>
      </w:r>
    </w:p>
    <w:p>
      <w:r>
        <w:rPr>
          <w:b/>
          <w:sz w:val="19"/>
        </w:rPr>
        <w:t xml:space="preserve">Übertragbarkeit: </w:t>
      </w:r>
      <w:r>
        <w:rPr>
          <w:sz w:val="19"/>
        </w:rPr>
        <w:t>SHARE-Daten aus 28 europäischen Ländern, direkt auf Deutschland anwendbar.</w:t>
      </w:r>
    </w:p>
    <w:p>
      <w:r>
        <w:rPr>
          <w:color w:val="5A7D3A"/>
          <w:sz w:val="18"/>
        </w:rPr>
        <w:t>https://pubmed.ncbi.nlm.nih.gov/42766933/</w:t>
      </w:r>
    </w:p>
    <w:p>
      <w:pPr>
        <w:pStyle w:val="Heading1"/>
      </w:pPr>
      <w:r>
        <w:t>Aufgenommen am 20.10.2026</w:t>
      </w:r>
    </w:p>
    <w:p>
      <w:pPr>
        <w:pStyle w:val="Heading2"/>
      </w:pPr>
      <w:r>
        <w:t>Ösophagusspasmus bei Hochbetagter: Dysphagie-Diagnose bricht Teufelskreis aus Gewichtsverlust, Sarkopenie und Sturzrisiko</w:t>
      </w:r>
    </w:p>
    <w:p>
      <w:r>
        <w:rPr>
          <w:i/>
          <w:color w:val="666666"/>
          <w:sz w:val="18"/>
        </w:rPr>
        <w:t>Klein J et al.  ·  Dtsch Med Wochenschr  ·  19.10.2026  ·  PMID 42896540</w:t>
      </w:r>
    </w:p>
    <w:p>
      <w:r>
        <w:t>Fallbericht einer 93-jährigen sarkopenen Patientin mit Appetitlosigkeit, Übelkeit und Erbrechen in einer deutschen geriatrischen Klinik, bei der eine Breischluck-Untersuchung einen Ösophagussphinkterspasmus nachwies.</w:t>
      </w:r>
    </w:p>
    <w:p>
      <w:r>
        <w:rPr>
          <w:b/>
        </w:rPr>
        <w:t xml:space="preserve">Ergebnis: </w:t>
      </w:r>
      <w:r>
        <w:t>Nach Diagnose des distalen Motilitätsverluste durch Breischluck-Untersuchung konservative Therapie mit Botulinumtoxin-Injektionen durchgeführt, was kurzfristig zur Symptomverbesserung führte. Patientin kam aus dem Zyklus von Dysphagie → Gewichtsverlust → Sarkopenie → Frailty → Sturz heraus. Fallbericht unterstreicht Notwendigkeit gezielter Diagnostik und Therapie zur Prävention von Komplikationen.</w:t>
      </w:r>
    </w:p>
    <w:p>
      <w:r>
        <w:rPr>
          <w:b/>
          <w:sz w:val="19"/>
        </w:rPr>
        <w:t xml:space="preserve">Übertragbarkeit: </w:t>
      </w:r>
      <w:r>
        <w:rPr>
          <w:sz w:val="19"/>
        </w:rPr>
        <w:t>Deutschland (Bonn); geriatrisches Versorgungssystem und Versorgungskontext direkt anwendbar</w:t>
      </w:r>
    </w:p>
    <w:p>
      <w:r>
        <w:rPr>
          <w:color w:val="5A7D3A"/>
          <w:sz w:val="18"/>
        </w:rPr>
        <w:t>https://pubmed.ncbi.nlm.nih.gov/42896540/</w:t>
      </w:r>
    </w:p>
    <w:p>
      <w:pPr>
        <w:pStyle w:val="Heading2"/>
      </w:pPr>
      <w:r>
        <w:t>Zweistufiges Frailty-Screening in Hepatologie: Stuhl-Test und Griffstärke ersparen zwei Drittel der vollständigen Assessments</w:t>
      </w:r>
    </w:p>
    <w:p>
      <w:r>
        <w:rPr>
          <w:i/>
          <w:color w:val="666666"/>
          <w:sz w:val="18"/>
        </w:rPr>
        <w:t>Wang J et al.  ·  Nurs Open  ·  Okt. 2026  ·  PMID 42896173</w:t>
      </w:r>
    </w:p>
    <w:p>
      <w:r>
        <w:t>Querschnittstudie bei 606 hospitalisierten Patienten mit chronischer Lebererkrankung (August 2021–August 2025), die eine Pflegekraft-getragene Screening-Strategie mit Timed-Chair-Stand und Griffstärke gegen den Liver Frailty Index validierte.</w:t>
      </w:r>
    </w:p>
    <w:p>
      <w:r>
        <w:rPr>
          <w:b/>
        </w:rPr>
        <w:t xml:space="preserve">Ergebnis: </w:t>
      </w:r>
      <w:r>
        <w:t>Frailty-Prävalenz 18,6%. Einstufiges Screening (Chair-Stands ≥16,55 s oder Griffstärke ≤23,42 kg) erreichte 100% Sensitivität (Negative Predictive Value 1,000), identifizierte alle frailen Fälle und vermied 62,3% der vollständigen Assessments. Null verpasste Fälle in fünf Split-Sample-Analysen reproduziert.</w:t>
      </w:r>
    </w:p>
    <w:p>
      <w:r>
        <w:rPr>
          <w:b/>
          <w:sz w:val="19"/>
        </w:rPr>
        <w:t xml:space="preserve">Übertragbarkeit: </w:t>
      </w:r>
      <w:r>
        <w:rPr>
          <w:sz w:val="19"/>
        </w:rPr>
        <w:t>China; aber Screening-Kriterien und hepatologische Versorgung international ähnlich, externe Validierung ausstehend</w:t>
      </w:r>
    </w:p>
    <w:p>
      <w:r>
        <w:rPr>
          <w:color w:val="5A7D3A"/>
          <w:sz w:val="18"/>
        </w:rPr>
        <w:t>https://pubmed.ncbi.nlm.nih.gov/42896173/</w:t>
      </w:r>
    </w:p>
    <w:p>
      <w:pPr>
        <w:pStyle w:val="Heading2"/>
      </w:pPr>
      <w:r>
        <w:t>Frailty reduziert Arbeitsfähigkeit im Alter um vier bis acht Jahre</w:t>
      </w:r>
    </w:p>
    <w:p>
      <w:r>
        <w:rPr>
          <w:i/>
          <w:color w:val="666666"/>
          <w:sz w:val="18"/>
        </w:rPr>
        <w:t>Shui Y et al.  ·  J Glob Health  ·  19.10.2026  ·  PMID 42895270</w:t>
      </w:r>
    </w:p>
    <w:p>
      <w:r>
        <w:t>Multistate-Markov-Modelle bei 180.314 Personen ≥50 Jahren aus fünf harmonisierten Kohorten (33 Länder) zur Assoziation von Frailty-Status (robust, pre-frail, frail) mit gesunder Arbeitslebenserwartung (HWLE) im Alter von 50 Jahren.</w:t>
      </w:r>
    </w:p>
    <w:p>
      <w:r>
        <w:rPr>
          <w:b/>
        </w:rPr>
        <w:t xml:space="preserve">Ergebnis: </w:t>
      </w:r>
      <w:r>
        <w:t>HWLE bei 50 Jahren: 11,87 Jahre (95%-KI 11,74–12,00) robust, 7,34 Jahre (7,19–7,50) pre-frail, 3,77 Jahre (3,57–3,97) frail. Gegenüber robusten Personen: 4,53 Jahre kürzer (95%-KI −4,76, −4,29) pre-frail, 8,11 Jahre kürzer (−8,38, −7,84) frail. Männer hatten längere HWLE als Frauen in robusten und pre-frailen Gruppen. Höhere Bildung, Nichtrauchen und günstige nationale Faktoren verlängerten HWLE.</w:t>
      </w:r>
    </w:p>
    <w:p>
      <w:r>
        <w:rPr>
          <w:b/>
          <w:sz w:val="19"/>
        </w:rPr>
        <w:t xml:space="preserve">Übertragbarkeit: </w:t>
      </w:r>
      <w:r>
        <w:rPr>
          <w:sz w:val="19"/>
        </w:rPr>
        <w:t>33 Länder inklusive europäische; Frailty-Index robust, Bezug zu Arbeitsmarkt und Rente unterscheidet sich, aber Grundmechanismus universell</w:t>
      </w:r>
    </w:p>
    <w:p>
      <w:r>
        <w:rPr>
          <w:color w:val="5A7D3A"/>
          <w:sz w:val="18"/>
        </w:rPr>
        <w:t>https://pubmed.ncbi.nlm.nih.gov/42895270/</w:t>
      </w:r>
    </w:p>
    <w:p>
      <w:pPr>
        <w:pStyle w:val="Heading2"/>
      </w:pPr>
      <w:r>
        <w:t>Frailty-Trajektoren vorhersagen Osteoporose-Risiko stärker als einzelne Messungen</w:t>
      </w:r>
    </w:p>
    <w:p>
      <w:r>
        <w:rPr>
          <w:i/>
          <w:color w:val="666666"/>
          <w:sz w:val="18"/>
        </w:rPr>
        <w:t>Zhou J et al.  ·  J Glob Health  ·  19.10.2026  ·  PMID 42895262</w:t>
      </w:r>
    </w:p>
    <w:p>
      <w:r>
        <w:t>Longitudinale Kohortenstudie mit drei großen harmonisierten Datensätzen (HRS, ELSA, SHARE; ≥50 Jahre) zum Zusammenhang zwischen Frailty-Index-Verlauf und neuaufgetretener Osteoporose über 4–8 Jahre Nachbeobachtung.</w:t>
      </w:r>
    </w:p>
    <w:p>
      <w:r>
        <w:rPr>
          <w:b/>
        </w:rPr>
        <w:t xml:space="preserve">Ergebnis: </w:t>
      </w:r>
      <w:r>
        <w:t>Insgesamt 244 (ELSA), 2.693 (SHARE) und 1.986 (HRS) Neuerkrankungen mit Osteoporose. Höherer baseline Frailty Index unabhängig assoziiert mit erhöhtem Osteoporose-Risiko (HRS HR 1,43; 95%-KI 1,36–1,50; ELSA HR 1,36; 1,19–1,57; SHARE HR 1,39; 1,33–1,45, alle p&lt;0,001). Vier identifizierte Frailty-Trajektoren zeigten generell erhöhte Osteoporose-Risiken. Nichtlineare Analysen wiesen Schwellenwerteffekte auf (steilere Anstiege bei niedrigeren FI-Werten). Griffstärke vermittelte Assoziation partiell.</w:t>
      </w:r>
    </w:p>
    <w:p>
      <w:r>
        <w:rPr>
          <w:b/>
          <w:sz w:val="19"/>
        </w:rPr>
        <w:t xml:space="preserve">Übertragbarkeit: </w:t>
      </w:r>
      <w:r>
        <w:rPr>
          <w:sz w:val="19"/>
        </w:rPr>
        <w:t>Europäische und US-Kohorten; Frailty Index und Osteoporose-Definitions vergleichbar international</w:t>
      </w:r>
    </w:p>
    <w:p>
      <w:r>
        <w:rPr>
          <w:color w:val="5A7D3A"/>
          <w:sz w:val="18"/>
        </w:rPr>
        <w:t>https://pubmed.ncbi.nlm.nih.gov/42895262/</w:t>
      </w:r>
    </w:p>
    <w:p>
      <w:pPr>
        <w:pStyle w:val="Heading2"/>
      </w:pPr>
      <w:r>
        <w:t>Schädlicher Alkoholkonsum bei älteren Sturzpatienten häufig, mit Hyponatriämie assoziiert</w:t>
      </w:r>
    </w:p>
    <w:p>
      <w:r>
        <w:rPr>
          <w:i/>
          <w:color w:val="666666"/>
          <w:sz w:val="18"/>
        </w:rPr>
        <w:t>Rogmark C et al.  ·  Acta Orthop  ·  19.10.2026  ·  PMID 42894497</w:t>
      </w:r>
    </w:p>
    <w:p>
      <w:r>
        <w:t>Prospektive Kohortenstudie bei 505 Personen ≥65 Jahren mit akuter Sturz-bedingter Fraktur (Februar 2023–August 2024), die Phosphatidylethanol (PEth) als objektiven Marker für chronischen Alkoholkonsum zur Risikostratifizierung nutzte.</w:t>
      </w:r>
    </w:p>
    <w:p>
      <w:r>
        <w:rPr>
          <w:b/>
        </w:rPr>
        <w:t xml:space="preserve">Ergebnis: </w:t>
      </w:r>
      <w:r>
        <w:t>13% zeigten schädlichen Alkoholkonsum (PEth &gt;0,30 µmol/L), 8,9% intermediären Konsum (0,05–0,30), 78% keinen/niedrigen Konsum (&lt;0,05). Von nicht-frailen Patienten hatten 18% schädlichen und 11% intermediären Konsum. In der propensity-score-gematchten Kohorte: Alkoholkonsum assoziiert mit höherer Hyponatriämie-Wahrscheinlichkeit (OR 2,3; 95%-KI 1,1–4,5; p=0,02). Trend zu niedrigerer 90-Tages-Mortalität (OR 0,2; 95%-KI 0,1–1,0; p=0,05).</w:t>
      </w:r>
    </w:p>
    <w:p>
      <w:r>
        <w:rPr>
          <w:b/>
          <w:sz w:val="19"/>
        </w:rPr>
        <w:t xml:space="preserve">Übertragbarkeit: </w:t>
      </w:r>
      <w:r>
        <w:rPr>
          <w:sz w:val="19"/>
        </w:rPr>
        <w:t>Schweden (Lund/Malmö); Trauma-Management und Frailty-Screening vergleichbar mit Deutschland</w:t>
      </w:r>
    </w:p>
    <w:p>
      <w:r>
        <w:rPr>
          <w:color w:val="5A7D3A"/>
          <w:sz w:val="18"/>
        </w:rPr>
        <w:t>https://pubmed.ncbi.nlm.nih.gov/42894497/</w:t>
      </w:r>
    </w:p>
    <w:p>
      <w:pPr>
        <w:pStyle w:val="Heading2"/>
      </w:pPr>
      <w:r>
        <w:t>Soziale Kontakte fördern Grundfähigkeiten im Alter weltweit</w:t>
      </w:r>
    </w:p>
    <w:p>
      <w:r>
        <w:rPr>
          <w:i/>
          <w:color w:val="666666"/>
          <w:sz w:val="18"/>
        </w:rPr>
        <w:t>Lai ETC et al.  ·  Lancet Healthy Longev  ·  12.10.2026  ·  PMID 42863480</w:t>
      </w:r>
    </w:p>
    <w:p>
      <w:r>
        <w:t>Harmonisierte Längsschnittstudie zu 39.021 Personen ab 50 Jahren aus fünf Kohorten (USA, England, Europa, China, Japan), die den Zusammenhang zwischen sozialer Vernetzung und intrinsischer Kapazität (fünf Domänen: Kognition, Psyche, Sinne, Bewegung, Vitalität) untersuchte.</w:t>
      </w:r>
    </w:p>
    <w:p>
      <w:r>
        <w:rPr>
          <w:b/>
        </w:rPr>
        <w:t xml:space="preserve">Ergebnis: </w:t>
      </w:r>
      <w:r>
        <w:t>Höhere baseline soziale Vernetzung korrelierte mit besserer gesamter intrinsischer Kapazität (β=0,04 SD pro Punkt; 95%-KI 0,03–0,06). Stärkste Assoziationen zeigten sich in psychologischer (β=0,05 SD) und kognitiver Domäne (β=0,03 SD), beide p&lt;0,001. Soziale Partizipation und Partnerschaft waren am konsistentesten mit höherer Kapazität assoziiert. Baseline-Vernetzung sagte jedoch keine unterschiedlichen Raten des Funktionsverfalls über Follow-up voraus (β=0,0024 SD/Jahr; 95%-KI −0,0004 bis 0,0053).</w:t>
      </w:r>
    </w:p>
    <w:p>
      <w:r>
        <w:rPr>
          <w:b/>
          <w:sz w:val="19"/>
        </w:rPr>
        <w:t xml:space="preserve">Übertragbarkeit: </w:t>
      </w:r>
      <w:r>
        <w:rPr>
          <w:sz w:val="19"/>
        </w:rPr>
        <w:t>England und europäische Kohorten, vergleichbare Altersstrukturen und Sozialversicherungssysteme (SHARE-Daten)</w:t>
      </w:r>
    </w:p>
    <w:p>
      <w:r>
        <w:rPr>
          <w:color w:val="5A7D3A"/>
          <w:sz w:val="18"/>
        </w:rPr>
        <w:t>https://pubmed.ncbi.nlm.nih.gov/42863480/</w:t>
      </w:r>
    </w:p>
    <w:p>
      <w:pPr>
        <w:pStyle w:val="Heading2"/>
      </w:pPr>
      <w:r>
        <w:t>Bessere Grundfähigkeiten in neueren Generationen Europas – aber mit wachsenden Ungleichheiten</w:t>
      </w:r>
    </w:p>
    <w:p>
      <w:r>
        <w:rPr>
          <w:i/>
          <w:color w:val="666666"/>
          <w:sz w:val="18"/>
        </w:rPr>
        <w:t>Beard JR et al.  ·  Lancet Healthy Longev  ·  09.10.2026  ·  PMID 42854708</w:t>
      </w:r>
    </w:p>
    <w:p>
      <w:r>
        <w:t>Analyse von sieben Wellen der SHARE-Studie (2004–2022) bei 80.105 Personen ab 50 Jahren aus zehn europäischen Ländern zur Entwicklung der intrinsischen Kapazität über Geburtskohorten.</w:t>
      </w:r>
    </w:p>
    <w:p>
      <w:r>
        <w:rPr>
          <w:b/>
        </w:rPr>
        <w:t xml:space="preserve">Ergebnis: </w:t>
      </w:r>
      <w:r>
        <w:t>Neuere Geburtskohorten zeigten bei Studieneintritt höhere intrinsische Kapazität (Geburtsjahrkoeffizient 0,797; 95%-KI 0,780–0,815, p&lt;0,0001) und langsamere 10-Jahres-Rückgänge (0,426; 95%-KI 0,372–0,480, p&lt;0,0001). Frauen verzeichneten größere Gewinne als Männer. Länder mit niedrigerer Ausgangskapazität (z. B. Italien) zeigten größere Verbesserungen, aber kleinere Verlangsamungen im Rückgang. Höherer sozioökonomischer Status war mit größeren Gewinnen assoziiert, was Ungleichheiten verschärfte.</w:t>
      </w:r>
    </w:p>
    <w:p>
      <w:r>
        <w:rPr>
          <w:b/>
          <w:sz w:val="19"/>
        </w:rPr>
        <w:t xml:space="preserve">Übertragbarkeit: </w:t>
      </w:r>
      <w:r>
        <w:rPr>
          <w:sz w:val="19"/>
        </w:rPr>
        <w:t>10 europäische SHARE-Länder inklusive Deutschland; direkt auf deutsches Gesundheitssystem übertragbar</w:t>
      </w:r>
    </w:p>
    <w:p>
      <w:r>
        <w:rPr>
          <w:color w:val="5A7D3A"/>
          <w:sz w:val="18"/>
        </w:rPr>
        <w:t>https://pubmed.ncbi.nlm.nih.gov/42854708/</w:t>
      </w:r>
    </w:p>
    <w:p>
      <w:pPr>
        <w:pStyle w:val="Heading1"/>
      </w:pPr>
      <w:r>
        <w:t>Aufgenommen am 19.10.2026</w:t>
      </w:r>
    </w:p>
    <w:p>
      <w:pPr>
        <w:pStyle w:val="Heading2"/>
      </w:pPr>
      <w:r>
        <w:t>Geriatrische Schulungslücken in ambulanter Versorgung: Bedarfsanalyse aus 41 europäischen Ländern</w:t>
      </w:r>
    </w:p>
    <w:p>
      <w:r>
        <w:rPr>
          <w:i/>
          <w:color w:val="666666"/>
          <w:sz w:val="18"/>
        </w:rPr>
        <w:t>Kravvariti E et al.  ·  Age Ageing  ·  03.08.2026  ·  PMID 42891966</w:t>
      </w:r>
    </w:p>
    <w:p>
      <w:r>
        <w:t>Querschnittsbefragung von 2380 Fachkräften (Ärzte, Pflege, Diätassistenten, Therapeuten) aus Ambulanzen und häuslichen Diensten zur Selbsteinschätzung ihres Wissensstands bei 33 geriatrischen Themen.</w:t>
      </w:r>
    </w:p>
    <w:p>
      <w:r>
        <w:rPr>
          <w:b/>
        </w:rPr>
        <w:t xml:space="preserve">Ergebnis: </w:t>
      </w:r>
      <w:r>
        <w:t>Erhebliche Wissenslücken in allen Berufsgruppen: Umfassendes geriatrisches Assessment, Frailty-Screening, Polymedikation und Deprescribing, Sarkopenie, Dysphagie sowie Verhaltens- und Depressionssymptome bei Demenz zählten zu den Top-Defiziten. Profession-spezifische Prioritäten: Kommunikation und Vorsorgeverfügungen für Pflege, Deprescribing für Ärzte und Apotheker, Ernährungsassessment für Diätassistenten.</w:t>
      </w:r>
    </w:p>
    <w:p>
      <w:r>
        <w:rPr>
          <w:b/>
          <w:sz w:val="19"/>
        </w:rPr>
        <w:t xml:space="preserve">Übertragbarkeit: </w:t>
      </w:r>
      <w:r>
        <w:rPr>
          <w:sz w:val="19"/>
        </w:rPr>
        <w:t>41 europäische Länder, direkt relevant für deutschsprachigen Raum und Versorgungsstrukturen</w:t>
      </w:r>
    </w:p>
    <w:p>
      <w:r>
        <w:rPr>
          <w:color w:val="5A7D3A"/>
          <w:sz w:val="18"/>
        </w:rPr>
        <w:t>https://pubmed.ncbi.nlm.nih.gov/42891966/</w:t>
      </w:r>
    </w:p>
    <w:p>
      <w:pPr>
        <w:pStyle w:val="Heading2"/>
      </w:pPr>
      <w:r>
        <w:t>Elektronischer Frailty-Index sagt Sterblichkeit bei älteren Menschen voraus</w:t>
      </w:r>
    </w:p>
    <w:p>
      <w:r>
        <w:rPr>
          <w:i/>
          <w:color w:val="666666"/>
          <w:sz w:val="18"/>
        </w:rPr>
        <w:t>Du X et al.  ·  Front Public Health  ·  02.10.2026  ·  PMID 42890831</w:t>
      </w:r>
    </w:p>
    <w:p>
      <w:r>
        <w:t>Systematische Übersichtsarbeit und Meta-Analyse von 12 Studien (13 Kohorten mit 11 Hazard-Ratio- und 2 Odds-Ratio-Analysen) zur Assoziation zwischen elektronischem Frailty-Index (eFI) und Mortalität.</w:t>
      </w:r>
    </w:p>
    <w:p>
      <w:r>
        <w:rPr>
          <w:b/>
        </w:rPr>
        <w:t xml:space="preserve">Ergebnis: </w:t>
      </w:r>
      <w:r>
        <w:t>Dosisabhängige Assoziation: Milde Frailty (HR 1,81), moderate Frailty (HR 2,95) und schwere Frailty (HR 4,41) gegenüber nicht-frailer Gruppe. Erhebliche Heterogenität zwischen Studien je nach Nachbeobachtungsdauer, eFI-Schwellenwert und Studienumfeld. eFI scheint nützlich für Frailty-Screening und Risikostratifizierung, aber Ergebnisse erfordern vorsichtige Interpretation.</w:t>
      </w:r>
    </w:p>
    <w:p>
      <w:r>
        <w:rPr>
          <w:b/>
          <w:sz w:val="19"/>
        </w:rPr>
        <w:t xml:space="preserve">Übertragbarkeit: </w:t>
      </w:r>
      <w:r>
        <w:rPr>
          <w:sz w:val="19"/>
        </w:rPr>
        <w:t>UK Biobank und andere, elektronische Gesundheitsregisterdaten wie in Deutschland verfügbar</w:t>
      </w:r>
    </w:p>
    <w:p>
      <w:r>
        <w:rPr>
          <w:color w:val="5A7D3A"/>
          <w:sz w:val="18"/>
        </w:rPr>
        <w:t>https://pubmed.ncbi.nlm.nih.gov/42890831/</w:t>
      </w:r>
    </w:p>
    <w:p>
      <w:pPr>
        <w:pStyle w:val="Heading2"/>
      </w:pPr>
      <w:r>
        <w:t>Orale Frailty bei älteren Menschen mit Multimorbidität: Prävalenz 71,2%, verknüpft mit körperlicher Frailty</w:t>
      </w:r>
    </w:p>
    <w:p>
      <w:r>
        <w:rPr>
          <w:i/>
          <w:color w:val="666666"/>
          <w:sz w:val="18"/>
        </w:rPr>
        <w:t>Zhou Y et al.  ·  Front Public Health  ·  02.10.2026  ·  PMID 42890626</w:t>
      </w:r>
    </w:p>
    <w:p>
      <w:r>
        <w:t>Querschnittsstudie von 393 Personen ≥60 Jahre mit ≥1 chronischer Erkrankung in Nordostchina zur Prävalenz oraler Frailty mittels Oral Frailty Index-8 (OFI-8) und assoziierten Faktoren.</w:t>
      </w:r>
    </w:p>
    <w:p>
      <w:r>
        <w:rPr>
          <w:b/>
        </w:rPr>
        <w:t xml:space="preserve">Ergebnis: </w:t>
      </w:r>
      <w:r>
        <w:t>71,2% (n=280) orale Frailty (OFI-8: 5,61±2,58). Häufigste Items: Schwierigkeiten mit harter Nahrung 62,3%, Verschlucken 48,6%, Mundtrockenheit 45,8%. Unabhängig assoziiert: höheres Alter, weibliches Geschlecht, niedriges Einkommen, niedriger/hoher BMI, Alkoholkonsum, körperliche Frailty, Schlafstörung, negative Altersattitude, ≥3 Erkrankungen, Diabetes (alle p&lt;0,05).</w:t>
      </w:r>
    </w:p>
    <w:p>
      <w:r>
        <w:rPr>
          <w:b/>
          <w:sz w:val="19"/>
        </w:rPr>
        <w:t xml:space="preserve">Übertragbarkeit: </w:t>
      </w:r>
      <w:r>
        <w:rPr>
          <w:sz w:val="19"/>
        </w:rPr>
        <w:t>China, ethnische Minderheit – überwiegend strukturelle Befunde, Screening-Befund direkt relevant</w:t>
      </w:r>
    </w:p>
    <w:p>
      <w:r>
        <w:rPr>
          <w:color w:val="5A7D3A"/>
          <w:sz w:val="18"/>
        </w:rPr>
        <w:t>https://pubmed.ncbi.nlm.nih.gov/42890626/</w:t>
      </w:r>
    </w:p>
    <w:p>
      <w:pPr>
        <w:pStyle w:val="Heading2"/>
      </w:pPr>
      <w:r>
        <w:t>Frailty mit multilokulalen Schmerzen vergesellschaftet, teilweise durch Depression vermittelt</w:t>
      </w:r>
    </w:p>
    <w:p>
      <w:r>
        <w:rPr>
          <w:i/>
          <w:color w:val="666666"/>
          <w:sz w:val="18"/>
        </w:rPr>
        <w:t>Cheng Y et al.  ·  Medicine (Baltimore)  ·  16.10.2026  ·  PMID 42888628</w:t>
      </w:r>
    </w:p>
    <w:p>
      <w:r>
        <w:t>Querschnittsanalyse von 5281 Personen ≥45 Jahre aus China Health and Retirement Longitudinal Study zu Assoziation zwischen korrigiertem modifiziertem Frailty-Index (CMFI) und chronischen Schmerzen mit Mediationsanalyse.</w:t>
      </w:r>
    </w:p>
    <w:p>
      <w:r>
        <w:rPr>
          <w:b/>
        </w:rPr>
        <w:t xml:space="preserve">Ergebnis: </w:t>
      </w:r>
      <w:r>
        <w:t>Höherer CMFI stark mit erhöhtem Schmerz-Risiko assoziiert: Höchstes vs. niedrigstes CMFI-Quartil zeigte 11,6-fach erhöhtes Risiko für Kreuzschmerzen, 17,0-fach für Multisite-Schmerzen und 11,5-fach höhere Schmerzlokalisationen. Depression vermittelte ca. 30% dieser Assoziationen. Unterschiede nach Alter, Bildung und Wohnort.</w:t>
      </w:r>
    </w:p>
    <w:p>
      <w:r>
        <w:rPr>
          <w:b/>
          <w:sz w:val="19"/>
        </w:rPr>
        <w:t xml:space="preserve">Übertragbarkeit: </w:t>
      </w:r>
      <w:r>
        <w:rPr>
          <w:sz w:val="19"/>
        </w:rPr>
        <w:t>China, vergleichbare Altersstruktur – Befunde aber nicht direkt auf deutsche Sozialversicherung übertragbar</w:t>
      </w:r>
    </w:p>
    <w:p>
      <w:r>
        <w:rPr>
          <w:color w:val="5A7D3A"/>
          <w:sz w:val="18"/>
        </w:rPr>
        <w:t>https://pubmed.ncbi.nlm.nih.gov/42888628/</w:t>
      </w:r>
    </w:p>
    <w:p>
      <w:pPr>
        <w:pStyle w:val="Heading2"/>
      </w:pPr>
      <w:r>
        <w:t>Höhere Frailty mit schlechterer Herzgesundheit: Dosis-Wirkungs-Beziehung in US-Stichprobe</w:t>
      </w:r>
    </w:p>
    <w:p>
      <w:r>
        <w:rPr>
          <w:i/>
          <w:color w:val="666666"/>
          <w:sz w:val="18"/>
        </w:rPr>
        <w:t>Yan W et al.  ·  Medicine (Baltimore)  ·  16.10.2026  ·  PMID 42888560</w:t>
      </w:r>
    </w:p>
    <w:p>
      <w:r>
        <w:t>Querschnittsanalyse von 8015 Erwachsenen ≥20 Jahre aus NHANES 2007–2018 zur Assoziation zwischen Frailty-Index und kardiovaskulärer Gesundheit nach American Heart Association Definition.</w:t>
      </w:r>
    </w:p>
    <w:p>
      <w:r>
        <w:rPr>
          <w:b/>
        </w:rPr>
        <w:t xml:space="preserve">Ergebnis: </w:t>
      </w:r>
      <w:r>
        <w:t>Höhere Frailty-Niveaus linear mit erhöhtem Risiko schlechter kardiovaskulärer Gesundheit assoziiert (dosisabhängig). Serum-25(OH)D-Level unabhängig invers mit schlechter kardiovaskulärer Gesundheit assoziiert. Keine statistisch signifikante multiplikative Interaktion zwischen Frailty und 25(OH)D. Assoziationen variierten nach Geschlecht und 25(OH)D-Status.</w:t>
      </w:r>
    </w:p>
    <w:p>
      <w:r>
        <w:rPr>
          <w:b/>
          <w:sz w:val="19"/>
        </w:rPr>
        <w:t xml:space="preserve">Übertragbarkeit: </w:t>
      </w:r>
      <w:r>
        <w:rPr>
          <w:sz w:val="19"/>
        </w:rPr>
        <w:t>USA, aber Frailty-Kardiovaskularität-Assoziation prinzipiell übertragbar</w:t>
      </w:r>
    </w:p>
    <w:p>
      <w:r>
        <w:rPr>
          <w:color w:val="5A7D3A"/>
          <w:sz w:val="18"/>
        </w:rPr>
        <w:t>https://pubmed.ncbi.nlm.nih.gov/42888560/</w:t>
      </w:r>
    </w:p>
    <w:p>
      <w:pPr>
        <w:pStyle w:val="Heading2"/>
      </w:pPr>
      <w:r>
        <w:t>Handgriffkraft und Stuhlaufstehen als Functional-Indikatoren: Methodische Vorbehalte bei multizentrischen Studien</w:t>
      </w:r>
    </w:p>
    <w:p>
      <w:r>
        <w:rPr>
          <w:i/>
          <w:color w:val="666666"/>
          <w:sz w:val="18"/>
        </w:rPr>
        <w:t>Kudratova Z et al.  ·  Aging Clin Exp Res  ·  15.10.2026  ·  PMID 42875631</w:t>
      </w:r>
    </w:p>
    <w:p>
      <w:r>
        <w:t>Methodologischer Kommentar zu Prospektivanalyse über kumulative Handgriffkraft und erfolgreiches Altern in drei internationalen Kohorten, kritische Bewertung von Studiendesign und Vergleichbarkeit.</w:t>
      </w:r>
    </w:p>
    <w:p>
      <w:r>
        <w:rPr>
          <w:b/>
        </w:rPr>
        <w:t xml:space="preserve">Ergebnis: </w:t>
      </w:r>
      <w:r>
        <w:t>Handgriffkraft erfasst nicht alle funktionellen Determinanten erfolgreiches Alterns. Selbstberichtete chronische Erkrankungen verursachen Klassifizierungsfehler (unterschiedlich nach Sozioökonomie). Zwei-Phasen-Temporaldesign adressiert Selektionsbias und Kohortengrenzen unzureichend. Kohorten-relatives kognitives Schwellenwert gefährdet Bevölkerungsvergleichbarkeit. Empfehlung: stärkere methodologische Reflexion und Standardisierung.</w:t>
      </w:r>
    </w:p>
    <w:p>
      <w:r>
        <w:rPr>
          <w:b/>
          <w:sz w:val="19"/>
        </w:rPr>
        <w:t xml:space="preserve">Übertragbarkeit: </w:t>
      </w:r>
      <w:r>
        <w:rPr>
          <w:sz w:val="19"/>
        </w:rPr>
        <w:t>Internationale Kohorten (USA, Asien, Europa), Methoden-Review – Design-Kritik grundsätzlich relevant</w:t>
      </w:r>
    </w:p>
    <w:p>
      <w:r>
        <w:rPr>
          <w:color w:val="5A7D3A"/>
          <w:sz w:val="18"/>
        </w:rPr>
        <w:t>https://pubmed.ncbi.nlm.nih.gov/42875631/</w:t>
      </w:r>
    </w:p>
    <w:p>
      <w:pPr>
        <w:pStyle w:val="Heading1"/>
      </w:pPr>
      <w:r>
        <w:t>Aufgenommen am 18.10.2026</w:t>
      </w:r>
    </w:p>
    <w:p>
      <w:pPr>
        <w:pStyle w:val="Heading2"/>
      </w:pPr>
      <w:r>
        <w:t>Krafttraining senkt Gebrechlichkeit im Alter stärker als Gehen oder Tai Chi</w:t>
      </w:r>
    </w:p>
    <w:p>
      <w:r>
        <w:rPr>
          <w:i/>
          <w:color w:val="666666"/>
          <w:sz w:val="18"/>
        </w:rPr>
        <w:t>Li J et al.  ·  Front Public Health  ·  02.10.2026  ·  PMID 42891303</w:t>
      </w:r>
    </w:p>
    <w:p>
      <w:r>
        <w:t>Systematische Übersicht mit Metaanalyse von randomisierten Studien zu Krafttraining, Gehen und Tai Chi bei älteren Menschen mit Gebrechlichkeit (Frailty).</w:t>
      </w:r>
    </w:p>
    <w:p>
      <w:r>
        <w:rPr>
          <w:b/>
        </w:rPr>
        <w:t xml:space="preserve">Ergebnis: </w:t>
      </w:r>
      <w:r>
        <w:t>Bei 1.361 Teilnehmern zeigte Krafttraining eine signifikante Reduktion von Gebrechlichkeit (SMD = -0,78, 95%-KI -1,22 bis -0,35), während Gehen und Tai Chi keine statistisch signifikanten Effekte aufwiesen. Heterogenität war erheblich (I² = 88%), und optimale Dosierungsempfehlungen konnten nicht abgeleitet werden.</w:t>
      </w:r>
    </w:p>
    <w:p>
      <w:r>
        <w:rPr>
          <w:b/>
          <w:sz w:val="19"/>
        </w:rPr>
        <w:t xml:space="preserve">Übertragbarkeit: </w:t>
      </w:r>
      <w:r>
        <w:rPr>
          <w:sz w:val="19"/>
        </w:rPr>
        <w:t>Internationale Evidenz, direkt auf deutsches Versorgungssystem übertragbar</w:t>
      </w:r>
    </w:p>
    <w:p>
      <w:r>
        <w:rPr>
          <w:color w:val="5A7D3A"/>
          <w:sz w:val="18"/>
        </w:rPr>
        <w:t>https://pubmed.ncbi.nlm.nih.gov/42891303/</w:t>
      </w:r>
    </w:p>
    <w:p>
      <w:pPr>
        <w:pStyle w:val="Heading1"/>
      </w:pPr>
      <w:r>
        <w:t>Aufgenommen am 17.10.2026</w:t>
      </w:r>
    </w:p>
    <w:p>
      <w:pPr>
        <w:pStyle w:val="Heading2"/>
      </w:pPr>
      <w:r>
        <w:t>Vitamin-D-Mangel und Frailty-Risiko im Alter: Assoziationen in USA-Daten</w:t>
      </w:r>
    </w:p>
    <w:p>
      <w:r>
        <w:rPr>
          <w:i/>
          <w:color w:val="666666"/>
          <w:sz w:val="18"/>
        </w:rPr>
        <w:t>Zheng J et al.  ·  Aging Male  ·  31.12.2026  ·  PMID 42886648</w:t>
      </w:r>
    </w:p>
    <w:p>
      <w:r>
        <w:t>Querschnittanalyse von 8.064 US-Amerikanern über 40 Jahren, untersucht die Beziehung zwischen Serum-Vitamin-D und Gebrechlichkeit mit einem 49-Item-Frailty-Index.</w:t>
      </w:r>
    </w:p>
    <w:p>
      <w:r>
        <w:rPr>
          <w:b/>
        </w:rPr>
        <w:t xml:space="preserve">Ergebnis: </w:t>
      </w:r>
      <w:r>
        <w:t>Vitamin-D-Mangel (&lt;25 nmol/L) war mit erhöhtem Frailty-Risiko assoziiert (OR 2,15, 95% CI 1,42–3,25), während Insuffizienz nicht signifikant war (OR 1,15, 95% CI 0,95–1,38). Gebrechlichkeitsprävalenz: Mangel 55,9%, Insuffizienz 42,9%, ausreichend 37,2%. U-förmiger Zusammenhang zwischen Vitamin-D und Frailty-Index.</w:t>
      </w:r>
    </w:p>
    <w:p>
      <w:r>
        <w:rPr>
          <w:b/>
          <w:sz w:val="19"/>
        </w:rPr>
        <w:t xml:space="preserve">Übertragbarkeit: </w:t>
      </w:r>
      <w:r>
        <w:rPr>
          <w:sz w:val="19"/>
        </w:rPr>
        <w:t>USA-Daten, aber Assoziationsfrage unabhängig von Gesundheitssystem, große bevölkerungsrepräsentative Stichprobe.</w:t>
      </w:r>
    </w:p>
    <w:p>
      <w:r>
        <w:rPr>
          <w:color w:val="5A7D3A"/>
          <w:sz w:val="18"/>
        </w:rPr>
        <w:t>https://pubmed.ncbi.nlm.nih.gov/42886648/</w:t>
      </w:r>
    </w:p>
    <w:p>
      <w:pPr>
        <w:pStyle w:val="Heading2"/>
      </w:pPr>
      <w:r>
        <w:t>Mundgesundheit und Gebrechlichkeit im Alter: Geschlechtsunterschiede</w:t>
      </w:r>
    </w:p>
    <w:p>
      <w:r>
        <w:rPr>
          <w:i/>
          <w:color w:val="666666"/>
          <w:sz w:val="18"/>
        </w:rPr>
        <w:t>Yang JE et al.  ·  PLoS One  ·  16.10.2026  ·  PMID 42886645</w:t>
      </w:r>
    </w:p>
    <w:p>
      <w:r>
        <w:t>Südkoreanische Querschnittstudie mit 3.729 älteren Menschen (≥65 Jahre) untersucht Assoziationen zwischen Mundgesundheit und Frailty-Status (robust, Prä-Frailty, Frailty).</w:t>
      </w:r>
    </w:p>
    <w:p>
      <w:r>
        <w:rPr>
          <w:b/>
        </w:rPr>
        <w:t xml:space="preserve">Ergebnis: </w:t>
      </w:r>
      <w:r>
        <w:t>16% waren gebrechlich, 84% nicht gebrechlich. Zahnlosigkeit ohne Zahnersatz war stärkster Faktor (Frauen: OR 3,76; Männer: OR 2,95). Zahnlosigkeit, Kau-/Schluckstörungen und Zahnschmerzen waren signifikant mit Frailty assoziiert. Geschlechtsspezifische Unterschiede: Zahnempfindlichkeit erhöhte Frailty-Risiko bei Frauen (OR 1,82), senkte es bei Männern (OR 0,85).</w:t>
      </w:r>
    </w:p>
    <w:p>
      <w:r>
        <w:rPr>
          <w:b/>
          <w:sz w:val="19"/>
        </w:rPr>
        <w:t xml:space="preserve">Übertragbarkeit: </w:t>
      </w:r>
      <w:r>
        <w:rPr>
          <w:sz w:val="19"/>
        </w:rPr>
        <w:t>Korea, Datenqualität hoch, aber Übertragbarkeit auf Deutschland eingeschränkt durch unterschiedliche Zahnversorgung und Mundgesundheit.</w:t>
      </w:r>
    </w:p>
    <w:p>
      <w:r>
        <w:rPr>
          <w:color w:val="5A7D3A"/>
          <w:sz w:val="18"/>
        </w:rPr>
        <w:t>https://pubmed.ncbi.nlm.nih.gov/42886645/</w:t>
      </w:r>
    </w:p>
    <w:p>
      <w:pPr>
        <w:pStyle w:val="Heading2"/>
      </w:pPr>
      <w:r>
        <w:t>Ernährungsinterventionen bei Mangelernährung, Sarkopenie und Frailty im Alter</w:t>
      </w:r>
    </w:p>
    <w:p>
      <w:r>
        <w:rPr>
          <w:i/>
          <w:color w:val="666666"/>
          <w:sz w:val="18"/>
        </w:rPr>
        <w:t>Khalaf H et al.  ·  Nutrients  ·  27.09.2026  ·  PMID 42884640</w:t>
      </w:r>
    </w:p>
    <w:p>
      <w:r>
        <w:t>Narrative Übersichtsarbeit zur Evidenz für Ernährungsmassnahmen (Food First, Lebensmittelfortifikation, orale Nahrungsergänzungen) bei älteren Menschen und Pflegeheimbewohnern.</w:t>
      </w:r>
    </w:p>
    <w:p>
      <w:r>
        <w:rPr>
          <w:b/>
        </w:rPr>
        <w:t xml:space="preserve">Ergebnis: </w:t>
      </w:r>
      <w:r>
        <w:t>Lebensmittelfortifikation erhöht effektiv Energie- und Proteinaufnahme; orale Nahrungsergänzungen (ONS) verbessern BMI und Alltagsfunktion und senken Hospitalisierungsraten. Multimodale Ansätze (Ernährung plus Bewegung) sind wirksamer; geringe Therapieadhärenz bleibt Barriere. Food-First-Ansatz in Kombination mit ONS zeigt beste Ergebnisse.</w:t>
      </w:r>
    </w:p>
    <w:p>
      <w:r>
        <w:rPr>
          <w:b/>
          <w:sz w:val="19"/>
        </w:rPr>
        <w:t xml:space="preserve">Übertragbarkeit: </w:t>
      </w:r>
      <w:r>
        <w:rPr>
          <w:sz w:val="19"/>
        </w:rPr>
        <w:t>UK/Europa-Daten, transferierbar auf deutschsprachige Pflegeheimversorgung.</w:t>
      </w:r>
    </w:p>
    <w:p>
      <w:r>
        <w:rPr>
          <w:color w:val="5A7D3A"/>
          <w:sz w:val="18"/>
        </w:rPr>
        <w:t>https://pubmed.ncbi.nlm.nih.gov/42884640/</w:t>
      </w:r>
    </w:p>
    <w:p>
      <w:pPr>
        <w:pStyle w:val="Heading2"/>
      </w:pPr>
      <w:r>
        <w:t>Hochverarbeitete Lebensmittel und Frailty im Alter: Assoziationen in Südkorea</w:t>
      </w:r>
    </w:p>
    <w:p>
      <w:r>
        <w:rPr>
          <w:i/>
          <w:color w:val="666666"/>
          <w:sz w:val="18"/>
        </w:rPr>
        <w:t>Lee H et al.  ·  Nutrients  ·  23.09.2026  ·  PMID 42884586</w:t>
      </w:r>
    </w:p>
    <w:p>
      <w:r>
        <w:t>Querschnittanalyse von 9.861 südkoreanischen Älteren (≥65 Jahre) untersucht die Beziehung zwischen Anteil hochverarbeiteter Lebensmittel (UPF) an der Gesamtenergieaufnahme und Gebrechlichkeit.</w:t>
      </w:r>
    </w:p>
    <w:p>
      <w:r>
        <w:rPr>
          <w:b/>
        </w:rPr>
        <w:t xml:space="preserve">Ergebnis: </w:t>
      </w:r>
      <w:r>
        <w:t>Höchstes Quartil UPF-Energieanteil zeigte 31% höheres Frailty-Risiko als niedrigstes (OR 1,31, 95% CI 1,08–1,59, p=0,002). Besondere Assoziation mit niedriger körperlicher Aktivität (OR 1,31, 95% CI 1,13–1,51). Linearer Dosis-Wirkungs-Zusammenhang (keine Nicht-Linearität, p=0,8).</w:t>
      </w:r>
    </w:p>
    <w:p>
      <w:r>
        <w:rPr>
          <w:b/>
          <w:sz w:val="19"/>
        </w:rPr>
        <w:t xml:space="preserve">Übertragbarkeit: </w:t>
      </w:r>
      <w:r>
        <w:rPr>
          <w:sz w:val="19"/>
        </w:rPr>
        <w:t>Korea, Ernährungsassoziationen sind kulturabhängig und weniger auf Deutschland übertragbar als mediterrane oder nordeuropäische Diätmuster.</w:t>
      </w:r>
    </w:p>
    <w:p>
      <w:r>
        <w:rPr>
          <w:color w:val="5A7D3A"/>
          <w:sz w:val="18"/>
        </w:rPr>
        <w:t>https://pubmed.ncbi.nlm.nih.gov/42884586/</w:t>
      </w:r>
    </w:p>
    <w:p>
      <w:pPr>
        <w:pStyle w:val="Heading2"/>
      </w:pPr>
      <w:r>
        <w:t>Alltagsmessung psychischer Symptome im älteren Alter: Machbarkeit und Prädiktoren</w:t>
      </w:r>
    </w:p>
    <w:p>
      <w:r>
        <w:rPr>
          <w:i/>
          <w:color w:val="666666"/>
          <w:sz w:val="18"/>
        </w:rPr>
        <w:t>Kang J et al.  ·  J Affect Disord  ·  01.01.2027  ·  PMID 42785391</w:t>
      </w:r>
    </w:p>
    <w:p>
      <w:r>
        <w:t>US-amerikanische Studie mit 64 älteren Erwachsenen (Durchschnittsalter 63,4 Jahre; 31 gesund, 33 mit Depression), die zweimal täglich über ~10 Wochen Symptome via Smartphone berichteten.</w:t>
      </w:r>
    </w:p>
    <w:p>
      <w:r>
        <w:rPr>
          <w:b/>
        </w:rPr>
        <w:t xml:space="preserve">Ergebnis: </w:t>
      </w:r>
      <w:r>
        <w:t>Gesamtausfallquote 76% (SD 22,1). Gesunde Teilnehmer zeigten höhere Compliance (81% vs. 71% bei Depression, p=0,04). Schnellere Antwortlatenz sagte höhere Adhärenz voraus. Rasche affektive Schwankungen am Anfang waren Prädiktoren niedriger Adhärenz. EMA ist mit Anpassungen im späteren Alter durchführbar.</w:t>
      </w:r>
    </w:p>
    <w:p>
      <w:r>
        <w:rPr>
          <w:b/>
          <w:sz w:val="19"/>
        </w:rPr>
        <w:t xml:space="preserve">Übertragbarkeit: </w:t>
      </w:r>
      <w:r>
        <w:rPr>
          <w:sz w:val="19"/>
        </w:rPr>
        <w:t>USA, Methode unabhängig von Gesundheitssystem, aber Adhärenz-Faktoren in älteren Erwachsenen noch wenig erforscht.</w:t>
      </w:r>
    </w:p>
    <w:p>
      <w:r>
        <w:rPr>
          <w:color w:val="5A7D3A"/>
          <w:sz w:val="18"/>
        </w:rPr>
        <w:t>https://pubmed.ncbi.nlm.nih.gov/42785391/</w:t>
      </w:r>
    </w:p>
    <w:p>
      <w:pPr>
        <w:pStyle w:val="Heading2"/>
      </w:pPr>
      <w:r>
        <w:t>Funktionsfähigkeit am Lebensende: Drei Verlaufsmuster in den letzten Lebensjahren</w:t>
      </w:r>
    </w:p>
    <w:p>
      <w:r>
        <w:rPr>
          <w:i/>
          <w:color w:val="666666"/>
          <w:sz w:val="18"/>
        </w:rPr>
        <w:t>Kyrönlahti S et al.  ·  J Gerontol A Biol Sci Med Sci  ·  06.10.2026  ·  PMID 42720597</w:t>
      </w:r>
    </w:p>
    <w:p>
      <w:r>
        <w:t>Schwedische Längsschnittstudie mit 2.294 älteren Menschen (62% Frauen, Durchschnittsalter 89,8 Jahre), die verfolgte, wie sich Alltagsfähigkeiten (ADL-Einschränkungen) zeitlich vor dem Tod entwickelten.</w:t>
      </w:r>
    </w:p>
    <w:p>
      <w:r>
        <w:rPr>
          <w:b/>
        </w:rPr>
        <w:t xml:space="preserve">Ergebnis: </w:t>
      </w:r>
      <w:r>
        <w:t>53% zeigten durchgehend niedrige ADL-Einschränkungen bis zum Tod, 36% einen flachen Anstieg und 11% einen steilen Anstieg. Frauen, niedriger gebildete Personen und älter Verstorbene hatten häufiger zunehmende Behinderung. Kognitives Defizit war mit steiler Verschlechterung assoziiert. Für die meisten blieb die funktionale Fähigkeit bis 2 Jahre vor dem Tod erhalten.</w:t>
      </w:r>
    </w:p>
    <w:p>
      <w:r>
        <w:rPr>
          <w:b/>
          <w:sz w:val="19"/>
        </w:rPr>
        <w:t xml:space="preserve">Übertragbarkeit: </w:t>
      </w:r>
      <w:r>
        <w:rPr>
          <w:sz w:val="19"/>
        </w:rPr>
        <w:t>Schwedische Daten, vergleichbare nordeuropäische Altersstruktur und Versorgungssystem.</w:t>
      </w:r>
    </w:p>
    <w:p>
      <w:r>
        <w:rPr>
          <w:color w:val="5A7D3A"/>
          <w:sz w:val="18"/>
        </w:rPr>
        <w:t>https://pubmed.ncbi.nlm.nih.gov/42720597/</w:t>
      </w:r>
    </w:p>
    <w:p>
      <w:pPr>
        <w:pStyle w:val="Heading1"/>
      </w:pPr>
      <w:r>
        <w:t>Aufgenommen am 16.10.2026</w:t>
      </w:r>
    </w:p>
    <w:p>
      <w:pPr>
        <w:pStyle w:val="Heading2"/>
      </w:pPr>
      <w:r>
        <w:t>Hörverfall in der Lebensmitte: Metabolische Gesundheit und Lärmexposition prägen Verlauf</w:t>
      </w:r>
    </w:p>
    <w:p>
      <w:r>
        <w:rPr>
          <w:i/>
          <w:color w:val="666666"/>
          <w:sz w:val="18"/>
        </w:rPr>
        <w:t>Smit AL et al.  ·  PLoS One  ·  15.10.2026  ·  PMID 42879410</w:t>
      </w:r>
    </w:p>
    <w:p>
      <w:r>
        <w:t>Sechsjährige Längsschnittstudie an 3.596 Mittelalten (Baseline 45–70 Jahre) in Australien untersucht, wie Stoffwechsel und Umweltfaktoren die Hörfähigkeit beeinflussen.</w:t>
      </w:r>
    </w:p>
    <w:p>
      <w:r>
        <w:rPr>
          <w:b/>
        </w:rPr>
        <w:t xml:space="preserve">Ergebnis: </w:t>
      </w:r>
      <w:r>
        <w:t>Hörschwellen verschlechterten sich über 6 Jahre; Prävalenz mild-oder-stärkerer Hörverlust stieg von 14 % auf 26 % (4FPTA) und 53 % auf 71 % (HFPTA). Größerer Verfall bei Männern und Hochfrequenzen. Signifikante Assoziationen: höheres Alter, männliches Geschlecht, höherer BMI, Rauchen, Tinnitus, chronische Ohrentzündung, Lärmexposition ohne Gehörschutz, Hypertonie und Prädiabetes. Befunde deuten auf komplexes Zusammenspiel metabolischer und Umweltfaktoren.</w:t>
      </w:r>
    </w:p>
    <w:p>
      <w:r>
        <w:rPr>
          <w:b/>
          <w:sz w:val="19"/>
        </w:rPr>
        <w:t xml:space="preserve">Übertragbarkeit: </w:t>
      </w:r>
      <w:r>
        <w:rPr>
          <w:sz w:val="19"/>
        </w:rPr>
        <w:t>Australien, vergleichbar Deutschland und Westeuropa; Gehörverlust in der Lebensmitte auch in Deutschland relevant.</w:t>
      </w:r>
    </w:p>
    <w:p>
      <w:r>
        <w:rPr>
          <w:color w:val="5A7D3A"/>
          <w:sz w:val="18"/>
        </w:rPr>
        <w:t>https://pubmed.ncbi.nlm.nih.gov/42879410/</w:t>
      </w:r>
    </w:p>
    <w:p>
      <w:pPr>
        <w:pStyle w:val="Heading2"/>
      </w:pPr>
      <w:r>
        <w:t>Frailty bei rheumatoider Arthritis: Häufig, prognostisch bedeutsam, teilweise modifizierbar</w:t>
      </w:r>
    </w:p>
    <w:p>
      <w:r>
        <w:rPr>
          <w:i/>
          <w:color w:val="666666"/>
          <w:sz w:val="18"/>
        </w:rPr>
        <w:t>Legge A et al.  ·  Curr Rheumatol Rep  ·  15.10.2026  ·  PMID 42878990</w:t>
      </w:r>
    </w:p>
    <w:p>
      <w:r>
        <w:t>Übersichtsarbeit zur Prävalenz, Messung und klinischen Bedeutung von Frailty bei rheumatoider Arthritis – ein häufiges Merkmal vorzeitigen Alterns.</w:t>
      </w:r>
    </w:p>
    <w:p>
      <w:r>
        <w:rPr>
          <w:b/>
        </w:rPr>
        <w:t xml:space="preserve">Ergebnis: </w:t>
      </w:r>
      <w:r>
        <w:t>Frailty betrifft etwa ein Drittel der RA-Patienten; Prävalenz variiert mit Messinstrument. Frailty konsistent assoziiert mit höherer Krankheitsaktivität, schlechterer körperlicher Funktion, Depression, Schmerz, reduzierter Lebensqualität und mehr Komorbiditäten. Längsschnittstudien zeigen: Frailty prädiktiv für Hospitalisierung, ernsthafte Infektionen, osteoporotische Frakturen, funktionellen Verfall, Wiederaufnahme und Mortalität – unabhängig von klassischen Risikofaktoren. Bidirektionale Beziehung zwischen Frailty und RA-Aktivität; RA-Kontrolle, Arzneimitteloptimierung und körperliche Aktivität können Frailty wahrscheinlich verbessern.</w:t>
      </w:r>
    </w:p>
    <w:p>
      <w:r>
        <w:rPr>
          <w:b/>
          <w:sz w:val="19"/>
        </w:rPr>
        <w:t xml:space="preserve">Übertragbarkeit: </w:t>
      </w:r>
      <w:r>
        <w:rPr>
          <w:sz w:val="19"/>
        </w:rPr>
        <w:t>Versorgungsfrage weltweit; Frailty-Assessment und -Interventionen universell anwendbar.</w:t>
      </w:r>
    </w:p>
    <w:p>
      <w:r>
        <w:rPr>
          <w:color w:val="5A7D3A"/>
          <w:sz w:val="18"/>
        </w:rPr>
        <w:t>https://pubmed.ncbi.nlm.nih.gov/42878990/</w:t>
      </w:r>
    </w:p>
    <w:p>
      <w:pPr>
        <w:pStyle w:val="Heading2"/>
      </w:pPr>
      <w:r>
        <w:t>Psychologische Folgen von Stürzen im Alter: internationale Konsensusdefinition</w:t>
      </w:r>
    </w:p>
    <w:p>
      <w:r>
        <w:rPr>
          <w:i/>
          <w:color w:val="666666"/>
          <w:sz w:val="18"/>
        </w:rPr>
        <w:t>Okrah AK et al.  ·  Age Ageing  ·  03.08.2026  ·  PMID 42878245</w:t>
      </w:r>
    </w:p>
    <w:p>
      <w:r>
        <w:t>Internationale Expertengruppe entwickelt erste formale Definition der psychologischen Schäden nach Stürzen älterer Menschen.</w:t>
      </w:r>
    </w:p>
    <w:p>
      <w:r>
        <w:rPr>
          <w:b/>
        </w:rPr>
        <w:t xml:space="preserve">Ergebnis: </w:t>
      </w:r>
      <w:r>
        <w:t>93 % (28/30) der Panel-Mitglieder bestätigten Bedarf für eine formale Definition. Konsensus erreicht in Runde 4 (n=48, 77,4%), stabilisiert in Runde 5 (n=49, 86,0%). Psychologische Sturzfolgen definiert als emotionale, verhaltensbezogene und psychische Konsequenzen nach Sturz oder Sturzangst, mit Beispielen Sturzsorge (89%) und Aktivitätsvermeidung (82%).</w:t>
      </w:r>
    </w:p>
    <w:p>
      <w:r>
        <w:rPr>
          <w:b/>
          <w:sz w:val="19"/>
        </w:rPr>
        <w:t xml:space="preserve">Übertragbarkeit: </w:t>
      </w:r>
      <w:r>
        <w:rPr>
          <w:sz w:val="19"/>
        </w:rPr>
        <w:t>UK, Australien, Deutschland – Sturzprävention ist universelle Versorgungsfrage.</w:t>
      </w:r>
    </w:p>
    <w:p>
      <w:r>
        <w:rPr>
          <w:color w:val="5A7D3A"/>
          <w:sz w:val="18"/>
        </w:rPr>
        <w:t>https://pubmed.ncbi.nlm.nih.gov/42878245/</w:t>
      </w:r>
    </w:p>
    <w:p>
      <w:pPr>
        <w:pStyle w:val="Heading2"/>
      </w:pPr>
      <w:r>
        <w:t>Soziale Teilhabe stärker mit gesundem Altern verbunden als einzelne Verhaltensweisen</w:t>
      </w:r>
    </w:p>
    <w:p>
      <w:r>
        <w:rPr>
          <w:i/>
          <w:color w:val="666666"/>
          <w:sz w:val="18"/>
        </w:rPr>
        <w:t>Sahab L et al.  ·  Front Public Health  ·  30.09.2026  ·  PMID 42876511</w:t>
      </w:r>
    </w:p>
    <w:p>
      <w:r>
        <w:t>Longitudinale Analyse von 9.748 älteren Amerikanern über 10 Jahre prüft, welche Faktoren mit Freiheit von Behinderung, kognitiver Intaktheit und hoher Funktionsfähigkeit im Alter assoziiert sind.</w:t>
      </w:r>
    </w:p>
    <w:p>
      <w:r>
        <w:rPr>
          <w:b/>
        </w:rPr>
        <w:t xml:space="preserve">Ergebnis: </w:t>
      </w:r>
      <w:r>
        <w:t>Soziale Teilhabe 2006 signifikant assoziiert mit gesundem Altern 2016 (Schätzer 0,09, 95%-KI 0,08–0,11). Körperliche Aktivität zeigte stärkste Assoziation (0,31, 95%-KI 0,29–0,33). Gesundes Altern 2010 prädiktiv für 2016 (0,46, 95%-KI 0,45–0,47). Soziale Teilhabe ist Schlüsselfaktor für Healthy Ageing neben etablierten Verhaltensweisen.</w:t>
      </w:r>
    </w:p>
    <w:p>
      <w:r>
        <w:rPr>
          <w:b/>
          <w:sz w:val="19"/>
        </w:rPr>
        <w:t xml:space="preserve">Übertragbarkeit: </w:t>
      </w:r>
      <w:r>
        <w:rPr>
          <w:sz w:val="19"/>
        </w:rPr>
        <w:t>USA, Datenbasis Health and Retirement Study – Sozialsystem unterscheidet sich; Kernbefund zu sozialer Teilhabe aber universell relevant.</w:t>
      </w:r>
    </w:p>
    <w:p>
      <w:r>
        <w:rPr>
          <w:color w:val="5A7D3A"/>
          <w:sz w:val="18"/>
        </w:rPr>
        <w:t>https://pubmed.ncbi.nlm.nih.gov/42876511/</w:t>
      </w:r>
    </w:p>
    <w:p>
      <w:pPr>
        <w:pStyle w:val="Heading2"/>
      </w:pPr>
      <w:r>
        <w:t>Frailty-Assessment in Alzheimer-Therapieentscheidungen: Expertenkonsens</w:t>
      </w:r>
    </w:p>
    <w:p>
      <w:r>
        <w:rPr>
          <w:i/>
          <w:color w:val="666666"/>
          <w:sz w:val="18"/>
        </w:rPr>
        <w:t>Bellelli G et al.  ·  J Prev Alzheimers Dis  ·  04.09.2026  ·  PMID 42697176</w:t>
      </w:r>
    </w:p>
    <w:p>
      <w:r>
        <w:t>Europäische und internationale Expertengruppe empfiehlt systematische Frailty-Bewertung bei Auswahl von Disease-modifying-Therapien im Alter.</w:t>
      </w:r>
    </w:p>
    <w:p>
      <w:r>
        <w:rPr>
          <w:b/>
        </w:rPr>
        <w:t xml:space="preserve">Ergebnis: </w:t>
      </w:r>
      <w:r>
        <w:t>Frailty betrifft etwa ein Drittel der Alzheimer-Patienten. Frailty ist assoziiert mit höherer Krankheitsaktivität, schlechterer Funktionsfähigkeit, mehr Depressionen, Schmerzen und Mortalität – unabhängig von klassischen Risikofaktoren. Empfehlung: regelmäßiges Frailty-Assessment in Klinik und Studien; Arzneimitteloptimierung und körperliche Aktivität können Frailty möglicherweise verbessern.</w:t>
      </w:r>
    </w:p>
    <w:p>
      <w:r>
        <w:rPr>
          <w:b/>
          <w:sz w:val="19"/>
        </w:rPr>
        <w:t xml:space="preserve">Übertragbarkeit: </w:t>
      </w:r>
      <w:r>
        <w:rPr>
          <w:sz w:val="19"/>
        </w:rPr>
        <w:t>Europäische Versorgungssysteme (Italien, UK, Frankreich, Schweiz, Skandinavien, Irland); direkt auf deutsches Setting übertragbar.</w:t>
      </w:r>
    </w:p>
    <w:p>
      <w:r>
        <w:rPr>
          <w:color w:val="5A7D3A"/>
          <w:sz w:val="18"/>
        </w:rPr>
        <w:t>https://pubmed.ncbi.nlm.nih.gov/42697176/</w:t>
      </w:r>
    </w:p>
    <w:p>
      <w:pPr>
        <w:pStyle w:val="Heading2"/>
      </w:pPr>
      <w:r>
        <w:t>Kognitiver Abbau beginnt bereits in den 30ern: Längsschnittpool aus drei Kontinenten</w:t>
      </w:r>
    </w:p>
    <w:p>
      <w:r>
        <w:rPr>
          <w:i/>
          <w:color w:val="666666"/>
          <w:sz w:val="18"/>
        </w:rPr>
        <w:t>Novotný JS et al.  ·  J Prev Alzheimers Dis  ·  07.08.2026  ·  PMID 42566820</w:t>
      </w:r>
    </w:p>
    <w:p>
      <w:r>
        <w:t>Gepoolte Längsschnittstudie mit 14.389 Erwachsenen aus China, USA und Tschechien identifiziert Alter des Beginns messbarer kognitiver Abnahme und ihre Trajektorien.</w:t>
      </w:r>
    </w:p>
    <w:p>
      <w:r>
        <w:rPr>
          <w:b/>
        </w:rPr>
        <w:t xml:space="preserve">Ergebnis: </w:t>
      </w:r>
      <w:r>
        <w:t>Messbarer kognitiver Abbau erste Mal in der Altersgruppe 31–40 Jahre erkannt (durchschnittliche Änderung −1,2 Punkte, 95%-KI −2,1 bis −0,3). Abnahmemagnitude stieg progressiv mit Alter, erreichte −11,4 Punkte in ältesten Gruppe (alle p&lt;0,001). Nicht-Gedächtnisdomänen zeigten frühere Anfälligkeit (ab 31 Jahre), signifikanter Gedächtnisabbau erst nach 50. Individuelle Trajektorien zeigen hohe Heterogenität; chronologisches Alter ist kein deterministischer Proxy für Abbau. Befunde unterstützen Lebenskurs-Ansätze zur Gehirngesundheit.</w:t>
      </w:r>
    </w:p>
    <w:p>
      <w:r>
        <w:rPr>
          <w:b/>
          <w:sz w:val="19"/>
        </w:rPr>
        <w:t xml:space="preserve">Übertragbarkeit: </w:t>
      </w:r>
      <w:r>
        <w:rPr>
          <w:sz w:val="19"/>
        </w:rPr>
        <w:t>Asien, Nordamerika, Europa – Datenkohärenz über drei Kontinente; universell für frühe Überwachung relevant.</w:t>
      </w:r>
    </w:p>
    <w:p>
      <w:r>
        <w:rPr>
          <w:color w:val="5A7D3A"/>
          <w:sz w:val="18"/>
        </w:rPr>
        <w:t>https://pubmed.ncbi.nlm.nih.gov/42566820/</w:t>
      </w:r>
    </w:p>
    <w:p>
      <w:pPr>
        <w:pStyle w:val="Heading1"/>
      </w:pPr>
      <w:r>
        <w:t>Aufgenommen am 15.10.2026</w:t>
      </w:r>
    </w:p>
    <w:p>
      <w:pPr>
        <w:pStyle w:val="Heading2"/>
      </w:pPr>
      <w:r>
        <w:t>Blutmetaboliten als Sterblichkeitsuhr: Beschleunigte Metabolomic-Alterung erhöht Mortalität um 60%</w:t>
      </w:r>
    </w:p>
    <w:p>
      <w:r>
        <w:rPr>
          <w:i/>
          <w:color w:val="666666"/>
          <w:sz w:val="18"/>
        </w:rPr>
        <w:t>Cao L et al.  ·  Sci Transl Med  ·  14.10.2026  ·  PMID 42873893</w:t>
      </w:r>
    </w:p>
    <w:p>
      <w:r>
        <w:t>Entwicklung von Metabolomic-Alterungsuhr (mAA) und Mortalitäts-Metrik (Age Deviation) an 18.476 Chinesen (Alter 1–96 Jahre) mittels Plasma-Metabolom-Profiling über 6 Jahre Nachbeobachtung (2019–2025).</w:t>
      </w:r>
    </w:p>
    <w:p>
      <w:r>
        <w:rPr>
          <w:b/>
        </w:rPr>
        <w:t xml:space="preserve">Ergebnis: </w:t>
      </w:r>
      <w:r>
        <w:t>56 altersassoziierte Metabolite wurden identifiziert. Höhere mAA war assoziiert mit Gesundheitsverschlechterung, ungünstigen Lebensstilen und erhöhtem Risiko für chronische Erkrankungen (Fettleber, Hypertonie, Diabetes) sowie All-Cause-Mortalität während Follow-up. Age Deviation (Abweichung vom alterserwarteten Mortalitätsrisiko) korrelierte mit etablierten Gesundheitsmessgrößen und Multimorbidität. Plasma-Metabolomic-Profile könnten als skalierbare, lebensumfassende Methode zur Risikoschichtung verwendet werden.</w:t>
      </w:r>
    </w:p>
    <w:p>
      <w:r>
        <w:rPr>
          <w:b/>
          <w:sz w:val="19"/>
        </w:rPr>
        <w:t xml:space="preserve">Übertragbarkeit: </w:t>
      </w:r>
      <w:r>
        <w:rPr>
          <w:sz w:val="19"/>
        </w:rPr>
        <w:t>China; Metabolomic-Biomarker erfordern Validierung in europäischen Kohorten</w:t>
      </w:r>
    </w:p>
    <w:p>
      <w:r>
        <w:rPr>
          <w:color w:val="5A7D3A"/>
          <w:sz w:val="18"/>
        </w:rPr>
        <w:t>https://pubmed.ncbi.nlm.nih.gov/42873893/</w:t>
      </w:r>
    </w:p>
    <w:p>
      <w:pPr>
        <w:pStyle w:val="Heading2"/>
      </w:pPr>
      <w:r>
        <w:t>Frailty und Hypoalbuminämie als Prädiktoren für Funktionsverlust nach Schlaganfall</w:t>
      </w:r>
    </w:p>
    <w:p>
      <w:r>
        <w:rPr>
          <w:i/>
          <w:color w:val="666666"/>
          <w:sz w:val="18"/>
        </w:rPr>
        <w:t>Yang J et al.  ·  Nurs Open  ·  Okt. 2026  ·  PMID 42872623</w:t>
      </w:r>
    </w:p>
    <w:p>
      <w:r>
        <w:t>Prospektive Kohortenstudie an 175 Schlaganfallpatienten, die untersuchte, ob Hypoalbuminämie die Beziehung zwischen Gebrechlichkeit und schlechtem funktionellem Outcome vermittelt.</w:t>
      </w:r>
    </w:p>
    <w:p>
      <w:r>
        <w:rPr>
          <w:b/>
        </w:rPr>
        <w:t xml:space="preserve">Ergebnis: </w:t>
      </w:r>
      <w:r>
        <w:t>Von 175 Patienten waren 29,7% gebrechlich und 36,6% entwickelten Hypoalbuminämie. Gebrechlichkeit war assoziiert mit schlechtem Outcome (mRS &gt;3) bei Entlassung (RR 1,56; 95% KI 1,12–2,16), nach 30 Tagen (RR 2,02; 95% KI 1,41–2,89) und nach 90 Tagen (RR 2,79; 95% KI 1,81–4,30). Hypoalbuminämie vermittelte diese Assoziation teilweise mit Anteilen von 22,2% (Entlassung), 16,9% (30 Tage) und 14,0% (90 Tage). Das Frailty-Screening und Albuminmonitoring können frühe Risikostratifizierung ermöglichen.</w:t>
      </w:r>
    </w:p>
    <w:p>
      <w:r>
        <w:rPr>
          <w:b/>
          <w:sz w:val="19"/>
        </w:rPr>
        <w:t xml:space="preserve">Übertragbarkeit: </w:t>
      </w:r>
      <w:r>
        <w:rPr>
          <w:sz w:val="19"/>
        </w:rPr>
        <w:t>China-Daten, aber Frailty-Assessment und Ernährungsmonitoring sind universal anwendbar</w:t>
      </w:r>
    </w:p>
    <w:p>
      <w:r>
        <w:rPr>
          <w:color w:val="5A7D3A"/>
          <w:sz w:val="18"/>
        </w:rPr>
        <w:t>https://pubmed.ncbi.nlm.nih.gov/42872623/</w:t>
      </w:r>
    </w:p>
    <w:p>
      <w:pPr>
        <w:pStyle w:val="Heading2"/>
      </w:pPr>
      <w:r>
        <w:t>Neurotoxische Berufsexpositionen beschleunigen Gehirnalterung: Scoping Review zu Kognitiver Reserve</w:t>
      </w:r>
    </w:p>
    <w:p>
      <w:r>
        <w:rPr>
          <w:i/>
          <w:color w:val="666666"/>
          <w:sz w:val="18"/>
        </w:rPr>
        <w:t>Leton N et al.  ·  Front Public Health  ·  29.09.2026  ·  PMID 42871458</w:t>
      </w:r>
    </w:p>
    <w:p>
      <w:r>
        <w:t>Systematische Scoping Review (16 Studien, 2011–2026) zur Assoziation beruflicher Neurotoxinexpositionen (Blei, Aluminium, Lösungsmittel) mit kognitiven Defiziten und Gehirnalterung.</w:t>
      </w:r>
    </w:p>
    <w:p>
      <w:r>
        <w:rPr>
          <w:b/>
        </w:rPr>
        <w:t xml:space="preserve">Ergebnis: </w:t>
      </w:r>
      <w:r>
        <w:t>Studien zeigten durchgehend Assoziationen zwischen Exposition (Blei, Lösungsmittel, Verbrennungsprodukte) und kognitiven oder neurologischen Defiziten relevant für Gehirnalterung. Häufigste Outcomes: Kognitive Abnahme/Beeinträchtigung; Neuroimaging-Befunde: funktionelle Konnektivität, Weiße-Substanz-Veränderungen, kortikale Dicke und Hirnvolumenreduktion. Kognitive Reserve wurde inkonsistent operationalisiert (Bildung, biologische Anfälligkeit, Neuroimaging-Marker). China war am häufigsten vertreten, Evidenz aus anderen ressourcenlimitierten Regionen begrenzt.</w:t>
      </w:r>
    </w:p>
    <w:p>
      <w:r>
        <w:rPr>
          <w:b/>
          <w:sz w:val="19"/>
        </w:rPr>
        <w:t xml:space="preserve">Übertragbarkeit: </w:t>
      </w:r>
      <w:r>
        <w:rPr>
          <w:sz w:val="19"/>
        </w:rPr>
        <w:t>Internationale Berufsgesundheit; Deutschland mit vergleichbarer Expositionserfassung</w:t>
      </w:r>
    </w:p>
    <w:p>
      <w:r>
        <w:rPr>
          <w:color w:val="5A7D3A"/>
          <w:sz w:val="18"/>
        </w:rPr>
        <w:t>https://pubmed.ncbi.nlm.nih.gov/42871458/</w:t>
      </w:r>
    </w:p>
    <w:p>
      <w:pPr>
        <w:pStyle w:val="Heading2"/>
      </w:pPr>
      <w:r>
        <w:t>Altersstigma fördert Depression im Alter: Soziale Unterstützung als Schutzfaktor</w:t>
      </w:r>
    </w:p>
    <w:p>
      <w:r>
        <w:rPr>
          <w:i/>
          <w:color w:val="666666"/>
          <w:sz w:val="18"/>
        </w:rPr>
        <w:t>Karasoy G et al.  ·  Psychogeriatrics  ·  Nov. 2026  ·  PMID 42870687</w:t>
      </w:r>
    </w:p>
    <w:p>
      <w:r>
        <w:t>Querschnittstudie an 162 Personen ab 65 Jahren zur Assoziation von internalisiertem Altersstigma und wahrgenommener sozialer Unterstützung mit depressiven Symptomen.</w:t>
      </w:r>
    </w:p>
    <w:p>
      <w:r>
        <w:rPr>
          <w:b/>
        </w:rPr>
        <w:t xml:space="preserve">Ergebnis: </w:t>
      </w:r>
      <w:r>
        <w:t>Höheres Altersstigma war assoziiert mit höheren depressiven Symptomen (β=0,205; 95% KI 0,099–0,311), höhere soziale Unterstützung mit niedrigeren Symptomen (β=−0,506; 95% KI −0,636 bis −0,375). Die Interaktion war signifikant (B=−0,002; 95% KI −0,003 bis −0,001; p&lt;0,001): Altersstigma war nur bei niedriger bis mittlerer sozialer Unterstützung mit Depression assoziiert, nicht bei hoher Unterstützung. Soziale Ressourcen puffern den negativen Effekt von Altersstereotypen.</w:t>
      </w:r>
    </w:p>
    <w:p>
      <w:r>
        <w:rPr>
          <w:b/>
          <w:sz w:val="19"/>
        </w:rPr>
        <w:t xml:space="preserve">Übertragbarkeit: </w:t>
      </w:r>
      <w:r>
        <w:rPr>
          <w:sz w:val="19"/>
        </w:rPr>
        <w:t>Türkei; Psychosoziale Mechanismen universal, aber Sozialversicherung unterschiedlich</w:t>
      </w:r>
    </w:p>
    <w:p>
      <w:r>
        <w:rPr>
          <w:color w:val="5A7D3A"/>
          <w:sz w:val="18"/>
        </w:rPr>
        <w:t>https://pubmed.ncbi.nlm.nih.gov/42870687/</w:t>
      </w:r>
    </w:p>
    <w:p>
      <w:pPr>
        <w:pStyle w:val="Heading2"/>
      </w:pPr>
      <w:r>
        <w:t>Sozioräumliche Ungleichheit und vorzeitige Alterung: Schwarze Amerikaner mit 5- bis 6-fach höherer Exposition</w:t>
      </w:r>
    </w:p>
    <w:p>
      <w:r>
        <w:rPr>
          <w:i/>
          <w:color w:val="666666"/>
          <w:sz w:val="18"/>
        </w:rPr>
        <w:t>Martin CL et al.  ·  J Gerontol B Psychol Sci Soc Sci  ·  01.10.2026  ·  PMID 42837511</w:t>
      </w:r>
    </w:p>
    <w:p>
      <w:r>
        <w:t>Analyse der National Longitudinal Study of Adolescent to Adult Health (Add Health), die umfangreiche, zeitvariable sozioräumliche Indikatoren (Wohnen, Justiz, Gewalt, Wirtschaft) mit geografischen Ebenen verknüpfte, um Altersungleichheiten vom Jugendalter (12–20 Jahre) bis ins frühe mittlere Alter (33–42 Jahre) zu dokumentieren.</w:t>
      </w:r>
    </w:p>
    <w:p>
      <w:r>
        <w:rPr>
          <w:b/>
        </w:rPr>
        <w:t xml:space="preserve">Ergebnis: </w:t>
      </w:r>
      <w:r>
        <w:t>Erhebliche und persistente Black-White-Disparitäten über alle Bereiche hinweg: Schwarze Befragte lebten signifikant häufiger in Counties mit höherer Zwangsräumungsquote, ökonomischer Segregation, höherer Haftquote und mehr Hate-Crime-Vorfällen. Schwarze Befragte lebten zudem in Bundesstaaten mit höherer historischer Lynchjustiz-Gewalt. Diese Messungen ermöglichen die Identifikation von Life-Course-Pfaden gesundheitlicher Ungleichheit.</w:t>
      </w:r>
    </w:p>
    <w:p>
      <w:r>
        <w:rPr>
          <w:b/>
          <w:sz w:val="19"/>
        </w:rPr>
        <w:t xml:space="preserve">Übertragbarkeit: </w:t>
      </w:r>
      <w:r>
        <w:rPr>
          <w:sz w:val="19"/>
        </w:rPr>
        <w:t>USA-Studie; Konzept der strukturellen Determinanten auf DACH übertragbar, aber Ausprägung völlig anders</w:t>
      </w:r>
    </w:p>
    <w:p>
      <w:r>
        <w:rPr>
          <w:color w:val="5A7D3A"/>
          <w:sz w:val="18"/>
        </w:rPr>
        <w:t>https://pubmed.ncbi.nlm.nih.gov/42837511/</w:t>
      </w:r>
    </w:p>
    <w:p>
      <w:pPr>
        <w:pStyle w:val="Heading2"/>
      </w:pPr>
      <w:r>
        <w:t>Geschlechtsspezifische Osteoporose-Progression: Knochendichteverlust ab 56 Jahren bei Männern, ab 64 Jahren bei Frauen</w:t>
      </w:r>
    </w:p>
    <w:p>
      <w:r>
        <w:rPr>
          <w:i/>
          <w:color w:val="666666"/>
          <w:sz w:val="18"/>
        </w:rPr>
        <w:t>Schröder G et al.  ·  PLoS One  ·  28.09.2026  ·  PMID 42804446</w:t>
      </w:r>
    </w:p>
    <w:p>
      <w:r>
        <w:t>Retrospektive Analyse von 71 CT-Aufnahmen der Wirbelsäule (C3–L5, Alter 4–102 Jahre) zur Quantifizierung altersbezogener Knochendichteverluste.</w:t>
      </w:r>
    </w:p>
    <w:p>
      <w:r>
        <w:rPr>
          <w:b/>
        </w:rPr>
        <w:t xml:space="preserve">Ergebnis: </w:t>
      </w:r>
      <w:r>
        <w:t>Hounsfield-Einheiten (HU) nahmen mit dem Alter ab (p&lt;0,001), mit ausgeprägtem Rückgang nach dem 60. Lebensjahr. Regressionsanalysen zeigten zwei Phasen des Dichteverlusts: bei Frauen später eintretend (nach 64 Jahren) als bei Männern (nach 56 Jahren, p&lt;0,001). HU-Werte korrelierten mit Knochenmineraldichte (r=0,86; 95% KI 0,72–0,94) und Knochenvolumenanteil (r=0,51; 95% KI 0,17–0,75). Ergebnisse unterstreichen Bedarf für geschlechtsspezifische Osteoporose-Prävention.</w:t>
      </w:r>
    </w:p>
    <w:p>
      <w:r>
        <w:rPr>
          <w:b/>
          <w:sz w:val="19"/>
        </w:rPr>
        <w:t xml:space="preserve">Übertragbarkeit: </w:t>
      </w:r>
      <w:r>
        <w:rPr>
          <w:sz w:val="19"/>
        </w:rPr>
        <w:t>Deutsche Kliniken mit CT-Daten vergleichbar; Altersgradienten international übertragbar</w:t>
      </w:r>
    </w:p>
    <w:p>
      <w:r>
        <w:rPr>
          <w:color w:val="5A7D3A"/>
          <w:sz w:val="18"/>
        </w:rPr>
        <w:t>https://pubmed.ncbi.nlm.nih.gov/42804446/</w:t>
      </w:r>
    </w:p>
    <w:p>
      <w:pPr>
        <w:pStyle w:val="Heading1"/>
      </w:pPr>
      <w:r>
        <w:t>Aufgenommen am 14.10.2026</w:t>
      </w:r>
    </w:p>
    <w:p>
      <w:pPr>
        <w:pStyle w:val="Heading2"/>
      </w:pPr>
      <w:r>
        <w:t>Schlafqualität als Vermittler zwischen Frailty und kognitiver Beeinträchtigung</w:t>
      </w:r>
    </w:p>
    <w:p>
      <w:r>
        <w:rPr>
          <w:i/>
          <w:color w:val="666666"/>
          <w:sz w:val="18"/>
        </w:rPr>
        <w:t>Chen L et al.  ·  Nurs Open  ·  Okt. 2026  ·  PMID 42868268</w:t>
      </w:r>
    </w:p>
    <w:p>
      <w:r>
        <w:t>Querschnittstudie an 2.830 Personen ab 60 Jahren in China untersuchte, ob Schlafqualität die Beziehung zwischen körperlicher Gebrechlichkeit (Frailty) und kognitiver Beeinträchtigung erklärt.</w:t>
      </w:r>
    </w:p>
    <w:p>
      <w:r>
        <w:rPr>
          <w:b/>
        </w:rPr>
        <w:t xml:space="preserve">Ergebnis: </w:t>
      </w:r>
      <w:r>
        <w:t>Kognitive Beeinträchtigung lag bei 21,77% vor. Schlafqualität vermittelte partiell die Beziehung zwischen Frailty und kognitiver Beeinträchtigung und erklärte 12,37 % des Gesamteffekts. Bessere Schlafqualität senkte signifikant das Risiko für kognitiven Verfall bei gebrechlichen älteren Menschen.</w:t>
      </w:r>
    </w:p>
    <w:p>
      <w:r>
        <w:rPr>
          <w:b/>
          <w:sz w:val="19"/>
        </w:rPr>
        <w:t xml:space="preserve">Übertragbarkeit: </w:t>
      </w:r>
      <w:r>
        <w:rPr>
          <w:sz w:val="19"/>
        </w:rPr>
        <w:t>China, aber Frailty-Screening und Schlafintervention sind geriatrischer Standard überall.</w:t>
      </w:r>
    </w:p>
    <w:p>
      <w:r>
        <w:rPr>
          <w:color w:val="5A7D3A"/>
          <w:sz w:val="18"/>
        </w:rPr>
        <w:t>https://pubmed.ncbi.nlm.nih.gov/42868268/</w:t>
      </w:r>
    </w:p>
    <w:p>
      <w:pPr>
        <w:pStyle w:val="Heading2"/>
      </w:pPr>
      <w:r>
        <w:t>Strukturelles Training und kognitive Aktivitäten verlängern demenzfreie Lebensjahre</w:t>
      </w:r>
    </w:p>
    <w:p>
      <w:r>
        <w:rPr>
          <w:i/>
          <w:color w:val="666666"/>
          <w:sz w:val="18"/>
        </w:rPr>
        <w:t>Li X et al.  ·  Alzheimers Dement  ·  Okt. 2026  ·  PMID 42867075</w:t>
      </w:r>
    </w:p>
    <w:p>
      <w:r>
        <w:t>Vierjährige prospektive Kohortenstudie (vier internationale Kohorten) untersuchte, wie körperliche Aktivität und kognitiv-soziale Aktivitäten zusammenhängen und die demenzfreie Lebenserwartung ab 50 Jahren beeinflussen.</w:t>
      </w:r>
    </w:p>
    <w:p>
      <w:r>
        <w:rPr>
          <w:b/>
        </w:rPr>
        <w:t xml:space="preserve">Ergebnis: </w:t>
      </w:r>
      <w:r>
        <w:t>Demenzfreie Lebenserwartung ab 50 Jahren betrug 17,5 Jahre (niedrig-niedrig), 23,2 Jahre (hoch-niedrig), 20,1 Jahre (niedrig-hoch) und 24,7 Jahre (hoch-hoch). Strukturelles Training und kognitiv-soziale Aktivitäten zeigten kombinierte, nicht austauschbare Vorteile – beide Faktoren sind erforderlich für optimale kognitive Alterung.</w:t>
      </w:r>
    </w:p>
    <w:p>
      <w:r>
        <w:rPr>
          <w:b/>
          <w:sz w:val="19"/>
        </w:rPr>
        <w:t xml:space="preserve">Übertragbarkeit: </w:t>
      </w:r>
      <w:r>
        <w:rPr>
          <w:sz w:val="19"/>
        </w:rPr>
        <w:t>Vier Kohorten aus Asien, Nordamerika, Europa; Befunde gelten kulturübergreifend.</w:t>
      </w:r>
    </w:p>
    <w:p>
      <w:r>
        <w:rPr>
          <w:color w:val="5A7D3A"/>
          <w:sz w:val="18"/>
        </w:rPr>
        <w:t>https://pubmed.ncbi.nlm.nih.gov/42867075/</w:t>
      </w:r>
    </w:p>
    <w:p>
      <w:pPr>
        <w:pStyle w:val="Heading2"/>
      </w:pPr>
      <w:r>
        <w:t>Soziale Unterstützung mildert Frailty-Effekte auf Kognition im Krankenhaus</w:t>
      </w:r>
    </w:p>
    <w:p>
      <w:r>
        <w:rPr>
          <w:i/>
          <w:color w:val="666666"/>
          <w:sz w:val="18"/>
        </w:rPr>
        <w:t>Dai J et al.  ·  Front Public Health  ·  28.09.2026  ·  PMID 42865808</w:t>
      </w:r>
    </w:p>
    <w:p>
      <w:r>
        <w:t>Querschnittstudie an 1.611 hospitalisierten Personen ≥60 Jahren untersuchte, wie Frailty auf Kognition wirkt und ob soziale Unterstützung diese Beziehung puffert.</w:t>
      </w:r>
    </w:p>
    <w:p>
      <w:r>
        <w:rPr>
          <w:b/>
        </w:rPr>
        <w:t xml:space="preserve">Ergebnis: </w:t>
      </w:r>
      <w:r>
        <w:t>Der Gesamteffekt von Frailty auf niedrigere kognitive Scores war statistisch nicht signifikant (p&gt;0,05), aber der indirekte Effekt über Depressionen und eingeschränkte Alltagsfunktionen erklärte 88,8 % der Assoziation. Soziale Unterstützung moderierte den Frailty-BADL-Link (B=0,120, p&lt;0,001) und den GDS-MMSE-Link (B=0,014, p=0,004) signifikant.</w:t>
      </w:r>
    </w:p>
    <w:p>
      <w:r>
        <w:rPr>
          <w:b/>
          <w:sz w:val="19"/>
        </w:rPr>
        <w:t xml:space="preserve">Übertragbarkeit: </w:t>
      </w:r>
      <w:r>
        <w:rPr>
          <w:sz w:val="19"/>
        </w:rPr>
        <w:t>China; Versorgungsmodell mit geriatrischem Assessment in Kliniken vergleichbar.</w:t>
      </w:r>
    </w:p>
    <w:p>
      <w:r>
        <w:rPr>
          <w:color w:val="5A7D3A"/>
          <w:sz w:val="18"/>
        </w:rPr>
        <w:t>https://pubmed.ncbi.nlm.nih.gov/42865808/</w:t>
      </w:r>
    </w:p>
    <w:p>
      <w:pPr>
        <w:pStyle w:val="Heading2"/>
      </w:pPr>
      <w:r>
        <w:t>Schmerz vorhersagt Frailty-Entstehung bei Fettlebererkrankung deutlich</w:t>
      </w:r>
    </w:p>
    <w:p>
      <w:r>
        <w:rPr>
          <w:i/>
          <w:color w:val="666666"/>
          <w:sz w:val="18"/>
        </w:rPr>
        <w:t>Hu H et al.  ·  Front Endocrinol (Lausanne)  ·  28.09.2026  ·  PMID 42865368</w:t>
      </w:r>
    </w:p>
    <w:p>
      <w:r>
        <w:t>Prospektive Kohortenstudie mit 3.622 CHARLS- und 2.059 ELSA-Teilnehmern (7–8 Jahre Follow-up) untersuchte, ob Schmerz ein stärkerer Prädiktor für Frailty-Neuauftreten ist als andere Faktoren und ob Depressionen die Wirkung vermitteln.</w:t>
      </w:r>
    </w:p>
    <w:p>
      <w:r>
        <w:rPr>
          <w:b/>
        </w:rPr>
        <w:t xml:space="preserve">Ergebnis: </w:t>
      </w:r>
      <w:r>
        <w:t>Schmerz war der stärkste Prädiktor für neue Frailty. Nach vollständiger Anpassung (mit Basis-Frailty-Index) zeigte Schmerz in CHARLS HR 1,219 (95%-CI 1,085–1,368) und in ELSA HR 1,310 (95%-CI 1,114–1,539). Die Bevölkerungsattributable Fraktion betrug 8,01 % (CHARLS) und 11,98 % (ELSA). Depressionen vermittelten 74,0 % (CHARLS) und 46,1 % (ELSA) des Gesamteffekts.</w:t>
      </w:r>
    </w:p>
    <w:p>
      <w:r>
        <w:rPr>
          <w:b/>
          <w:sz w:val="19"/>
        </w:rPr>
        <w:t xml:space="preserve">Übertragbarkeit: </w:t>
      </w:r>
      <w:r>
        <w:rPr>
          <w:sz w:val="19"/>
        </w:rPr>
        <w:t>China (CHARLS) und Großbritannien (ELSA); externe Validierung erhöht Übertragbarkeit.</w:t>
      </w:r>
    </w:p>
    <w:p>
      <w:r>
        <w:rPr>
          <w:color w:val="5A7D3A"/>
          <w:sz w:val="18"/>
        </w:rPr>
        <w:t>https://pubmed.ncbi.nlm.nih.gov/42865368/</w:t>
      </w:r>
    </w:p>
    <w:p>
      <w:pPr>
        <w:pStyle w:val="Heading2"/>
      </w:pPr>
      <w:r>
        <w:t>Chronische Einsamkeit verschlechtert Gesundheit und Funktionsfähigkeit älterer Menschen</w:t>
      </w:r>
    </w:p>
    <w:p>
      <w:r>
        <w:rPr>
          <w:i/>
          <w:color w:val="666666"/>
          <w:sz w:val="18"/>
        </w:rPr>
        <w:t>Ma Y et al.  ·  Nat Commun  ·  11.09.2026  ·  PMID 42864355</w:t>
      </w:r>
    </w:p>
    <w:p>
      <w:r>
        <w:t>Längsschnittstudie an 4.090 älteren Personen aus der English Longitudinal Study of Ageing untersuchte, wie chronische Einsamkeit und soziale Isolation mit 17 Gesundheitsergebnissen zusammenhängen.</w:t>
      </w:r>
    </w:p>
    <w:p>
      <w:r>
        <w:rPr>
          <w:b/>
        </w:rPr>
        <w:t xml:space="preserve">Ergebnis: </w:t>
      </w:r>
      <w:r>
        <w:t>Chronische Einsamkeit war mit schlechterer allgemeiner Gesundheit, reduzierter Funktionsfähigkeit und beeinträchtigtem psychischem Wohlbefinden sowie mehr gesundheitsschädlichen Verhaltensweisen assoziiert. Chronische Isolation und Isolationsbeginn waren mit niedrigerer Lebensqualität verbunden; Isolationsremission zeigte positive Effekte auf Wohlbefinden und Kognition gegenüber persistierender Isolation.</w:t>
      </w:r>
    </w:p>
    <w:p>
      <w:r>
        <w:rPr>
          <w:b/>
          <w:sz w:val="19"/>
        </w:rPr>
        <w:t xml:space="preserve">Übertragbarkeit: </w:t>
      </w:r>
      <w:r>
        <w:rPr>
          <w:sz w:val="19"/>
        </w:rPr>
        <w:t>England; europäisches Versorgungssystem, vergleichbares Gesundheitswesen und Sozialstrukturen.</w:t>
      </w:r>
    </w:p>
    <w:p>
      <w:r>
        <w:rPr>
          <w:color w:val="5A7D3A"/>
          <w:sz w:val="18"/>
        </w:rPr>
        <w:t>https://pubmed.ncbi.nlm.nih.gov/42864355/</w:t>
      </w:r>
    </w:p>
    <w:p>
      <w:pPr>
        <w:pStyle w:val="Heading2"/>
      </w:pPr>
      <w:r>
        <w:t>Neue nationale Studie zeigt erhebliche Gesundheitsdefizite bei US-Midlife-Adulten</w:t>
      </w:r>
    </w:p>
    <w:p>
      <w:r>
        <w:rPr>
          <w:i/>
          <w:color w:val="666666"/>
          <w:sz w:val="18"/>
        </w:rPr>
        <w:t>Hummer RA et al.  ·  J Gerontol B Psychol Sci Soc Sci  ·  01.10.2026  ·  PMID 42837512</w:t>
      </w:r>
    </w:p>
    <w:p>
      <w:r>
        <w:t>Wave VI der National Longitudinal Study of Adolescent to Adult Health (Add Health) beschreibt Gesundheit und biologische Aging-Marker an 11.979 Personen durchschnittlich 44 Jahre alt und dokumentiert erhebliche Unterschiede nach Rasse, Ethnizität und Bildung.</w:t>
      </w:r>
    </w:p>
    <w:p>
      <w:r>
        <w:rPr>
          <w:b/>
        </w:rPr>
        <w:t xml:space="preserve">Ergebnis: </w:t>
      </w:r>
      <w:r>
        <w:t>Von 11.979 befragten Personen hatten 49,9 % BMI ≥30 kg/m², 17 % berichteten aktuelle Depression. Breite Disparitäten bestanden in allen bewerteten Gesundheitsergebnissen nach Rasse/Ethnizität und Bildung. Wave VI lieferte 11.979 Umfragen, 6.073 Hausuntersuchungen und tausende kontextuelle und biologische Variablen für Lebensverlauf-Forschung.</w:t>
      </w:r>
    </w:p>
    <w:p>
      <w:r>
        <w:rPr>
          <w:b/>
          <w:sz w:val="19"/>
        </w:rPr>
        <w:t xml:space="preserve">Übertragbarkeit: </w:t>
      </w:r>
      <w:r>
        <w:rPr>
          <w:sz w:val="19"/>
        </w:rPr>
        <w:t>USA; Aussagen zu sozialen Unterschieden in Gesundheit übertragbar, Finanzierungssystem grundlegend anders.</w:t>
      </w:r>
    </w:p>
    <w:p>
      <w:r>
        <w:rPr>
          <w:color w:val="5A7D3A"/>
          <w:sz w:val="18"/>
        </w:rPr>
        <w:t>https://pubmed.ncbi.nlm.nih.gov/42837512/</w:t>
      </w:r>
    </w:p>
    <w:p>
      <w:pPr>
        <w:pStyle w:val="Heading1"/>
      </w:pPr>
      <w:r>
        <w:t>Aufgenommen am 13.10.2026</w:t>
      </w:r>
    </w:p>
    <w:p>
      <w:pPr>
        <w:pStyle w:val="Heading2"/>
      </w:pPr>
      <w:r>
        <w:t>Muskelabbau im Alter: Sozioökonomie, Ernährung und körperliche Aktivität beeinflussen Muskelmasse über 17 Jahre</w:t>
      </w:r>
    </w:p>
    <w:p>
      <w:r>
        <w:rPr>
          <w:i/>
          <w:color w:val="666666"/>
          <w:sz w:val="18"/>
        </w:rPr>
        <w:t>Suleiman A et al.  ·  Australas J Ageing  ·  Dez. 2026  ·  PMID 42861734</w:t>
      </w:r>
    </w:p>
    <w:p>
      <w:r>
        <w:t>Eine 17-jährige prospektive Kohortenstudie mit 3033 Teilnehmern identifizierte Faktoren, die die Muskelmasse im Alter beeinflussen.</w:t>
      </w:r>
    </w:p>
    <w:p>
      <w:r>
        <w:rPr>
          <w:b/>
        </w:rPr>
        <w:t xml:space="preserve">Ergebnis: </w:t>
      </w:r>
      <w:r>
        <w:t>Höheres Alter und weibliches Geschlecht waren mit niedrigerer appendikulärer Muskelmasse assoziiert (β = −0,07 pro Jahr; 95%-KI −0,08 bis −0,06). Positive Prädiktoren waren Sozialstatus (β = 0,33), Kalziumaufnahme (β = 0,46), Knochenmineraldichte (β = 0,38) und Schilddrüsenhormontherapie (β = 0,52). Körperliche Inaktivität (β = −0,48), Rauchen (β = −0,24) und Schlaganfall-Vorgeschichte (β = −0,51) waren mit geringerer Muskelmasse assoziiert. Die Ergebnisse zeigen modifizierbare Faktoren für den Erhalt der Muskelmasse in der Alterung.</w:t>
      </w:r>
    </w:p>
    <w:p>
      <w:r>
        <w:rPr>
          <w:b/>
          <w:sz w:val="19"/>
        </w:rPr>
        <w:t xml:space="preserve">Übertragbarkeit: </w:t>
      </w:r>
      <w:r>
        <w:rPr>
          <w:sz w:val="19"/>
        </w:rPr>
        <w:t>Australische prospektive Kohortendaten, vergleichbar mit europäischen Versorgungssettings</w:t>
      </w:r>
    </w:p>
    <w:p>
      <w:r>
        <w:rPr>
          <w:color w:val="5A7D3A"/>
          <w:sz w:val="18"/>
        </w:rPr>
        <w:t>https://pubmed.ncbi.nlm.nih.gov/42861734/</w:t>
      </w:r>
    </w:p>
    <w:p>
      <w:pPr>
        <w:pStyle w:val="Heading2"/>
      </w:pPr>
      <w:r>
        <w:t>Widerstandstraining bei älteren Männern: weniger Muskelaufbau trotz gleicher Trainingsbelastung</w:t>
      </w:r>
    </w:p>
    <w:p>
      <w:r>
        <w:rPr>
          <w:i/>
          <w:color w:val="666666"/>
          <w:sz w:val="18"/>
        </w:rPr>
        <w:t>Lewis DT et al.  ·  Physiol Rep  ·  Okt. 2026  ·  PMID 42860700</w:t>
      </w:r>
    </w:p>
    <w:p>
      <w:r>
        <w:t>Eine Studie mit 17 jüngeren und 15 älteren untrainierten Männern verglich Muskelaufbau und Proteinveränderungen nach 10–12 Wochen Widerstandstraining.</w:t>
      </w:r>
    </w:p>
    <w:p>
      <w:r>
        <w:rPr>
          <w:b/>
        </w:rPr>
        <w:t xml:space="preserve">Ergebnis: </w:t>
      </w:r>
      <w:r>
        <w:t>Trotz vergleichbarer Trainingsvolumina gewannen jüngere Männer mehr Muskelmasse (+2,73 kg vs. +1,18 kg; p = 0,009) und zeigten größere Zuwächse der Unterschenkeldicke (+0,49 cm vs. +0,20 cm; p = 0,002). Bei jüngeren Erwachsenen veränderte das Training 135 Proteine (FDR &lt; 0,05), bei älteren jedoch null. Die Proteom-Plastizität war bei älteren Männern komprimiert statt qualitativ verändert, was erklärt, warum der Muskelaufbau trotz Training geringer ausfällt.</w:t>
      </w:r>
    </w:p>
    <w:p>
      <w:r>
        <w:rPr>
          <w:b/>
          <w:sz w:val="19"/>
        </w:rPr>
        <w:t xml:space="preserve">Übertragbarkeit: </w:t>
      </w:r>
      <w:r>
        <w:rPr>
          <w:sz w:val="19"/>
        </w:rPr>
        <w:t>USA-Universitätsdaten zur Trainingsphysiologie, Befund zum Altern universell übertragbar</w:t>
      </w:r>
    </w:p>
    <w:p>
      <w:r>
        <w:rPr>
          <w:color w:val="5A7D3A"/>
          <w:sz w:val="18"/>
        </w:rPr>
        <w:t>https://pubmed.ncbi.nlm.nih.gov/42860700/</w:t>
      </w:r>
    </w:p>
    <w:p>
      <w:pPr>
        <w:pStyle w:val="Heading2"/>
      </w:pPr>
      <w:r>
        <w:t>Frailty-Screening bei Hämodialysepatienten: XGBoost-Modell mit AUC 0,917 identifiziert 48,6 % der Patienten</w:t>
      </w:r>
    </w:p>
    <w:p>
      <w:r>
        <w:rPr>
          <w:i/>
          <w:color w:val="666666"/>
          <w:sz w:val="18"/>
        </w:rPr>
        <w:t>Wang J et al.  ·  Ann Med  ·  11.10.2026  ·  PMID 42860582</w:t>
      </w:r>
    </w:p>
    <w:p>
      <w:r>
        <w:t>Eine retrospektive Studie mit 626 Hämodialysepatienten aus vier Kliniken entwickelte ein Machine-Learning-Modell zur Frailty-Erkennung.</w:t>
      </w:r>
    </w:p>
    <w:p>
      <w:r>
        <w:rPr>
          <w:b/>
        </w:rPr>
        <w:t xml:space="preserve">Ergebnis: </w:t>
      </w:r>
      <w:r>
        <w:t>Frailty-Prävalenz lag bei 48,6 %. Das XGBoost-Modell zeigte beste externe Validierungsleistung: AUC = 0,917 (95%-KI 0,867–0,967), Genauigkeit 84,7 %, Sensitivität 85,0 %, Spezifität 84,4 %. Sechs Prädiktoren wurden identifiziert: Alter, Griffstärke, Komorbiditäten, Charlson-Index, Albumin und Pro-BNP. Das Modell unterstützt systematisches Frailty-Screening in der Nierenfachversorgung.</w:t>
      </w:r>
    </w:p>
    <w:p>
      <w:r>
        <w:rPr>
          <w:b/>
          <w:sz w:val="19"/>
        </w:rPr>
        <w:t xml:space="preserve">Übertragbarkeit: </w:t>
      </w:r>
      <w:r>
        <w:rPr>
          <w:sz w:val="19"/>
        </w:rPr>
        <w:t>Chinesische Klinikstudie; Frailty-Screening und Prognose universal relevant</w:t>
      </w:r>
    </w:p>
    <w:p>
      <w:r>
        <w:rPr>
          <w:color w:val="5A7D3A"/>
          <w:sz w:val="18"/>
        </w:rPr>
        <w:t>https://pubmed.ncbi.nlm.nih.gov/42860582/</w:t>
      </w:r>
    </w:p>
    <w:p>
      <w:pPr>
        <w:pStyle w:val="Heading2"/>
      </w:pPr>
      <w:r>
        <w:t>KI-gestützte Assessment-Tools für intrinsische Kapazität: 161 Studien zeigen Schwerpunkte bei Kognition und Mobilität, Lücken bei Sinnesfunktion</w:t>
      </w:r>
    </w:p>
    <w:p>
      <w:r>
        <w:rPr>
          <w:i/>
          <w:color w:val="666666"/>
          <w:sz w:val="18"/>
        </w:rPr>
        <w:t>Yu C et al.  ·  J Med Internet Res  ·  05.10.2026  ·  PMID 42832757</w:t>
      </w:r>
    </w:p>
    <w:p>
      <w:r>
        <w:t>Ein systematisches Scoping-Review (161 Studien, 2016–2026) charakterisierte KI-basierte digitale Messtools zur Erfassung intrinsischer Kapazität bei älteren Menschen nach WHO-Domänen und Technologie.</w:t>
      </w:r>
    </w:p>
    <w:p>
      <w:r>
        <w:rPr>
          <w:b/>
        </w:rPr>
        <w:t xml:space="preserve">Ergebnis: </w:t>
      </w:r>
      <w:r>
        <w:t>Forschung seit 2016 exponentiell gestiegen; 28 Länder vertreten (USA, China dominant). 11 Kategorien KI-gestützter Geräte identifiziert: Multimodal-Erfassungsgeräte, Computer-Vision-Systeme, KI-Plattformen führend. 21 Typen digitaler Biomarker: Gangparameter, digitale Aufgabenleistung, körperliche Aktivität, Sprache, Gesichtszüge häufigst. Machine Learning und Deep Learning dominieren; Computer Vision und NLP zentral für multimodale Interpretation. Kognition und Lokomotion am weitesten entwickelt; Vitalität, Hörvermögen und Multi-Domain-Assessment unterrepräsentiert. KI-Tools könnten klinische Assessment ergänzen, benötigen aber robuste Validierung und Implementierungsforschung.</w:t>
      </w:r>
    </w:p>
    <w:p>
      <w:r>
        <w:rPr>
          <w:b/>
          <w:sz w:val="19"/>
        </w:rPr>
        <w:t xml:space="preserve">Übertragbarkeit: </w:t>
      </w:r>
      <w:r>
        <w:rPr>
          <w:sz w:val="19"/>
        </w:rPr>
        <w:t>Globale Übersicht; Lücken in der Standardisierung und externen Validierung überall manifest</w:t>
      </w:r>
    </w:p>
    <w:p>
      <w:r>
        <w:rPr>
          <w:color w:val="5A7D3A"/>
          <w:sz w:val="18"/>
        </w:rPr>
        <w:t>https://pubmed.ncbi.nlm.nih.gov/42832757/</w:t>
      </w:r>
    </w:p>
    <w:p>
      <w:pPr>
        <w:pStyle w:val="Heading2"/>
      </w:pPr>
      <w:r>
        <w:t>Mundmikrobiom und Kognition: Nitratverstoffwechselnde Bakterien assoziiert mit besserer kognitiver Leistung</w:t>
      </w:r>
    </w:p>
    <w:p>
      <w:r>
        <w:rPr>
          <w:i/>
          <w:color w:val="666666"/>
          <w:sz w:val="18"/>
        </w:rPr>
        <w:t>L'Heureux JE et al.  ·  PLoS One  ·  05.10.2026  ·  PMID 42832417</w:t>
      </w:r>
    </w:p>
    <w:p>
      <w:r>
        <w:t>Eine Studie mit 60 gesunden Teilnehmern (je 15 junge und 15 ältere Erwachsene aus UK und Belgien) untersuchte Zusammenhänge zwischen Mundmikrobiom, Stickstoffmonoxid-Biomarker und kognitiver Funktion.</w:t>
      </w:r>
    </w:p>
    <w:p>
      <w:r>
        <w:rPr>
          <w:b/>
        </w:rPr>
        <w:t xml:space="preserve">Ergebnis: </w:t>
      </w:r>
      <w:r>
        <w:t>Trotz geografischer Unterschiede in der Mikrobiomzusammensetzung waren altersbedingte mikrobielle Verschiebungen konsistent über Kohorten hinweg, mit Anreicherung von Treponema und Tannerella bei älteren Erwachsenen. Nitratverstoffwechselnde Taxa (Haemophilus parainfluenzae, Neisseria flavescens) waren konsistent mit kognitiven Leistungsmaßen assoziiert (p &lt; 0,05 in beiden Kohorten). Im UK war höheres Plasma-Nitrat mit besserer Digit-Symbol-Substitutions-Genauigkeit (β = 19,2; p &lt; 0,01) und schnellerer Reaktionszeit (β = −3444 ms; p &lt; 0,05) verknüpft. Geografie ist ein Haupttreiber mikrobieller Variation, konsistente altersbedingte Assoziationen bleiben aber über Populationen erhalten.</w:t>
      </w:r>
    </w:p>
    <w:p>
      <w:r>
        <w:rPr>
          <w:b/>
          <w:sz w:val="19"/>
        </w:rPr>
        <w:t xml:space="preserve">Übertragbarkeit: </w:t>
      </w:r>
      <w:r>
        <w:rPr>
          <w:sz w:val="19"/>
        </w:rPr>
        <w:t>UK und Belgien; europäische Grundlagenforschung mit klinischem Bezug zur Kognitionsförderung</w:t>
      </w:r>
    </w:p>
    <w:p>
      <w:r>
        <w:rPr>
          <w:color w:val="5A7D3A"/>
          <w:sz w:val="18"/>
        </w:rPr>
        <w:t>https://pubmed.ncbi.nlm.nih.gov/42832417/</w:t>
      </w:r>
    </w:p>
    <w:p>
      <w:pPr>
        <w:pStyle w:val="Heading2"/>
      </w:pPr>
      <w:r>
        <w:t>Migration im späten Alter: Identität und Zugehörigkeit bleiben zentral, alltägliche Integration folgt eigenem Weg</w:t>
      </w:r>
    </w:p>
    <w:p>
      <w:r>
        <w:rPr>
          <w:i/>
          <w:color w:val="666666"/>
          <w:sz w:val="18"/>
        </w:rPr>
        <w:t>Adad J et al.  ·  J Cross Cult Gerontol  ·  12.09.2026  ·  PMID 42730791</w:t>
      </w:r>
    </w:p>
    <w:p>
      <w:r>
        <w:t>Eine qualitative Studie mit 12 älteren Französinnen und Franzosen (≥ 70 Jahre), die nach Israel migrierten, untersuchte die Bedeutung dieser Erfahrung für Identität und Wohlbefinden.</w:t>
      </w:r>
    </w:p>
    <w:p>
      <w:r>
        <w:rPr>
          <w:b/>
        </w:rPr>
        <w:t xml:space="preserve">Ergebnis: </w:t>
      </w:r>
      <w:r>
        <w:t>Die Analyse zeigte ein ambivalentes Muster: Migration verursachte Unterbrechungen vertrauter sozialer Welten, wurde aber konsistent als Erfüllung eines Lebensprojekts um Familie, jüdische Identität und Zugehörigkeit interpretiert. Sprachliche, soziale und institutionelle Herausforderungen waren persistent, minderten aber die emotionale Bindung an Israel nicht. Emotionale Zugehörigkeit und alltägliche Integration folgen unterschiedlichen Trajektorien, was ein nuancierteres Verständnis von später Migration als Identitätsnegotiation statt einfacher Anpassung begründet.</w:t>
      </w:r>
    </w:p>
    <w:p>
      <w:r>
        <w:rPr>
          <w:b/>
          <w:sz w:val="19"/>
        </w:rPr>
        <w:t xml:space="preserve">Übertragbarkeit: </w:t>
      </w:r>
      <w:r>
        <w:rPr>
          <w:sz w:val="19"/>
        </w:rPr>
        <w:t>Qualitative Daten aus Israel und Frankreich; Erkenntnisse zu Identität und Wohlbefinden im Migrationsalter übertragbar</w:t>
      </w:r>
    </w:p>
    <w:p>
      <w:r>
        <w:rPr>
          <w:color w:val="5A7D3A"/>
          <w:sz w:val="18"/>
        </w:rPr>
        <w:t>https://pubmed.ncbi.nlm.nih.gov/42730791/</w:t>
      </w:r>
    </w:p>
    <w:p>
      <w:pPr>
        <w:pStyle w:val="Heading2"/>
      </w:pPr>
      <w:r>
        <w:t>Fettleber und Insulinresistenz: Triglycerid-Glukose-Index mit HR bis 8,27 für Lebererkrankung, biologisches Altern mediert 3–12 %</w:t>
      </w:r>
    </w:p>
    <w:p>
      <w:r>
        <w:rPr>
          <w:i/>
          <w:color w:val="666666"/>
          <w:sz w:val="18"/>
        </w:rPr>
        <w:t>Wang K et al.  ·  Front Endocrinol (Lausanne)  ·  11.08.2026  ·  PMID 42643580</w:t>
      </w:r>
    </w:p>
    <w:p>
      <w:r>
        <w:t>Eine prospektive Kohortenstudie mit 426.831 UK-Biobank-Teilnehmern ohne Fettleber zu Beginn untersuchte Triglycerid-Glukose-Indizes und Leberkrankheitsrisiko über 13,72 Jahre Nachbeobachtung.</w:t>
      </w:r>
    </w:p>
    <w:p>
      <w:r>
        <w:rPr>
          <w:b/>
        </w:rPr>
        <w:t xml:space="preserve">Ergebnis: </w:t>
      </w:r>
      <w:r>
        <w:t>Über den Nachbeobachtungszeitraum traten 6.308 neue Fettleberfälle auf. Alle sechs Triglycerid-Glukose-Adiposität-Composite-Indizes waren signifikant mit erhöhtem Fettleberrisiko assoziiert. Hazard Ratios für höchstes vs. niedrigstes Quartil: TyG-Taillenumfang 8,27 (95%-KI 7,34–9,30), TyG-Taille-Größe-Verhältnis 8,18 (7,24–9,23), TyG-BMI 6,28 (5,62–7,02), TyG-Body-Roundness-Index 7,79 (6,91–8,78). Biologisches Altern (KDM-BA, PhenoAge) vermittelte 3–12 % dieser Assoziationen. Nicht-lineare Beziehungen waren vorhanden (alle p &lt; 0,001).</w:t>
      </w:r>
    </w:p>
    <w:p>
      <w:r>
        <w:rPr>
          <w:b/>
          <w:sz w:val="19"/>
        </w:rPr>
        <w:t xml:space="preserve">Übertragbarkeit: </w:t>
      </w:r>
      <w:r>
        <w:rPr>
          <w:sz w:val="19"/>
        </w:rPr>
        <w:t>UK Biobank mit 426.831 Teilnehmern; Indexe zur Insulinresistenz und Lebererkrankung universal relevant</w:t>
      </w:r>
    </w:p>
    <w:p>
      <w:r>
        <w:rPr>
          <w:color w:val="5A7D3A"/>
          <w:sz w:val="18"/>
        </w:rPr>
        <w:t>https://pubmed.ncbi.nlm.nih.gov/42643580/</w:t>
      </w:r>
    </w:p>
    <w:p>
      <w:pPr>
        <w:pStyle w:val="Heading1"/>
      </w:pPr>
      <w:r>
        <w:t>Aufgenommen am 12.10.2026</w:t>
      </w:r>
    </w:p>
    <w:p>
      <w:pPr>
        <w:pStyle w:val="Heading2"/>
      </w:pPr>
      <w:r>
        <w:t>Motivation, Fähigkeit und Gelegenheit steuern Teilnahme an Altersprogrammen</w:t>
      </w:r>
    </w:p>
    <w:p>
      <w:r>
        <w:rPr>
          <w:i/>
          <w:color w:val="666666"/>
          <w:sz w:val="18"/>
        </w:rPr>
        <w:t>Faizal NA et al.  ·  Front Public Health  ·  25.09.2026  ·  PMID 42857060</w:t>
      </w:r>
    </w:p>
    <w:p>
      <w:r>
        <w:t>Qualitative Analyse mittels Theoretical Domains Framework und COM-B-Modell der Barrieren und Förderfaktoren für die Teilnahme an Active-Ageing-Programmen bei Älteren (50+) in Singapur, basierend auf 28 Interviews.</w:t>
      </w:r>
    </w:p>
    <w:p>
      <w:r>
        <w:rPr>
          <w:b/>
        </w:rPr>
        <w:t xml:space="preserve">Ergebnis: </w:t>
      </w:r>
      <w:r>
        <w:t>Motivation (Wissen, Wohlbefinden, digitale Fähigkeiten) war zentral, wurde aber durch Gesundheitsbedenken und körperliche Beschwerden, Technologie-Ängstlichkeit, Gedächtnisprobleme und sprachliche Barrieren gehemmt. Umweltfaktoren (Zeitverfügbarkeit, geografische Erreichbarkeit) und soziale Unterstützung (Familienermutigung) waren entscheidend. Ansatz zeigt, wie TDF und COM-B Intervention gestalten können.</w:t>
      </w:r>
    </w:p>
    <w:p>
      <w:r>
        <w:rPr>
          <w:b/>
          <w:sz w:val="19"/>
        </w:rPr>
        <w:t xml:space="preserve">Übertragbarkeit: </w:t>
      </w:r>
      <w:r>
        <w:rPr>
          <w:sz w:val="19"/>
        </w:rPr>
        <w:t>Singapur, Sozialdemokratie, digitale Versorgung, teilweise auf Deutschland übertragbar</w:t>
      </w:r>
    </w:p>
    <w:p>
      <w:r>
        <w:rPr>
          <w:color w:val="5A7D3A"/>
          <w:sz w:val="18"/>
        </w:rPr>
        <w:t>https://pubmed.ncbi.nlm.nih.gov/42857060/</w:t>
      </w:r>
    </w:p>
    <w:p>
      <w:pPr>
        <w:pStyle w:val="Heading2"/>
      </w:pPr>
      <w:r>
        <w:t>WHO-ICOPE-Ansatz für altersgerechte Primärversorgung in Portugal</w:t>
      </w:r>
    </w:p>
    <w:p>
      <w:r>
        <w:rPr>
          <w:i/>
          <w:color w:val="666666"/>
          <w:sz w:val="18"/>
        </w:rPr>
        <w:t>Vidinha Pereira AL et al.  ·  Front Public Health  ·  25.09.2026  ·  PMID 42856688</w:t>
      </w:r>
    </w:p>
    <w:p>
      <w:r>
        <w:t>Qualitative Analyse der Anpassungsfähigkeit des portugiesischen Gesundheitssystems an die alternde Bevölkerung und des Potenzials des WHO-ICOPE-Rahmens (Integrated Care for Older People) für die Primärversorgung.</w:t>
      </w:r>
    </w:p>
    <w:p>
      <w:r>
        <w:rPr>
          <w:b/>
        </w:rPr>
        <w:t xml:space="preserve">Ergebnis: </w:t>
      </w:r>
      <w:r>
        <w:t>Das portugiesische Gesundheitssystem, ursprünglich auf Mutter-Kind-Gesundheit ausgerichtet, zeigt Schwächen bei der Versorgung älterer Menschen mit Multimorbidität und Gebrechlichkeit. Der WHO-ICOPE-Ansatz wird als adaptierbar und skalierbar beschrieben, birgt aber Implementierungshürden durch Zeitmangel und mangelnde personelle und finanzielle Ressourcen. Pilot-Feldarbeit läuft zur Bewertung der Machbarkeit im portugiesischen Kontext.</w:t>
      </w:r>
    </w:p>
    <w:p>
      <w:r>
        <w:rPr>
          <w:b/>
          <w:sz w:val="19"/>
        </w:rPr>
        <w:t xml:space="preserve">Übertragbarkeit: </w:t>
      </w:r>
      <w:r>
        <w:rPr>
          <w:sz w:val="19"/>
        </w:rPr>
        <w:t>Portugal, südeuropäisches Sozialversicherungssystem, vergleichbare geriatrische Versorgungsfragen</w:t>
      </w:r>
    </w:p>
    <w:p>
      <w:r>
        <w:rPr>
          <w:color w:val="5A7D3A"/>
          <w:sz w:val="18"/>
        </w:rPr>
        <w:t>https://pubmed.ncbi.nlm.nih.gov/42856688/</w:t>
      </w:r>
    </w:p>
    <w:p>
      <w:pPr>
        <w:pStyle w:val="Heading2"/>
      </w:pPr>
      <w:r>
        <w:t>Markov-Modelle vorhersagen qualitätsadjustierte Lebenserwartung nach Strahlentherapie</w:t>
      </w:r>
    </w:p>
    <w:p>
      <w:r>
        <w:rPr>
          <w:i/>
          <w:color w:val="666666"/>
          <w:sz w:val="18"/>
        </w:rPr>
        <w:t>Tattenberg S et al.  ·  Med Phys  ·  Okt. 2026  ·  PMID 42837329</w:t>
      </w:r>
    </w:p>
    <w:p>
      <w:r>
        <w:t>Klinische Validierungsstudie eines Markov-Modells zur Simulation der lebenslangen qualitätsadjustierten Lebenserwartung (QALE) bei 148 Kopf-Hals-Krebspatienten nach Radiotherapie, inklusiv Tumorrezidiv, Toxizität, Fernmetastasen, Sekundärkarzinome und Sterblichkeit.</w:t>
      </w:r>
    </w:p>
    <w:p>
      <w:r>
        <w:rPr>
          <w:b/>
        </w:rPr>
        <w:t xml:space="preserve">Ergebnis: </w:t>
      </w:r>
      <w:r>
        <w:t>Lokoregionale Kontrolle in 94,4% der Simulationen vs. 89,9% klinisch (gute Übereinstimmung). Sterblichkeit mit Lokoregionalversagen 4,9% vs. 5,4% klinisch. Sekundärkarzinomrate 13,5%. Simulierte Lebenserwartung 76,5 ± 11,6 Jahre, qualitätsadjustiert 74,3 ± 11,0 QALY. Modell validiert für prospektive Vorhersagen und Vergleiche zwischen Patientenpopulationen.</w:t>
      </w:r>
    </w:p>
    <w:p>
      <w:r>
        <w:rPr>
          <w:b/>
          <w:sz w:val="19"/>
        </w:rPr>
        <w:t xml:space="preserve">Übertragbarkeit: </w:t>
      </w:r>
      <w:r>
        <w:rPr>
          <w:sz w:val="19"/>
        </w:rPr>
        <w:t>Methodische Innovation, Kohortendaten USA, QALE-Ansatz auf europäische Versorgung übertragbar</w:t>
      </w:r>
    </w:p>
    <w:p>
      <w:r>
        <w:rPr>
          <w:color w:val="5A7D3A"/>
          <w:sz w:val="18"/>
        </w:rPr>
        <w:t>https://pubmed.ncbi.nlm.nih.gov/42837329/</w:t>
      </w:r>
    </w:p>
    <w:p>
      <w:pPr>
        <w:pStyle w:val="Heading2"/>
      </w:pPr>
      <w:r>
        <w:t>Gebrechlichkeit und Depression lähmen Kognition bei Paaren langfristig</w:t>
      </w:r>
    </w:p>
    <w:p>
      <w:r>
        <w:rPr>
          <w:i/>
          <w:color w:val="666666"/>
          <w:sz w:val="18"/>
        </w:rPr>
        <w:t>Wu H et al.  ·  Psychiatry Res  ·  18.09.2026  ·  PMID 42828818</w:t>
      </w:r>
    </w:p>
    <w:p>
      <w:r>
        <w:t>Kohortenstudie an 5.828 Ehepaaren aus der China Health and Retirement Longitudinal Study (2011–2020) zur Analyse gemeinsamer Frailty- und Depressions-Trajektorien und ihrer Assoziation mit kognitiver Leistung über Zeit.</w:t>
      </w:r>
    </w:p>
    <w:p>
      <w:r>
        <w:rPr>
          <w:b/>
        </w:rPr>
        <w:t xml:space="preserve">Ergebnis: </w:t>
      </w:r>
      <w:r>
        <w:t>Vier distinct Multitrajectory-Gruppen identifiziert. Innerhalb von Paaren korrelierte kognitiver Verfall (r = 0,567, p &lt; 0,001). Alle Trajektoriengruppen außer der stabilen (G1) zeigten deutlich schlechtere beidseitige Kognition (p &lt; 0,001). Frauen in progressiver Frailty-Depression-Gruppe (G3) zeigten jährlichen kognitiven Rückgang von 0,125 Einheiten extra (p &lt; 0,001), Männer in G4 von 0,288 Einheiten/Jahr (p &lt; 0,001).</w:t>
      </w:r>
    </w:p>
    <w:p>
      <w:r>
        <w:rPr>
          <w:b/>
          <w:sz w:val="19"/>
        </w:rPr>
        <w:t xml:space="preserve">Übertragbarkeit: </w:t>
      </w:r>
      <w:r>
        <w:rPr>
          <w:sz w:val="19"/>
        </w:rPr>
        <w:t>China, Sozialversicherungssystem unterscheidet sich, Ergebnis zu Gebrechlichkeit-Depression-Kognition-Triaden übertragbar</w:t>
      </w:r>
    </w:p>
    <w:p>
      <w:r>
        <w:rPr>
          <w:color w:val="5A7D3A"/>
          <w:sz w:val="18"/>
        </w:rPr>
        <w:t>https://pubmed.ncbi.nlm.nih.gov/42828818/</w:t>
      </w:r>
    </w:p>
    <w:p>
      <w:pPr>
        <w:pStyle w:val="Heading2"/>
      </w:pPr>
      <w:r>
        <w:t>Räumliche Versorgungsgerechtigkeit für Altenpflege muss optimiert werden</w:t>
      </w:r>
    </w:p>
    <w:p>
      <w:r>
        <w:rPr>
          <w:i/>
          <w:color w:val="666666"/>
          <w:sz w:val="18"/>
        </w:rPr>
        <w:t>Chen X et al.  ·  Front Public Health  ·  18.09.2026  ·  PMID 42827439</w:t>
      </w:r>
    </w:p>
    <w:p>
      <w:r>
        <w:t>Raumanalytische Studie der Verteilung von Altenpflegeeinrichtungen in Guangzhou (China) unter Verwendung von Nearest-Neighbor-Index, Kernel-Density-Analyse, Netzwerk-Erreichbarkeit und Angebots-Nachfrage-Matching-Modellen.</w:t>
      </w:r>
    </w:p>
    <w:p>
      <w:r>
        <w:rPr>
          <w:b/>
        </w:rPr>
        <w:t xml:space="preserve">Ergebnis: </w:t>
      </w:r>
      <w:r>
        <w:t>Nachfrage und Angebot an Altenpflegefazilitäten zeigen starke räumliche Clusterung mit zentralem Versorgungskern. Gesamterreichbarkeit relativ hoch, aber mit Zentrum-Peripherie-Gefälle. Ressourcenallokation insgesamt angemessen, aber regionale Disparitäten bleiben. Empfehlung: Weiterer Ausbau zur Ausbalancierung der Zugänglichkeit.</w:t>
      </w:r>
    </w:p>
    <w:p>
      <w:r>
        <w:rPr>
          <w:b/>
          <w:sz w:val="19"/>
        </w:rPr>
        <w:t xml:space="preserve">Übertragbarkeit: </w:t>
      </w:r>
      <w:r>
        <w:rPr>
          <w:sz w:val="19"/>
        </w:rPr>
        <w:t>China, andere Finanzierungsstruktur, Methoden zur Disparitätenmessung übertragbar</w:t>
      </w:r>
    </w:p>
    <w:p>
      <w:r>
        <w:rPr>
          <w:color w:val="5A7D3A"/>
          <w:sz w:val="18"/>
        </w:rPr>
        <w:t>https://pubmed.ncbi.nlm.nih.gov/42827439/</w:t>
      </w:r>
    </w:p>
    <w:p>
      <w:pPr>
        <w:pStyle w:val="Heading2"/>
      </w:pPr>
      <w:r>
        <w:t>Langzeitverläufe von Gedächtnis und Einsamkeit prägen Wahrnehmung des Alterns</w:t>
      </w:r>
    </w:p>
    <w:p>
      <w:r>
        <w:rPr>
          <w:i/>
          <w:color w:val="666666"/>
          <w:sz w:val="18"/>
        </w:rPr>
        <w:t>Koch J et al.  ·  J Gerontol B Psychol Sci Soc Sci  ·  07.10.2026  ·  PMID 42625387</w:t>
      </w:r>
    </w:p>
    <w:p>
      <w:r>
        <w:t>Longitudinale Studie über 9 Jahre an 753 Berliner Älteren (61–81 Jahre zu Baseline), in der körperliche Gesundheit, Kognition und Einsamkeit als Prädiktoren für die subjektive Wahrnehmung altersbezogener Veränderungen untersucht wurden.</w:t>
      </w:r>
    </w:p>
    <w:p>
      <w:r>
        <w:rPr>
          <w:b/>
        </w:rPr>
        <w:t xml:space="preserve">Ergebnis: </w:t>
      </w:r>
      <w:r>
        <w:t>Bessere Baseline-Gedächtnisleistung (Recall) war mit weniger wahrgenommenen Altersverlusten assoziiert. Steilere Gedächtnisverschlechterung und höhere Morbidität korrelierte mit stärkerer Wahrnehmung von Verlusten. Höhere Einsamkeit war mit mehr wahrgenommenen Verlusten und weniger wahrgenommenen Gewinnen verbunden. Verarbeitungsgeschwindigkeit, Arbeitsgedächtnis, Hör- und Sehvermögen zeigten keine signifikanten Assoziationen.</w:t>
      </w:r>
    </w:p>
    <w:p>
      <w:r>
        <w:rPr>
          <w:b/>
          <w:sz w:val="19"/>
        </w:rPr>
        <w:t xml:space="preserve">Übertragbarkeit: </w:t>
      </w:r>
      <w:r>
        <w:rPr>
          <w:sz w:val="19"/>
        </w:rPr>
        <w:t>Deutsche Studie mit Berliner Probanden, vergleichbare Dokumentation und Messinstrumente</w:t>
      </w:r>
    </w:p>
    <w:p>
      <w:r>
        <w:rPr>
          <w:color w:val="5A7D3A"/>
          <w:sz w:val="18"/>
        </w:rPr>
        <w:t>https://pubmed.ncbi.nlm.nih.gov/42625387/</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schwedische Kohorte, bestätigt in China</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2026-10-25T06:00:00Z</dcterms:created>
  <dcterms:modified xsi:type="dcterms:W3CDTF">2026-10-25T06:00:00Z</dcterms:modified>
  <cp:category/>
</cp:coreProperties>
</file>