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16.10.2026  |  6 Studien  |  longevity.m-vf.de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Hörverfall in der Lebensmitte: Metabolische Gesundheit und Lärmexposition prägen Verlauf</w:t>
      </w:r>
    </w:p>
    <w:p>
      <w:r>
        <w:rPr>
          <w:i/>
          <w:color w:val="666666"/>
          <w:sz w:val="18"/>
        </w:rPr>
        <w:t>Smit AL et al.  ·  PLoS One  ·  15.10.2026  ·  PMID 42879410</w:t>
      </w:r>
    </w:p>
    <w:p>
      <w:r>
        <w:t>Sechsjährige Längsschnittstudie an 3.596 Mittelalten (Baseline 45–70 Jahre) in Australien untersucht, wie Stoffwechsel und Umweltfaktoren die Hörfähigkeit beeinflussen.</w:t>
      </w:r>
    </w:p>
    <w:p>
      <w:r>
        <w:rPr>
          <w:b/>
        </w:rPr>
        <w:t xml:space="preserve">Ergebnis: </w:t>
      </w:r>
      <w:r>
        <w:t>Hörschwellen verschlechterten sich über 6 Jahre; Prävalenz mild-oder-stärkerer Hörverlust stieg von 14 % auf 26 % (4FPTA) und 53 % auf 71 % (HFPTA). Größerer Verfall bei Männern und Hochfrequenzen. Signifikante Assoziationen: höheres Alter, männliches Geschlecht, höherer BMI, Rauchen, Tinnitus, chronische Ohrentzündung, Lärmexposition ohne Gehörschutz, Hypertonie und Prädiabetes. Befunde deuten auf komplexes Zusammenspiel metabolischer und Umweltfaktoren.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 Deutschland und Westeuropa; Gehörverlust in der Lebensmitte auch in Deutschland relevant.</w:t>
      </w:r>
    </w:p>
    <w:p>
      <w:r>
        <w:rPr>
          <w:color w:val="5A7D3A"/>
          <w:sz w:val="18"/>
        </w:rPr>
        <w:t>https://pubmed.ncbi.nlm.nih.gov/42879410/</w:t>
      </w:r>
    </w:p>
    <w:p>
      <w:pPr>
        <w:pStyle w:val="Heading2"/>
      </w:pPr>
      <w:r>
        <w:t>Frailty bei rheumatoider Arthritis: Häufig, prognostisch bedeutsam, teilweise modifizierbar</w:t>
      </w:r>
    </w:p>
    <w:p>
      <w:r>
        <w:rPr>
          <w:i/>
          <w:color w:val="666666"/>
          <w:sz w:val="18"/>
        </w:rPr>
        <w:t>Legge A et al.  ·  Curr Rheumatol Rep  ·  15.10.2026  ·  PMID 42878990</w:t>
      </w:r>
    </w:p>
    <w:p>
      <w:r>
        <w:t>Übersichtsarbeit zur Prävalenz, Messung und klinischen Bedeutung von Frailty bei rheumatoider Arthritis – ein häufiges Merkmal vorzeitigen Alterns.</w:t>
      </w:r>
    </w:p>
    <w:p>
      <w:r>
        <w:rPr>
          <w:b/>
        </w:rPr>
        <w:t xml:space="preserve">Ergebnis: </w:t>
      </w:r>
      <w:r>
        <w:t>Frailty betrifft etwa ein Drittel der RA-Patienten; Prävalenz variiert mit Messinstrument. Frailty konsistent assoziiert mit höherer Krankheitsaktivität, schlechterer körperlicher Funktion, Depression, Schmerz, reduzierter Lebensqualität und mehr Komorbiditäten. Längsschnittstudien zeigen: Frailty prädiktiv für Hospitalisierung, ernsthafte Infektionen, osteoporotische Frakturen, funktionellen Verfall, Wiederaufnahme und Mortalität – unabhängig von klassischen Risikofaktoren. Bidirektionale Beziehung zwischen Frailty und RA-Aktivität; RA-Kontrolle, Arzneimitteloptimierung und körperliche Aktivität können Frailty wahrscheinlich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Versorgungsfrage weltweit; Frailty-Assessment und -Interventionen universell anwendbar.</w:t>
      </w:r>
    </w:p>
    <w:p>
      <w:r>
        <w:rPr>
          <w:color w:val="5A7D3A"/>
          <w:sz w:val="18"/>
        </w:rPr>
        <w:t>https://pubmed.ncbi.nlm.nih.gov/42878990/</w:t>
      </w:r>
    </w:p>
    <w:p>
      <w:pPr>
        <w:pStyle w:val="Heading2"/>
      </w:pPr>
      <w:r>
        <w:t>Psychologische Folgen von Stürzen im Alter: internationale Konsensusdefinition</w:t>
      </w:r>
    </w:p>
    <w:p>
      <w:r>
        <w:rPr>
          <w:i/>
          <w:color w:val="666666"/>
          <w:sz w:val="18"/>
        </w:rPr>
        <w:t>Okrah AK et al.  ·  Age Ageing  ·  03.08.2026  ·  PMID 42878245</w:t>
      </w:r>
    </w:p>
    <w:p>
      <w:r>
        <w:t>Internationale Expertengruppe entwickelt erste formale Definition der psychologischen Schäden nach Stürzen älterer Menschen.</w:t>
      </w:r>
    </w:p>
    <w:p>
      <w:r>
        <w:rPr>
          <w:b/>
        </w:rPr>
        <w:t xml:space="preserve">Ergebnis: </w:t>
      </w:r>
      <w:r>
        <w:t>93 % (28/30) der Panel-Mitglieder bestätigten Bedarf für eine formale Definition. Konsensus erreicht in Runde 4 (n=48, 77,4%), stabilisiert in Runde 5 (n=49, 86,0%). Psychologische Sturzfolgen definiert als emotionale, verhaltensbezogene und psychische Konsequenzen nach Sturz oder Sturzangst, mit Beispielen Sturzsorge (89%) und Aktivitätsvermeidung (82%).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Australien, Deutschland – Sturzprävention ist universelle Versorgungsfrage.</w:t>
      </w:r>
    </w:p>
    <w:p>
      <w:r>
        <w:rPr>
          <w:color w:val="5A7D3A"/>
          <w:sz w:val="18"/>
        </w:rPr>
        <w:t>https://pubmed.ncbi.nlm.nih.gov/42878245/</w:t>
      </w:r>
    </w:p>
    <w:p>
      <w:pPr>
        <w:pStyle w:val="Heading2"/>
      </w:pPr>
      <w:r>
        <w:t>Soziale Teilhabe stärker mit gesundem Altern verbunden als einzelne Verhaltensweisen</w:t>
      </w:r>
    </w:p>
    <w:p>
      <w:r>
        <w:rPr>
          <w:i/>
          <w:color w:val="666666"/>
          <w:sz w:val="18"/>
        </w:rPr>
        <w:t>Sahab L et al.  ·  Front Public Health  ·  30.09.2026  ·  PMID 42876511</w:t>
      </w:r>
    </w:p>
    <w:p>
      <w:r>
        <w:t>Longitudinale Analyse von 9.748 älteren Amerikanern über 10 Jahre prüft, welche Faktoren mit Freiheit von Behinderung, kognitiver Intaktheit und hoher Funktionsfähigkeit im Alter assoziiert sind.</w:t>
      </w:r>
    </w:p>
    <w:p>
      <w:r>
        <w:rPr>
          <w:b/>
        </w:rPr>
        <w:t xml:space="preserve">Ergebnis: </w:t>
      </w:r>
      <w:r>
        <w:t>Soziale Teilhabe 2006 signifikant assoziiert mit gesundem Altern 2016 (Schätzer 0,09, 95%-KI 0,08–0,11). Körperliche Aktivität zeigte stärkste Assoziation (0,31, 95%-KI 0,29–0,33). Gesundes Altern 2010 prädiktiv für 2016 (0,46, 95%-KI 0,45–0,47). Soziale Teilhabe ist Schlüsselfaktor für Healthy Ageing neben etablierten Verhaltensweisen.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Datenbasis Health and Retirement Study – Sozialsystem unterscheidet sich; Kernbefund zu sozialer Teilhabe aber universell relevant.</w:t>
      </w:r>
    </w:p>
    <w:p>
      <w:r>
        <w:rPr>
          <w:color w:val="5A7D3A"/>
          <w:sz w:val="18"/>
        </w:rPr>
        <w:t>https://pubmed.ncbi.nlm.nih.gov/42876511/</w:t>
      </w:r>
    </w:p>
    <w:p>
      <w:pPr>
        <w:pStyle w:val="Heading2"/>
      </w:pPr>
      <w:r>
        <w:t>Frailty-Assessment in Alzheimer-Therapieentscheidungen: Expertenkonsens</w:t>
      </w:r>
    </w:p>
    <w:p>
      <w:r>
        <w:rPr>
          <w:i/>
          <w:color w:val="666666"/>
          <w:sz w:val="18"/>
        </w:rPr>
        <w:t>Bellelli G et al.  ·  J Prev Alzheimers Dis  ·  04.09.2026  ·  PMID 42697176</w:t>
      </w:r>
    </w:p>
    <w:p>
      <w:r>
        <w:t>Europäische und internationale Expertengruppe empfiehlt systematische Frailty-Bewertung bei Auswahl von Disease-modifying-Therapien im Alter.</w:t>
      </w:r>
    </w:p>
    <w:p>
      <w:r>
        <w:rPr>
          <w:b/>
        </w:rPr>
        <w:t xml:space="preserve">Ergebnis: </w:t>
      </w:r>
      <w:r>
        <w:t>Frailty betrifft etwa ein Drittel der Alzheimer-Patienten. Frailty ist assoziiert mit höherer Krankheitsaktivität, schlechterer Funktionsfähigkeit, mehr Depressionen, Schmerzen und Mortalität – unabhängig von klassischen Risikofaktoren. Empfehlung: regelmäßiges Frailty-Assessment in Klinik und Studien; Arzneimitteloptimierung und körperliche Aktivität können Frailty möglicherweise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Versorgungssysteme (Italien, UK, Frankreich, Schweiz, Skandinavien, Irland); direkt auf deutsches Setting übertragbar.</w:t>
      </w:r>
    </w:p>
    <w:p>
      <w:r>
        <w:rPr>
          <w:color w:val="5A7D3A"/>
          <w:sz w:val="18"/>
        </w:rPr>
        <w:t>https://pubmed.ncbi.nlm.nih.gov/42697176/</w:t>
      </w:r>
    </w:p>
    <w:p>
      <w:pPr>
        <w:pStyle w:val="Heading2"/>
      </w:pPr>
      <w:r>
        <w:t>Kognitiver Abbau beginnt bereits in den 30ern: Längsschnittpool aus drei Kontinenten</w:t>
      </w:r>
    </w:p>
    <w:p>
      <w:r>
        <w:rPr>
          <w:i/>
          <w:color w:val="666666"/>
          <w:sz w:val="18"/>
        </w:rPr>
        <w:t>Novotný JS et al.  ·  J Prev Alzheimers Dis  ·  07.08.2026  ·  PMID 42566820</w:t>
      </w:r>
    </w:p>
    <w:p>
      <w:r>
        <w:t>Gepoolte Längsschnittstudie mit 14.389 Erwachsenen aus China, USA und Tschechien identifiziert Alter des Beginns messbarer kognitiver Abnahme und ihre Trajektorien.</w:t>
      </w:r>
    </w:p>
    <w:p>
      <w:r>
        <w:rPr>
          <w:b/>
        </w:rPr>
        <w:t xml:space="preserve">Ergebnis: </w:t>
      </w:r>
      <w:r>
        <w:t>Messbarer kognitiver Abbau erste Mal in der Altersgruppe 31–40 Jahre erkannt (durchschnittliche Änderung −1,2 Punkte, 95%-KI −2,1 bis −0,3). Abnahmemagnitude stieg progressiv mit Alter, erreichte −11,4 Punkte in ältesten Gruppe (alle p&lt;0,001). Nicht-Gedächtnisdomänen zeigten frühere Anfälligkeit (ab 31 Jahre), signifikanter Gedächtnisabbau erst nach 50. Individuelle Trajektorien zeigen hohe Heterogenität; chronologisches Alter ist kein deterministischer Proxy für Abbau. Befunde unterstützen Lebenskurs-Ansätze zur Gehirngesundheit.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Nordamerika, Europa – Datenkohärenz über drei Kontinente; universell für frühe Überwachung relevant.</w:t>
      </w:r>
    </w:p>
    <w:p>
      <w:r>
        <w:rPr>
          <w:color w:val="5A7D3A"/>
          <w:sz w:val="18"/>
        </w:rPr>
        <w:t>https://pubmed.ncbi.nlm.nih.gov/42566820/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