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23.10.2026  |  6 Studien  |  longevity.m-vf.de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Interprofessionelle Schulung und Workflow verbessern geriatrisches Screening in Hausarztpraxen</w:t>
      </w:r>
    </w:p>
    <w:p>
      <w:r>
        <w:rPr>
          <w:i/>
          <w:color w:val="666666"/>
          <w:sz w:val="18"/>
        </w:rPr>
        <w:t>Litzelman DK et al.  ·  BMC Geriatr  ·  23.07.2026  ·  PMID 42907743</w:t>
      </w:r>
    </w:p>
    <w:p>
      <w:r>
        <w:t>US-amerikanische Studie mit 56 Hausärzten, 180 Assistenzärzten und 8818 älteren Patienten an acht Primärversorgungsstellen evaluierte ein Schulungs- und Systeminterventionsprogramm basierend auf dem Age-Friendly 4Ms-Rahmenwerk.</w:t>
      </w:r>
    </w:p>
    <w:p>
      <w:r>
        <w:rPr>
          <w:b/>
        </w:rPr>
        <w:t xml:space="preserve">Ergebnis: </w:t>
      </w:r>
      <w:r>
        <w:t>Nach Intervention verbesserten sich Screening-Raten für Demenz (OR 1,27, 95%-KI 0,98–1,63) und Sturzrisiko (OR 1,40, 95%-KI 1,00–1,95), mit Sturzrisiko-Screening zeigend die stärksten Verbesserungen (+0,64% pro Monat, p&lt;0,001). Kliniken mit stärkerer Systemintegration zeigten die robustesten Verbesserungen; Opioid-Screening und Advance-Care-Planning-Dokumentation nahmen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Primärversorgung; Methoden auf deutsches Praxissystem übertragbar, aber Organisationsstruktur unterscheidet sich</w:t>
      </w:r>
    </w:p>
    <w:p>
      <w:r>
        <w:rPr>
          <w:color w:val="5A7D3A"/>
          <w:sz w:val="18"/>
        </w:rPr>
        <w:t>https://pubmed.ncbi.nlm.nih.gov/42907743/</w:t>
      </w:r>
    </w:p>
    <w:p>
      <w:pPr>
        <w:pStyle w:val="Heading2"/>
      </w:pPr>
      <w:r>
        <w:t>COVID-19 und Opioide kürzten Lebenserwartung in Kanada um 0,68 Jahre</w:t>
      </w:r>
    </w:p>
    <w:p>
      <w:r>
        <w:rPr>
          <w:i/>
          <w:color w:val="666666"/>
          <w:sz w:val="18"/>
        </w:rPr>
        <w:t>Sirag A et al.  ·  Health Rep  ·  21.10.2026  ·  PMID 42905875</w:t>
      </w:r>
    </w:p>
    <w:p>
      <w:r>
        <w:t>Kanadische Vital-Statistik-Studie verglich Sterblichkeits-Todesursachen-Stiftung zwischen 2017–2019 und 2020–2022 mittels Arriaga-Dekomposition, um die Beiträge einzelner Todesursachen zum Rückgang der Lebenserwartung bei der Geburt zu quantifizieren.</w:t>
      </w:r>
    </w:p>
    <w:p>
      <w:r>
        <w:rPr>
          <w:b/>
        </w:rPr>
        <w:t xml:space="preserve">Ergebnis: </w:t>
      </w:r>
      <w:r>
        <w:t>COVID-19 war der größte einzelne Beitrag zum Rückgang der Lebenserwartung bei der Geburt in Kanada (–0,46 Jahre für beide Geschlechter). Opioid-bedingte Todesfälle trugen –0,22 Jahre bei, während Krebserkrankungen einen geringen Anstieg (+0,17 Jahre) verursachten. Gesamtrückgang etwa 0,68 Jahre, hauptsächlich durch pandemic-direkte und indirekte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Sozialversicherung und Lebenserwartung wie Deutschland; Methode und Prioritäten übertragbar</w:t>
      </w:r>
    </w:p>
    <w:p>
      <w:r>
        <w:rPr>
          <w:color w:val="5A7D3A"/>
          <w:sz w:val="18"/>
        </w:rPr>
        <w:t>https://pubmed.ncbi.nlm.nih.gov/42905875/</w:t>
      </w:r>
    </w:p>
    <w:p>
      <w:pPr>
        <w:pStyle w:val="Heading2"/>
      </w:pPr>
      <w:r>
        <w:t>Pflanzenbasierte Ernährung senkt Frailty-Risiko bei älteren Erwachsenen</w:t>
      </w:r>
    </w:p>
    <w:p>
      <w:r>
        <w:rPr>
          <w:i/>
          <w:color w:val="666666"/>
          <w:sz w:val="18"/>
        </w:rPr>
        <w:t>Lin J et al.  ·  Age Ageing  ·  03.08.2026  ·  PMID 42905723</w:t>
      </w:r>
    </w:p>
    <w:p>
      <w:r>
        <w:t>Studie mit 8628 älteren Erwachsenen aus drei Kohorten (CLHLS, HRS, ELSA) untersuchte die Assoziation verschiedener pflanzlicher Ernährungsmuster mit Frailty mittels Mundlak-Dekomposition.</w:t>
      </w:r>
    </w:p>
    <w:p>
      <w:r>
        <w:rPr>
          <w:b/>
        </w:rPr>
        <w:t xml:space="preserve">Ergebnis: </w:t>
      </w:r>
      <w:r>
        <w:t>Höhere Gesamtscores für pflanzenbasierte Diät waren mit niedrigerem Frailty-Risiko assoziiert (ORs 0,71–0,80 über alle drei Kohorten), während ungesunde pflanzliche Muster mit erhöhtem Risiko verbunden waren (ORs 1,24–1,41). Nüsse, Gemüse und Pflanzenöle zeigten überwiegend inverse Assoziationen mit mehreren Frailty-Domänen.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China, internationale Kohorten; Ernährungsmessungen und Frailty-Definition übertragbar auf deutsches Gesundheitssystem</w:t>
      </w:r>
    </w:p>
    <w:p>
      <w:r>
        <w:rPr>
          <w:color w:val="5A7D3A"/>
          <w:sz w:val="18"/>
        </w:rPr>
        <w:t>https://pubmed.ncbi.nlm.nih.gov/42905723/</w:t>
      </w:r>
    </w:p>
    <w:p>
      <w:pPr>
        <w:pStyle w:val="Heading2"/>
      </w:pPr>
      <w:r>
        <w:t>Multimorbidität kostet weltweit älteren Menschen 363 Milliarden Dollar pro Jahr</w:t>
      </w:r>
    </w:p>
    <w:p>
      <w:r>
        <w:rPr>
          <w:i/>
          <w:color w:val="666666"/>
          <w:sz w:val="18"/>
        </w:rPr>
        <w:t>Ji W et al.  ·  JAMA Netw Open  ·  01.10.2026  ·  PMID 42905709</w:t>
      </w:r>
    </w:p>
    <w:p>
      <w:r>
        <w:t>Globale ökonomische Evaluationsstudie mit Daten aus 204 Ländern (2000–2023) quantifizierte die gesundheitliche und finanzielle Last von Multimorbidität (78 Kombinationen) bei Erwachsenen ≥60 Jahren mittels Global Burden of Disease 2023 und makroökonomischen Daten.</w:t>
      </w:r>
    </w:p>
    <w:p>
      <w:r>
        <w:rPr>
          <w:b/>
        </w:rPr>
        <w:t xml:space="preserve">Ergebnis: </w:t>
      </w:r>
      <w:r>
        <w:t>Von 2000 bis 2023 stiegen die Jahre mit Behinderung (YLDs) von 2368 auf 2942 pro 100.000 Erwachsene ≥60 Jahren; wirtschaftliche Verluste nahmen von 80,1 Milliarden auf 363,25 Milliarden USD (kaufkraftparitätsbereinigt) zu. Schnellstes Wachstum: Diabetes, Angststörungen und Parkinson (AAPC 9,92% für Kosten). Höchste YLD-Rate: Osteoarthritis mit Alzheimer/Demenz (369,87 pro 100.000).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204 Länder; Dimensionen und Trends übertragbar, aber absolute Kosten hängen von Finanzierungssystem und Lebenserwartung ab</w:t>
      </w:r>
    </w:p>
    <w:p>
      <w:r>
        <w:rPr>
          <w:color w:val="5A7D3A"/>
          <w:sz w:val="18"/>
        </w:rPr>
        <w:t>https://pubmed.ncbi.nlm.nih.gov/42905709/</w:t>
      </w:r>
    </w:p>
    <w:p>
      <w:pPr>
        <w:pStyle w:val="Heading2"/>
      </w:pPr>
      <w:r>
        <w:t>Feinstaub beschleunigt kardiovaskuläres Altern über Seneszenz und Entzündung</w:t>
      </w:r>
    </w:p>
    <w:p>
      <w:r>
        <w:rPr>
          <w:i/>
          <w:color w:val="666666"/>
          <w:sz w:val="18"/>
        </w:rPr>
        <w:t>Yadav P et al.  ·  Cardiovasc Toxicol  ·  21.10.2026  ·  PMID 42905338</w:t>
      </w:r>
    </w:p>
    <w:p>
      <w:r>
        <w:t>Scoping Review mit konzeptuellem PACA-Framework (Pollution-Accelerated Cardiovascular Aging) integrierte Evidenz zu Feinstaub-Exposition (PM2,5, ultrafeine Partikel) und kardiovaskulärem Altern durch Mitochondrien-Dysfunktion, Seneszenz, epigenetische Änderungen und autonome Dysregulation.</w:t>
      </w:r>
    </w:p>
    <w:p>
      <w:r>
        <w:rPr>
          <w:b/>
        </w:rPr>
        <w:t xml:space="preserve">Ergebnis: </w:t>
      </w:r>
      <w:r>
        <w:t>Framework schlägt Temporal-Evidence-Matrix vor, die Expositions-Kinetik, Lebensverlauf-Timing, Persistenz nach Expositions-Ende, Dosis-Wirkungs-Beziehungen und longitudinale Veränderungen relativ zu altersreferenzierten Vergleichern nutzt. Persistierende oder unvollständig reversible Defizite deuten auf chronische Verletzung hin; stärkere Evidenz für kardiovaskuläres Aging erfordert wiederholte Demonstration größerer Veränderungsraten als chronologisch erwartet.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Tiermodelle und mechanistische Daten; PACA-Framework theoretisch, keine klinischen Endpunkte gemessen</w:t>
      </w:r>
    </w:p>
    <w:p>
      <w:r>
        <w:rPr>
          <w:color w:val="5A7D3A"/>
          <w:sz w:val="18"/>
        </w:rPr>
        <w:t>https://pubmed.ncbi.nlm.nih.gov/42905338/</w:t>
      </w:r>
    </w:p>
    <w:p>
      <w:pPr>
        <w:pStyle w:val="Heading2"/>
      </w:pPr>
      <w:r>
        <w:t>Frailty-Index prognostiziert post-ERCP-Pankreatitis bei älteren Patienten</w:t>
      </w:r>
    </w:p>
    <w:p>
      <w:r>
        <w:rPr>
          <w:i/>
          <w:color w:val="666666"/>
          <w:sz w:val="18"/>
        </w:rPr>
        <w:t>Zhang F et al.  ·  Clin Interv Aging  ·  16.10.2026  ·  PMID 42904120</w:t>
      </w:r>
    </w:p>
    <w:p>
      <w:r>
        <w:t>Retrospektive Studie von 696 älteren Patienten (≥65 Jahre), die sich einer endoskopischen retrograden Cholangiopankreatographie unterzogen, untersuchte den Zusammenhang zwischen präoperativer Frailty und post-ERCP-Pankreatitis mittels elektronischem Frailty-Index.</w:t>
      </w:r>
    </w:p>
    <w:p>
      <w:r>
        <w:rPr>
          <w:b/>
        </w:rPr>
        <w:t xml:space="preserve">Ergebnis: </w:t>
      </w:r>
      <w:r>
        <w:t>Von 696 Patienten entwickelten 79 (11,4%) eine post-ERCP-Pankreatitis. Nach multivariater Anpassung war Frailty mit höheren Chancen verbunden (OR 2,09, 95%-KI 1,08–4,05, p=0,028). Hinzunahme von Frailty zum Referenzmodell verbesserte die Diskrimination (AUC 0,714 zu 0,755, p=0,031); Netto-Reklassifizierungsverbesserung betrug 0,516.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Frailty-Messung und Endoskopie-Risiken gelten international, aber Patientenpopulation und Gesundheitssystem unterscheiden sich</w:t>
      </w:r>
    </w:p>
    <w:p>
      <w:r>
        <w:rPr>
          <w:color w:val="5A7D3A"/>
          <w:sz w:val="18"/>
        </w:rPr>
        <w:t>https://pubmed.ncbi.nlm.nih.gov/42904120/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